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THE WORDS THAT DEFINE ALL OTHERS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Dictionaries define words by other words, so every dictionary is circular. Following Vincent-Lamarre et al. (2016), we represent a dictionary as a directed graph that links each word to the headwords in whose definitions it occurs, and compute two sets: the Kernel, from which all other headwords can be defined, and the minimal grounding set (MinSet), the smallest set of words from which every other headword can be learned through definitions alone. We apply the method for the first time to Romanian, to the second edition of the DEX (</w:t>
      </w:r>
      <w:r>
        <w:rPr>
          <w:i/>
          <w:lang w:val="ro-RO"/>
        </w:rPr>
        <w:t>Dicționarul explicativ al limbii române</w:t>
      </w:r>
      <w:r>
        <w:t>) digitised by dexonline (63,843 headwords). A large language model assigns each ambiguous word form in a definition to a headword, and all results are repeated without the model. The Kernel contains 33.2% of the headwords and the MinSet 9.7%–9.9%; processed in the same way, dictionaries of eleven other languages have MinSets of 0.6–3.1%. The main cause is reciprocal definition: 8,761 pairs of headwords occur in each other’s definitions. The Kernel contains 98% of the Romanian equivalents of the Swadesh list of basic meanings and 94.5% of the 1,419 words of Graur’s (1954) fundamental lexical stock, against 33.2% expected by chance.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Spanish (Pichardo-Lagunas et al., 2017; Kostiuk et al., 2023) and, through Wiktionary, to six languages including Chinese and Russian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English dictionaries?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by processing dictionaries of eleven other languages with the same procedure, that the DEX is considerably more circular than all of them,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We use DEX ’98 and add DEX ’96 entries only for headwords absent from DEX ’98, which gives 65,452 definitions and 63,843 distinct headwords.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are</w:t>
      </w:r>
      <w:r>
        <w:t xml:space="preserve"> may be a form of </w:t>
      </w:r>
      <w:r>
        <w:rPr>
          <w:i/>
          <w:lang w:val="ro-RO"/>
        </w:rPr>
        <w:t>avea</w:t>
      </w:r>
      <w:r>
        <w:t xml:space="preserve"> ‘have’ or of </w:t>
      </w:r>
      <w:r>
        <w:rPr>
          <w:i/>
          <w:lang w:val="ro-RO"/>
        </w:rPr>
        <w:t>ara</w:t>
      </w:r>
      <w:r>
        <w:t xml:space="preserve"> ‘plough’, and </w:t>
      </w:r>
      <w:r>
        <w:rPr>
          <w:i/>
          <w:lang w:val="ro-RO"/>
        </w:rPr>
        <w:t>fire</w:t>
      </w:r>
      <w:r>
        <w:t xml:space="preserve"> may belong to </w:t>
      </w:r>
      <w:r>
        <w:rPr>
          <w:i/>
          <w:lang w:val="ro-RO"/>
        </w:rPr>
        <w:t>fi</w:t>
      </w:r>
      <w:r>
        <w:t xml:space="preserve"> ‘be’, </w:t>
      </w:r>
      <w:r>
        <w:rPr>
          <w:i/>
          <w:lang w:val="ro-RO"/>
        </w:rPr>
        <w:t>fir</w:t>
      </w:r>
      <w:r>
        <w:t xml:space="preserve"> ‘thread’ or </w:t>
      </w:r>
      <w:r>
        <w:rPr>
          <w:i/>
          <w:lang w:val="ro-RO"/>
        </w:rPr>
        <w:t>fire</w:t>
      </w:r>
      <w:r>
        <w:t xml:space="preserve"> ‘nature, temper’.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 and at least one of them belongs to every grounding set.</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in the digitised DEX.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Section 4.2 compares the DEX with dictionaries of other languages processed with our own procedure.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18,576 (29.1%)</w:t>
            </w:r>
          </w:p>
        </w:tc>
        <w:tc>
          <w:tcPr>
            <w:tcW w:type="dxa" w:w="1521"/>
          </w:tcPr>
          <w:p>
            <w:pPr>
              <w:pStyle w:val="TableText"/>
              <w:keepNext/>
              <w:jc w:val="right"/>
            </w:pPr>
            <w:r>
              <w:rPr>
                <w:sz w:val="18"/>
              </w:rPr>
              <w:t>12,644 (19.8%)</w:t>
            </w:r>
          </w:p>
        </w:tc>
        <w:tc>
          <w:tcPr>
            <w:tcW w:type="dxa" w:w="2277"/>
          </w:tcPr>
          <w:p>
            <w:pPr>
              <w:pStyle w:val="TableText"/>
              <w:keepNext/>
              <w:jc w:val="right"/>
            </w:pPr>
            <w:r>
              <w:rPr>
                <w:sz w:val="18"/>
              </w:rPr>
              <w:t>4,770–5,352 (7.5–8.4%)</w:t>
            </w:r>
          </w:p>
        </w:tc>
        <w:tc>
          <w:tcPr>
            <w:tcW w:type="dxa" w:w="1573"/>
          </w:tcPr>
          <w:p>
            <w:pPr>
              <w:pStyle w:val="TableText"/>
              <w:keepNext/>
              <w:jc w:val="right"/>
            </w:pPr>
            <w:r>
              <w:rPr>
                <w:sz w:val="18"/>
              </w:rPr>
              <w:t>7,158</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4147200" cy="1877857"/>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4147200" cy="1877857"/>
                    </a:xfrm>
                    <a:prstGeom prst="rect"/>
                  </pic:spPr>
                </pic:pic>
              </a:graphicData>
            </a:graphic>
          </wp:inline>
        </w:drawing>
      </w:r>
    </w:p>
    <w:p>
      <w:pPr>
        <w:pStyle w:val="Caption"/>
      </w:pPr>
      <w:r>
        <w:t xml:space="preserve">Figure 1. </w:t>
      </w:r>
      <w:r>
        <w:t>Proportion of headwords in the Kernel and in the MinSet: the DEX (language-model regime), the English WordNet processed with the same procedure (range over the two regimes without a model) and the English dictionaries studied by Vincent-Lamarre et al. (2016).</w:t>
      </w:r>
    </w:p>
    <w:p>
      <w:pPr>
        <w:pStyle w:val="FigureParagraph"/>
      </w:pPr>
      <w:r>
        <w:drawing>
          <wp:inline xmlns:a="http://schemas.openxmlformats.org/drawingml/2006/main" xmlns:pic="http://schemas.openxmlformats.org/drawingml/2006/picture">
            <wp:extent cx="4147200" cy="1638548"/>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4147200" cy="1638548"/>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Comparison with Other Languages</w:t>
      </w:r>
    </w:p>
    <w:p>
      <w:pPr>
        <w:pStyle w:val="NormalFirstParagraph"/>
      </w:pPr>
      <w:r>
        <w:t>The English figures cited above were obtained with a different procedure, so we repeated the analysis under identical conditions for dictionaries of other languages: Princeton WordNet 3.0 (Miller, 1995), one of the four dictionaries of Vincent-Lamarre et al. (2016), and the monolingual Wiktionaries of eleven languages, in the extraction of Ylonen (2022). For every dictionary, the vertices are single-word lemmas with a noun, verb, adjective, adverb or numeral entry; the definition of a vertex is the first sense of each of its entries; function words are ignored, as in the study of Vincent-Lamarre et al.; definition tokens are mapped to lemmas with the dictionary’s own inflection data; and the two regimes that use no language model are applied. Run through this procedure, the DEX gives a Kernel of 32.2–38.1% and a MinSet of 8.6–11.6%, close to the values above, so the result does not depend on the procedure. For WordNet the procedure gives a Kernel of 15.2–18.3% and a MinSet of 2.1–2.8%, somewhat more than the 11.5% and 1.3% reported in the original study. Removing the 557 function words of the DEX (prepositions, conjunctions, pronouns, articles and interjections) leaves our main results almost unchanged: the Kernel then contains 33.3% of the content headwords and the MinSet 9.1–10.1%.</w:t>
      </w:r>
    </w:p>
    <w:p>
      <w:pPr/>
      <w:r>
        <w:t>Figure 3 and Table 2 show that the DEX is an outlier. The relative size of the Kernel depends on the size of the dictionary, because large dictionaries contain many rare words that define nothing, whereas the share of the Kernel occupied by the MinSet does not. This share lies between 10% and 16% in the dictionaries of all other languages, Romance languages included, and reaches 28–29% in the DEX. Reciprocally defined pairs are five to twenty times more frequent in the DEX than in the other dictionaries. The Romanian Wiktionary has values close to those of the DEX, but it is not independent evidence: 70% of its first definitions are near-copies of DEX definitions. The large core is therefore a property of the defining practice of the DEX, not of Romance languages.</w:t>
      </w:r>
    </w:p>
    <w:p>
      <w:pPr>
        <w:pStyle w:val="FigureParagraph"/>
      </w:pPr>
      <w:r>
        <w:drawing>
          <wp:inline xmlns:a="http://schemas.openxmlformats.org/drawingml/2006/main" xmlns:pic="http://schemas.openxmlformats.org/drawingml/2006/picture">
            <wp:extent cx="5184000" cy="3067028"/>
            <wp:docPr id="3" name="Picture 3"/>
            <wp:cNvGraphicFramePr>
              <a:graphicFrameLocks noChangeAspect="1"/>
            </wp:cNvGraphicFramePr>
            <a:graphic>
              <a:graphicData uri="http://schemas.openxmlformats.org/drawingml/2006/picture">
                <pic:pic>
                  <pic:nvPicPr>
                    <pic:cNvPr id="0" name="fig5_crossling.png"/>
                    <pic:cNvPicPr/>
                  </pic:nvPicPr>
                  <pic:blipFill>
                    <a:blip r:embed="rId10"/>
                    <a:stretch>
                      <a:fillRect/>
                    </a:stretch>
                  </pic:blipFill>
                  <pic:spPr>
                    <a:xfrm>
                      <a:off x="0" y="0"/>
                      <a:ext cx="5184000" cy="3067028"/>
                    </a:xfrm>
                    <a:prstGeom prst="rect"/>
                  </pic:spPr>
                </pic:pic>
              </a:graphicData>
            </a:graphic>
          </wp:inline>
        </w:drawing>
      </w:r>
    </w:p>
    <w:p>
      <w:pPr>
        <w:pStyle w:val="Caption"/>
      </w:pPr>
      <w:r>
        <w:t xml:space="preserve">Figure 3. </w:t>
      </w:r>
      <w:r>
        <w:t>Share of the Kernel occupied by the MinSet (left) and reciprocally defined pairs per 1,000 headwords (right) in dictionaries processed with the same procedure. Romanian dictionaries are shown in blue.</w:t>
      </w:r>
    </w:p>
    <w:p>
      <w:pPr>
        <w:pStyle w:val="Caption"/>
        <w:keepNext/>
      </w:pPr>
      <w:r>
        <w:t xml:space="preserve">Table 2. </w:t>
      </w:r>
      <w:r>
        <w:t xml:space="preserve">Dictionaries processed with the same procedure. Kernel and MinSet are shares of the headwords (ranges over the two regimes without a language model; MinSet: lower bound to upper bound); MinSet/Kernel uses the middle of the MinSet interval. </w:t>
      </w:r>
      <w:r>
        <w:rPr>
          <w:vertAlign w:val="superscript"/>
        </w:rPr>
        <w:t>*</w:t>
      </w:r>
      <w:r>
        <w:t>70% of its first definitions are near-copies of the DEX.</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80"/>
        <w:gridCol w:w="1603"/>
        <w:gridCol w:w="1201"/>
        <w:gridCol w:w="1254"/>
        <w:gridCol w:w="1152"/>
        <w:gridCol w:w="1463"/>
        <w:gridCol w:w="1196"/>
      </w:tblGrid>
      <w:tr>
        <w:trPr>
          <w:cantSplit/>
          <w:tblHeader/>
        </w:trPr>
        <w:tc>
          <w:tcPr>
            <w:tcW w:type="dxa" w:w="1180"/>
            <w:tcBorders>
              <w:top w:val="single" w:sz="12" w:space="0" w:color="000000"/>
              <w:bottom w:val="single" w:sz="4" w:space="0" w:color="000000"/>
            </w:tcBorders>
          </w:tcPr>
          <w:p>
            <w:pPr>
              <w:pStyle w:val="TableText"/>
              <w:keepNext/>
              <w:jc w:val="left"/>
            </w:pPr>
            <w:r>
              <w:rPr>
                <w:sz w:val="18"/>
              </w:rPr>
              <w:t>Language</w:t>
            </w:r>
          </w:p>
        </w:tc>
        <w:tc>
          <w:tcPr>
            <w:tcW w:type="dxa" w:w="1603"/>
            <w:tcBorders>
              <w:top w:val="single" w:sz="12" w:space="0" w:color="000000"/>
              <w:bottom w:val="single" w:sz="4" w:space="0" w:color="000000"/>
            </w:tcBorders>
          </w:tcPr>
          <w:p>
            <w:pPr>
              <w:pStyle w:val="TableText"/>
              <w:keepNext/>
              <w:jc w:val="left"/>
            </w:pPr>
            <w:r>
              <w:rPr>
                <w:sz w:val="18"/>
              </w:rPr>
              <w:t>Dictionary</w:t>
            </w:r>
          </w:p>
        </w:tc>
        <w:tc>
          <w:tcPr>
            <w:tcW w:type="dxa" w:w="1201"/>
            <w:tcBorders>
              <w:top w:val="single" w:sz="12" w:space="0" w:color="000000"/>
              <w:bottom w:val="single" w:sz="4" w:space="0" w:color="000000"/>
            </w:tcBorders>
          </w:tcPr>
          <w:p>
            <w:pPr>
              <w:pStyle w:val="TableText"/>
              <w:keepNext/>
              <w:jc w:val="right"/>
            </w:pPr>
            <w:r>
              <w:rPr>
                <w:sz w:val="18"/>
              </w:rPr>
              <w:t>Headwords</w:t>
            </w:r>
          </w:p>
        </w:tc>
        <w:tc>
          <w:tcPr>
            <w:tcW w:type="dxa" w:w="1254"/>
            <w:tcBorders>
              <w:top w:val="single" w:sz="12" w:space="0" w:color="000000"/>
              <w:bottom w:val="single" w:sz="4" w:space="0" w:color="000000"/>
            </w:tcBorders>
          </w:tcPr>
          <w:p>
            <w:pPr>
              <w:pStyle w:val="TableText"/>
              <w:keepNext/>
              <w:jc w:val="right"/>
            </w:pPr>
            <w:r>
              <w:rPr>
                <w:sz w:val="18"/>
              </w:rPr>
              <w:t>Kernel</w:t>
            </w:r>
          </w:p>
        </w:tc>
        <w:tc>
          <w:tcPr>
            <w:tcW w:type="dxa" w:w="1152"/>
            <w:tcBorders>
              <w:top w:val="single" w:sz="12" w:space="0" w:color="000000"/>
              <w:bottom w:val="single" w:sz="4" w:space="0" w:color="000000"/>
            </w:tcBorders>
          </w:tcPr>
          <w:p>
            <w:pPr>
              <w:pStyle w:val="TableText"/>
              <w:keepNext/>
              <w:jc w:val="right"/>
            </w:pPr>
            <w:r>
              <w:rPr>
                <w:sz w:val="18"/>
              </w:rPr>
              <w:t>MinSet</w:t>
            </w:r>
          </w:p>
        </w:tc>
        <w:tc>
          <w:tcPr>
            <w:tcW w:type="dxa" w:w="1463"/>
            <w:tcBorders>
              <w:top w:val="single" w:sz="12" w:space="0" w:color="000000"/>
              <w:bottom w:val="single" w:sz="4" w:space="0" w:color="000000"/>
            </w:tcBorders>
          </w:tcPr>
          <w:p>
            <w:pPr>
              <w:pStyle w:val="TableText"/>
              <w:keepNext/>
              <w:jc w:val="right"/>
            </w:pPr>
            <w:r>
              <w:rPr>
                <w:sz w:val="18"/>
              </w:rPr>
              <w:t>MinSet/Kernel</w:t>
            </w:r>
          </w:p>
        </w:tc>
        <w:tc>
          <w:tcPr>
            <w:tcW w:type="dxa" w:w="1196"/>
            <w:tcBorders>
              <w:top w:val="single" w:sz="12" w:space="0" w:color="000000"/>
              <w:bottom w:val="single" w:sz="4" w:space="0" w:color="000000"/>
            </w:tcBorders>
          </w:tcPr>
          <w:p>
            <w:pPr>
              <w:pStyle w:val="TableText"/>
              <w:keepNext/>
              <w:jc w:val="right"/>
            </w:pPr>
            <w:r>
              <w:rPr>
                <w:sz w:val="18"/>
              </w:rPr>
              <w:t>Pairs/1,000</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DEX</w:t>
            </w:r>
          </w:p>
        </w:tc>
        <w:tc>
          <w:tcPr>
            <w:tcW w:type="dxa" w:w="1201"/>
          </w:tcPr>
          <w:p>
            <w:pPr>
              <w:pStyle w:val="TableText"/>
              <w:jc w:val="right"/>
            </w:pPr>
            <w:r>
              <w:rPr>
                <w:sz w:val="18"/>
              </w:rPr>
              <w:t>59,272</w:t>
            </w:r>
          </w:p>
        </w:tc>
        <w:tc>
          <w:tcPr>
            <w:tcW w:type="dxa" w:w="1254"/>
          </w:tcPr>
          <w:p>
            <w:pPr>
              <w:pStyle w:val="TableText"/>
              <w:jc w:val="right"/>
            </w:pPr>
            <w:r>
              <w:rPr>
                <w:sz w:val="18"/>
              </w:rPr>
              <w:t>32.2–38.1%</w:t>
            </w:r>
          </w:p>
        </w:tc>
        <w:tc>
          <w:tcPr>
            <w:tcW w:type="dxa" w:w="1152"/>
          </w:tcPr>
          <w:p>
            <w:pPr>
              <w:pStyle w:val="TableText"/>
              <w:jc w:val="right"/>
            </w:pPr>
            <w:r>
              <w:rPr>
                <w:sz w:val="18"/>
              </w:rPr>
              <w:t>8.6–11.6%</w:t>
            </w:r>
          </w:p>
        </w:tc>
        <w:tc>
          <w:tcPr>
            <w:tcW w:type="dxa" w:w="1463"/>
          </w:tcPr>
          <w:p>
            <w:pPr>
              <w:pStyle w:val="TableText"/>
              <w:jc w:val="right"/>
            </w:pPr>
            <w:r>
              <w:rPr>
                <w:sz w:val="18"/>
              </w:rPr>
              <w:t>28–29%</w:t>
            </w:r>
          </w:p>
        </w:tc>
        <w:tc>
          <w:tcPr>
            <w:tcW w:type="dxa" w:w="1196"/>
          </w:tcPr>
          <w:p>
            <w:pPr>
              <w:pStyle w:val="TableText"/>
              <w:jc w:val="right"/>
            </w:pPr>
            <w:r>
              <w:rPr>
                <w:sz w:val="18"/>
              </w:rPr>
              <w:t>128</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Wiktionary</w:t>
            </w:r>
            <w:r>
              <w:rPr>
                <w:sz w:val="18"/>
                <w:vertAlign w:val="superscript"/>
              </w:rPr>
              <w:t>*</w:t>
            </w:r>
          </w:p>
        </w:tc>
        <w:tc>
          <w:tcPr>
            <w:tcW w:type="dxa" w:w="1201"/>
          </w:tcPr>
          <w:p>
            <w:pPr>
              <w:pStyle w:val="TableText"/>
              <w:jc w:val="right"/>
            </w:pPr>
            <w:r>
              <w:rPr>
                <w:sz w:val="18"/>
              </w:rPr>
              <w:t>65,283</w:t>
            </w:r>
          </w:p>
        </w:tc>
        <w:tc>
          <w:tcPr>
            <w:tcW w:type="dxa" w:w="1254"/>
          </w:tcPr>
          <w:p>
            <w:pPr>
              <w:pStyle w:val="TableText"/>
              <w:jc w:val="right"/>
            </w:pPr>
            <w:r>
              <w:rPr>
                <w:sz w:val="18"/>
              </w:rPr>
              <w:t>25.6–29.3%</w:t>
            </w:r>
          </w:p>
        </w:tc>
        <w:tc>
          <w:tcPr>
            <w:tcW w:type="dxa" w:w="1152"/>
          </w:tcPr>
          <w:p>
            <w:pPr>
              <w:pStyle w:val="TableText"/>
              <w:jc w:val="right"/>
            </w:pPr>
            <w:r>
              <w:rPr>
                <w:sz w:val="18"/>
              </w:rPr>
              <w:t>6.6–8.1%</w:t>
            </w:r>
          </w:p>
        </w:tc>
        <w:tc>
          <w:tcPr>
            <w:tcW w:type="dxa" w:w="1463"/>
          </w:tcPr>
          <w:p>
            <w:pPr>
              <w:pStyle w:val="TableText"/>
              <w:jc w:val="right"/>
            </w:pPr>
            <w:r>
              <w:rPr>
                <w:sz w:val="18"/>
              </w:rPr>
              <w:t>27%</w:t>
            </w:r>
          </w:p>
        </w:tc>
        <w:tc>
          <w:tcPr>
            <w:tcW w:type="dxa" w:w="1196"/>
          </w:tcPr>
          <w:p>
            <w:pPr>
              <w:pStyle w:val="TableText"/>
              <w:jc w:val="right"/>
            </w:pPr>
            <w:r>
              <w:rPr>
                <w:sz w:val="18"/>
              </w:rPr>
              <w:t>87</w:t>
            </w:r>
          </w:p>
        </w:tc>
      </w:tr>
      <w:tr>
        <w:trPr>
          <w:cantSplit/>
        </w:trPr>
        <w:tc>
          <w:tcPr>
            <w:tcW w:type="dxa" w:w="1180"/>
          </w:tcPr>
          <w:p>
            <w:pPr>
              <w:pStyle w:val="TableText"/>
              <w:jc w:val="left"/>
            </w:pPr>
            <w:r>
              <w:rPr>
                <w:sz w:val="18"/>
              </w:rPr>
              <w:t>Italian</w:t>
            </w:r>
          </w:p>
        </w:tc>
        <w:tc>
          <w:tcPr>
            <w:tcW w:type="dxa" w:w="1603"/>
          </w:tcPr>
          <w:p>
            <w:pPr>
              <w:pStyle w:val="TableText"/>
              <w:jc w:val="left"/>
            </w:pPr>
            <w:r>
              <w:rPr>
                <w:sz w:val="18"/>
              </w:rPr>
              <w:t>Wiktionary</w:t>
            </w:r>
          </w:p>
        </w:tc>
        <w:tc>
          <w:tcPr>
            <w:tcW w:type="dxa" w:w="1201"/>
          </w:tcPr>
          <w:p>
            <w:pPr>
              <w:pStyle w:val="TableText"/>
              <w:jc w:val="right"/>
            </w:pPr>
            <w:r>
              <w:rPr>
                <w:sz w:val="18"/>
              </w:rPr>
              <w:t>56,080</w:t>
            </w:r>
          </w:p>
        </w:tc>
        <w:tc>
          <w:tcPr>
            <w:tcW w:type="dxa" w:w="1254"/>
          </w:tcPr>
          <w:p>
            <w:pPr>
              <w:pStyle w:val="TableText"/>
              <w:jc w:val="right"/>
            </w:pPr>
            <w:r>
              <w:rPr>
                <w:sz w:val="18"/>
              </w:rPr>
              <w:t>14.7–21.7%</w:t>
            </w:r>
          </w:p>
        </w:tc>
        <w:tc>
          <w:tcPr>
            <w:tcW w:type="dxa" w:w="1152"/>
          </w:tcPr>
          <w:p>
            <w:pPr>
              <w:pStyle w:val="TableText"/>
              <w:jc w:val="right"/>
            </w:pPr>
            <w:r>
              <w:rPr>
                <w:sz w:val="18"/>
              </w:rPr>
              <w:t>1.3–2.7%</w:t>
            </w:r>
          </w:p>
        </w:tc>
        <w:tc>
          <w:tcPr>
            <w:tcW w:type="dxa" w:w="1463"/>
          </w:tcPr>
          <w:p>
            <w:pPr>
              <w:pStyle w:val="TableText"/>
              <w:jc w:val="right"/>
            </w:pPr>
            <w:r>
              <w:rPr>
                <w:sz w:val="18"/>
              </w:rPr>
              <w:t>10–11%</w:t>
            </w:r>
          </w:p>
        </w:tc>
        <w:tc>
          <w:tcPr>
            <w:tcW w:type="dxa" w:w="1196"/>
          </w:tcPr>
          <w:p>
            <w:pPr>
              <w:pStyle w:val="TableText"/>
              <w:jc w:val="right"/>
            </w:pPr>
            <w:r>
              <w:rPr>
                <w:sz w:val="18"/>
              </w:rPr>
              <w:t>15</w:t>
            </w:r>
          </w:p>
        </w:tc>
      </w:tr>
      <w:tr>
        <w:trPr>
          <w:cantSplit/>
        </w:trPr>
        <w:tc>
          <w:tcPr>
            <w:tcW w:type="dxa" w:w="1180"/>
          </w:tcPr>
          <w:p>
            <w:pPr>
              <w:pStyle w:val="TableText"/>
              <w:jc w:val="left"/>
            </w:pPr>
            <w:r>
              <w:rPr>
                <w:sz w:val="18"/>
              </w:rPr>
              <w:t>Spanish</w:t>
            </w:r>
          </w:p>
        </w:tc>
        <w:tc>
          <w:tcPr>
            <w:tcW w:type="dxa" w:w="1603"/>
          </w:tcPr>
          <w:p>
            <w:pPr>
              <w:pStyle w:val="TableText"/>
              <w:jc w:val="left"/>
            </w:pPr>
            <w:r>
              <w:rPr>
                <w:sz w:val="18"/>
              </w:rPr>
              <w:t>Wiktionary</w:t>
            </w:r>
          </w:p>
        </w:tc>
        <w:tc>
          <w:tcPr>
            <w:tcW w:type="dxa" w:w="1201"/>
          </w:tcPr>
          <w:p>
            <w:pPr>
              <w:pStyle w:val="TableText"/>
              <w:jc w:val="right"/>
            </w:pPr>
            <w:r>
              <w:rPr>
                <w:sz w:val="18"/>
              </w:rPr>
              <w:t>96,018</w:t>
            </w:r>
          </w:p>
        </w:tc>
        <w:tc>
          <w:tcPr>
            <w:tcW w:type="dxa" w:w="1254"/>
          </w:tcPr>
          <w:p>
            <w:pPr>
              <w:pStyle w:val="TableText"/>
              <w:jc w:val="right"/>
            </w:pPr>
            <w:r>
              <w:rPr>
                <w:sz w:val="18"/>
              </w:rPr>
              <w:t>12.0–16.3%</w:t>
            </w:r>
          </w:p>
        </w:tc>
        <w:tc>
          <w:tcPr>
            <w:tcW w:type="dxa" w:w="1152"/>
          </w:tcPr>
          <w:p>
            <w:pPr>
              <w:pStyle w:val="TableText"/>
              <w:jc w:val="right"/>
            </w:pPr>
            <w:r>
              <w:rPr>
                <w:sz w:val="18"/>
              </w:rPr>
              <w:t>1.1–2.1%</w:t>
            </w:r>
          </w:p>
        </w:tc>
        <w:tc>
          <w:tcPr>
            <w:tcW w:type="dxa" w:w="1463"/>
          </w:tcPr>
          <w:p>
            <w:pPr>
              <w:pStyle w:val="TableText"/>
              <w:jc w:val="right"/>
            </w:pPr>
            <w:r>
              <w:rPr>
                <w:sz w:val="18"/>
              </w:rPr>
              <w:t>11%</w:t>
            </w:r>
          </w:p>
        </w:tc>
        <w:tc>
          <w:tcPr>
            <w:tcW w:type="dxa" w:w="1196"/>
          </w:tcPr>
          <w:p>
            <w:pPr>
              <w:pStyle w:val="TableText"/>
              <w:jc w:val="right"/>
            </w:pPr>
            <w:r>
              <w:rPr>
                <w:sz w:val="18"/>
              </w:rPr>
              <w:t>12</w:t>
            </w:r>
          </w:p>
        </w:tc>
      </w:tr>
      <w:tr>
        <w:trPr>
          <w:cantSplit/>
        </w:trPr>
        <w:tc>
          <w:tcPr>
            <w:tcW w:type="dxa" w:w="1180"/>
          </w:tcPr>
          <w:p>
            <w:pPr>
              <w:pStyle w:val="TableText"/>
              <w:jc w:val="left"/>
            </w:pPr>
            <w:r>
              <w:rPr>
                <w:sz w:val="18"/>
              </w:rPr>
              <w:t>Portuguese</w:t>
            </w:r>
          </w:p>
        </w:tc>
        <w:tc>
          <w:tcPr>
            <w:tcW w:type="dxa" w:w="1603"/>
          </w:tcPr>
          <w:p>
            <w:pPr>
              <w:pStyle w:val="TableText"/>
              <w:jc w:val="left"/>
            </w:pPr>
            <w:r>
              <w:rPr>
                <w:sz w:val="18"/>
              </w:rPr>
              <w:t>Wiktionary</w:t>
            </w:r>
          </w:p>
        </w:tc>
        <w:tc>
          <w:tcPr>
            <w:tcW w:type="dxa" w:w="1201"/>
          </w:tcPr>
          <w:p>
            <w:pPr>
              <w:pStyle w:val="TableText"/>
              <w:jc w:val="right"/>
            </w:pPr>
            <w:r>
              <w:rPr>
                <w:sz w:val="18"/>
              </w:rPr>
              <w:t>69,586</w:t>
            </w:r>
          </w:p>
        </w:tc>
        <w:tc>
          <w:tcPr>
            <w:tcW w:type="dxa" w:w="1254"/>
          </w:tcPr>
          <w:p>
            <w:pPr>
              <w:pStyle w:val="TableText"/>
              <w:jc w:val="right"/>
            </w:pPr>
            <w:r>
              <w:rPr>
                <w:sz w:val="18"/>
              </w:rPr>
              <w:t>14.5–18.5%</w:t>
            </w:r>
          </w:p>
        </w:tc>
        <w:tc>
          <w:tcPr>
            <w:tcW w:type="dxa" w:w="1152"/>
          </w:tcPr>
          <w:p>
            <w:pPr>
              <w:pStyle w:val="TableText"/>
              <w:jc w:val="right"/>
            </w:pPr>
            <w:r>
              <w:rPr>
                <w:sz w:val="18"/>
              </w:rPr>
              <w:t>2.1–2.9%</w:t>
            </w:r>
          </w:p>
        </w:tc>
        <w:tc>
          <w:tcPr>
            <w:tcW w:type="dxa" w:w="1463"/>
          </w:tcPr>
          <w:p>
            <w:pPr>
              <w:pStyle w:val="TableText"/>
              <w:jc w:val="right"/>
            </w:pPr>
            <w:r>
              <w:rPr>
                <w:sz w:val="18"/>
              </w:rPr>
              <w:t>15%</w:t>
            </w:r>
          </w:p>
        </w:tc>
        <w:tc>
          <w:tcPr>
            <w:tcW w:type="dxa" w:w="1196"/>
          </w:tcPr>
          <w:p>
            <w:pPr>
              <w:pStyle w:val="TableText"/>
              <w:jc w:val="right"/>
            </w:pPr>
            <w:r>
              <w:rPr>
                <w:sz w:val="18"/>
              </w:rPr>
              <w:t>27</w:t>
            </w:r>
          </w:p>
        </w:tc>
      </w:tr>
      <w:tr>
        <w:trPr>
          <w:cantSplit/>
        </w:trPr>
        <w:tc>
          <w:tcPr>
            <w:tcW w:type="dxa" w:w="1180"/>
          </w:tcPr>
          <w:p>
            <w:pPr>
              <w:pStyle w:val="TableText"/>
              <w:jc w:val="left"/>
            </w:pPr>
            <w:r>
              <w:rPr>
                <w:sz w:val="18"/>
              </w:rPr>
              <w:t>French</w:t>
            </w:r>
          </w:p>
        </w:tc>
        <w:tc>
          <w:tcPr>
            <w:tcW w:type="dxa" w:w="1603"/>
          </w:tcPr>
          <w:p>
            <w:pPr>
              <w:pStyle w:val="TableText"/>
              <w:jc w:val="left"/>
            </w:pPr>
            <w:r>
              <w:rPr>
                <w:sz w:val="18"/>
              </w:rPr>
              <w:t>Wiktionary</w:t>
            </w:r>
          </w:p>
        </w:tc>
        <w:tc>
          <w:tcPr>
            <w:tcW w:type="dxa" w:w="1201"/>
          </w:tcPr>
          <w:p>
            <w:pPr>
              <w:pStyle w:val="TableText"/>
              <w:jc w:val="right"/>
            </w:pPr>
            <w:r>
              <w:rPr>
                <w:sz w:val="18"/>
              </w:rPr>
              <w:t>250,887</w:t>
            </w:r>
          </w:p>
        </w:tc>
        <w:tc>
          <w:tcPr>
            <w:tcW w:type="dxa" w:w="1254"/>
          </w:tcPr>
          <w:p>
            <w:pPr>
              <w:pStyle w:val="TableText"/>
              <w:jc w:val="right"/>
            </w:pPr>
            <w:r>
              <w:rPr>
                <w:sz w:val="18"/>
              </w:rPr>
              <w:t>6.4–10.5%</w:t>
            </w:r>
          </w:p>
        </w:tc>
        <w:tc>
          <w:tcPr>
            <w:tcW w:type="dxa" w:w="1152"/>
          </w:tcPr>
          <w:p>
            <w:pPr>
              <w:pStyle w:val="TableText"/>
              <w:jc w:val="right"/>
            </w:pPr>
            <w:r>
              <w:rPr>
                <w:sz w:val="18"/>
              </w:rPr>
              <w:t>0.8–1.7%</w:t>
            </w:r>
          </w:p>
        </w:tc>
        <w:tc>
          <w:tcPr>
            <w:tcW w:type="dxa" w:w="1463"/>
          </w:tcPr>
          <w:p>
            <w:pPr>
              <w:pStyle w:val="TableText"/>
              <w:jc w:val="right"/>
            </w:pPr>
            <w:r>
              <w:rPr>
                <w:sz w:val="18"/>
              </w:rPr>
              <w:t>14%</w:t>
            </w:r>
          </w:p>
        </w:tc>
        <w:tc>
          <w:tcPr>
            <w:tcW w:type="dxa" w:w="1196"/>
          </w:tcPr>
          <w:p>
            <w:pPr>
              <w:pStyle w:val="TableText"/>
              <w:jc w:val="right"/>
            </w:pPr>
            <w:r>
              <w:rPr>
                <w:sz w:val="18"/>
              </w:rPr>
              <w:t>10</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Simple Wiktionary</w:t>
            </w:r>
          </w:p>
        </w:tc>
        <w:tc>
          <w:tcPr>
            <w:tcW w:type="dxa" w:w="1201"/>
          </w:tcPr>
          <w:p>
            <w:pPr>
              <w:pStyle w:val="TableText"/>
              <w:jc w:val="right"/>
            </w:pPr>
            <w:r>
              <w:rPr>
                <w:sz w:val="18"/>
              </w:rPr>
              <w:t>20,638</w:t>
            </w:r>
          </w:p>
        </w:tc>
        <w:tc>
          <w:tcPr>
            <w:tcW w:type="dxa" w:w="1254"/>
          </w:tcPr>
          <w:p>
            <w:pPr>
              <w:pStyle w:val="TableText"/>
              <w:jc w:val="right"/>
            </w:pPr>
            <w:r>
              <w:rPr>
                <w:sz w:val="18"/>
              </w:rPr>
              <w:t>14.4–18.0%</w:t>
            </w:r>
          </w:p>
        </w:tc>
        <w:tc>
          <w:tcPr>
            <w:tcW w:type="dxa" w:w="1152"/>
          </w:tcPr>
          <w:p>
            <w:pPr>
              <w:pStyle w:val="TableText"/>
              <w:jc w:val="right"/>
            </w:pPr>
            <w:r>
              <w:rPr>
                <w:sz w:val="18"/>
              </w:rPr>
              <w:t>1.9–3.1%</w:t>
            </w:r>
          </w:p>
        </w:tc>
        <w:tc>
          <w:tcPr>
            <w:tcW w:type="dxa" w:w="1463"/>
          </w:tcPr>
          <w:p>
            <w:pPr>
              <w:pStyle w:val="TableText"/>
              <w:jc w:val="right"/>
            </w:pPr>
            <w:r>
              <w:rPr>
                <w:sz w:val="18"/>
              </w:rPr>
              <w:t>14–16%</w:t>
            </w:r>
          </w:p>
        </w:tc>
        <w:tc>
          <w:tcPr>
            <w:tcW w:type="dxa" w:w="1196"/>
          </w:tcPr>
          <w:p>
            <w:pPr>
              <w:pStyle w:val="TableText"/>
              <w:jc w:val="right"/>
            </w:pPr>
            <w:r>
              <w:rPr>
                <w:sz w:val="18"/>
              </w:rPr>
              <w:t>26</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WordNet 3.0</w:t>
            </w:r>
          </w:p>
        </w:tc>
        <w:tc>
          <w:tcPr>
            <w:tcW w:type="dxa" w:w="1201"/>
          </w:tcPr>
          <w:p>
            <w:pPr>
              <w:pStyle w:val="TableText"/>
              <w:jc w:val="right"/>
            </w:pPr>
            <w:r>
              <w:rPr>
                <w:sz w:val="18"/>
              </w:rPr>
              <w:t>77,426</w:t>
            </w:r>
          </w:p>
        </w:tc>
        <w:tc>
          <w:tcPr>
            <w:tcW w:type="dxa" w:w="1254"/>
          </w:tcPr>
          <w:p>
            <w:pPr>
              <w:pStyle w:val="TableText"/>
              <w:jc w:val="right"/>
            </w:pPr>
            <w:r>
              <w:rPr>
                <w:sz w:val="18"/>
              </w:rPr>
              <w:t>15.2–18.3%</w:t>
            </w:r>
          </w:p>
        </w:tc>
        <w:tc>
          <w:tcPr>
            <w:tcW w:type="dxa" w:w="1152"/>
          </w:tcPr>
          <w:p>
            <w:pPr>
              <w:pStyle w:val="TableText"/>
              <w:jc w:val="right"/>
            </w:pPr>
            <w:r>
              <w:rPr>
                <w:sz w:val="18"/>
              </w:rPr>
              <w:t>2.1–2.8%</w:t>
            </w:r>
          </w:p>
        </w:tc>
        <w:tc>
          <w:tcPr>
            <w:tcW w:type="dxa" w:w="1463"/>
          </w:tcPr>
          <w:p>
            <w:pPr>
              <w:pStyle w:val="TableText"/>
              <w:jc w:val="right"/>
            </w:pPr>
            <w:r>
              <w:rPr>
                <w:sz w:val="18"/>
              </w:rPr>
              <w:t>14%</w:t>
            </w:r>
          </w:p>
        </w:tc>
        <w:tc>
          <w:tcPr>
            <w:tcW w:type="dxa" w:w="1196"/>
          </w:tcPr>
          <w:p>
            <w:pPr>
              <w:pStyle w:val="TableText"/>
              <w:jc w:val="right"/>
            </w:pPr>
            <w:r>
              <w:rPr>
                <w:sz w:val="18"/>
              </w:rPr>
              <w:t>23</w:t>
            </w:r>
          </w:p>
        </w:tc>
      </w:tr>
      <w:tr>
        <w:trPr>
          <w:cantSplit/>
        </w:trPr>
        <w:tc>
          <w:tcPr>
            <w:tcW w:type="dxa" w:w="1180"/>
          </w:tcPr>
          <w:p>
            <w:pPr>
              <w:pStyle w:val="TableText"/>
              <w:jc w:val="left"/>
            </w:pPr>
            <w:r>
              <w:rPr>
                <w:sz w:val="18"/>
              </w:rPr>
              <w:t>German</w:t>
            </w:r>
          </w:p>
        </w:tc>
        <w:tc>
          <w:tcPr>
            <w:tcW w:type="dxa" w:w="1603"/>
          </w:tcPr>
          <w:p>
            <w:pPr>
              <w:pStyle w:val="TableText"/>
              <w:jc w:val="left"/>
            </w:pPr>
            <w:r>
              <w:rPr>
                <w:sz w:val="18"/>
              </w:rPr>
              <w:t>Wiktionary</w:t>
            </w:r>
          </w:p>
        </w:tc>
        <w:tc>
          <w:tcPr>
            <w:tcW w:type="dxa" w:w="1201"/>
          </w:tcPr>
          <w:p>
            <w:pPr>
              <w:pStyle w:val="TableText"/>
              <w:jc w:val="right"/>
            </w:pPr>
            <w:r>
              <w:rPr>
                <w:sz w:val="18"/>
              </w:rPr>
              <w:t>147,947</w:t>
            </w:r>
          </w:p>
        </w:tc>
        <w:tc>
          <w:tcPr>
            <w:tcW w:type="dxa" w:w="1254"/>
          </w:tcPr>
          <w:p>
            <w:pPr>
              <w:pStyle w:val="TableText"/>
              <w:jc w:val="right"/>
            </w:pPr>
            <w:r>
              <w:rPr>
                <w:sz w:val="18"/>
              </w:rPr>
              <w:t>7.8–10.8%</w:t>
            </w:r>
          </w:p>
        </w:tc>
        <w:tc>
          <w:tcPr>
            <w:tcW w:type="dxa" w:w="1152"/>
          </w:tcPr>
          <w:p>
            <w:pPr>
              <w:pStyle w:val="TableText"/>
              <w:jc w:val="right"/>
            </w:pPr>
            <w:r>
              <w:rPr>
                <w:sz w:val="18"/>
              </w:rPr>
              <w:t>0.8–1.4%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Dutch</w:t>
            </w:r>
          </w:p>
        </w:tc>
        <w:tc>
          <w:tcPr>
            <w:tcW w:type="dxa" w:w="1603"/>
          </w:tcPr>
          <w:p>
            <w:pPr>
              <w:pStyle w:val="TableText"/>
              <w:jc w:val="left"/>
            </w:pPr>
            <w:r>
              <w:rPr>
                <w:sz w:val="18"/>
              </w:rPr>
              <w:t>Wiktionary</w:t>
            </w:r>
          </w:p>
        </w:tc>
        <w:tc>
          <w:tcPr>
            <w:tcW w:type="dxa" w:w="1201"/>
          </w:tcPr>
          <w:p>
            <w:pPr>
              <w:pStyle w:val="TableText"/>
              <w:jc w:val="right"/>
            </w:pPr>
            <w:r>
              <w:rPr>
                <w:sz w:val="18"/>
              </w:rPr>
              <w:t>163,329</w:t>
            </w:r>
          </w:p>
        </w:tc>
        <w:tc>
          <w:tcPr>
            <w:tcW w:type="dxa" w:w="1254"/>
          </w:tcPr>
          <w:p>
            <w:pPr>
              <w:pStyle w:val="TableText"/>
              <w:jc w:val="right"/>
            </w:pPr>
            <w:r>
              <w:rPr>
                <w:sz w:val="18"/>
              </w:rPr>
              <w:t>7.5–10.2%</w:t>
            </w:r>
          </w:p>
        </w:tc>
        <w:tc>
          <w:tcPr>
            <w:tcW w:type="dxa" w:w="1152"/>
          </w:tcPr>
          <w:p>
            <w:pPr>
              <w:pStyle w:val="TableText"/>
              <w:jc w:val="right"/>
            </w:pPr>
            <w:r>
              <w:rPr>
                <w:sz w:val="18"/>
              </w:rPr>
              <w:t>1.0–1.6%</w:t>
            </w:r>
          </w:p>
        </w:tc>
        <w:tc>
          <w:tcPr>
            <w:tcW w:type="dxa" w:w="1463"/>
          </w:tcPr>
          <w:p>
            <w:pPr>
              <w:pStyle w:val="TableText"/>
              <w:jc w:val="right"/>
            </w:pPr>
            <w:r>
              <w:rPr>
                <w:sz w:val="18"/>
              </w:rPr>
              <w:t>14–15%</w:t>
            </w:r>
          </w:p>
        </w:tc>
        <w:tc>
          <w:tcPr>
            <w:tcW w:type="dxa" w:w="1196"/>
          </w:tcPr>
          <w:p>
            <w:pPr>
              <w:pStyle w:val="TableText"/>
              <w:jc w:val="right"/>
            </w:pPr>
            <w:r>
              <w:rPr>
                <w:sz w:val="18"/>
              </w:rPr>
              <w:t>14</w:t>
            </w:r>
          </w:p>
        </w:tc>
      </w:tr>
      <w:tr>
        <w:trPr>
          <w:cantSplit/>
        </w:trPr>
        <w:tc>
          <w:tcPr>
            <w:tcW w:type="dxa" w:w="1180"/>
          </w:tcPr>
          <w:p>
            <w:pPr>
              <w:pStyle w:val="TableText"/>
              <w:jc w:val="left"/>
            </w:pPr>
            <w:r>
              <w:rPr>
                <w:sz w:val="18"/>
              </w:rPr>
              <w:t>Polish</w:t>
            </w:r>
          </w:p>
        </w:tc>
        <w:tc>
          <w:tcPr>
            <w:tcW w:type="dxa" w:w="1603"/>
          </w:tcPr>
          <w:p>
            <w:pPr>
              <w:pStyle w:val="TableText"/>
              <w:jc w:val="left"/>
            </w:pPr>
            <w:r>
              <w:rPr>
                <w:sz w:val="18"/>
              </w:rPr>
              <w:t>Wiktionary</w:t>
            </w:r>
          </w:p>
        </w:tc>
        <w:tc>
          <w:tcPr>
            <w:tcW w:type="dxa" w:w="1201"/>
          </w:tcPr>
          <w:p>
            <w:pPr>
              <w:pStyle w:val="TableText"/>
              <w:jc w:val="right"/>
            </w:pPr>
            <w:r>
              <w:rPr>
                <w:sz w:val="18"/>
              </w:rPr>
              <w:t>90,717</w:t>
            </w:r>
          </w:p>
        </w:tc>
        <w:tc>
          <w:tcPr>
            <w:tcW w:type="dxa" w:w="1254"/>
          </w:tcPr>
          <w:p>
            <w:pPr>
              <w:pStyle w:val="TableText"/>
              <w:jc w:val="right"/>
            </w:pPr>
            <w:r>
              <w:rPr>
                <w:sz w:val="18"/>
              </w:rPr>
              <w:t>9.3–11.3%</w:t>
            </w:r>
          </w:p>
        </w:tc>
        <w:tc>
          <w:tcPr>
            <w:tcW w:type="dxa" w:w="1152"/>
          </w:tcPr>
          <w:p>
            <w:pPr>
              <w:pStyle w:val="TableText"/>
              <w:jc w:val="right"/>
            </w:pPr>
            <w:r>
              <w:rPr>
                <w:sz w:val="18"/>
              </w:rPr>
              <w:t>1.0–1.4%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Czech</w:t>
            </w:r>
          </w:p>
        </w:tc>
        <w:tc>
          <w:tcPr>
            <w:tcW w:type="dxa" w:w="1603"/>
          </w:tcPr>
          <w:p>
            <w:pPr>
              <w:pStyle w:val="TableText"/>
              <w:jc w:val="left"/>
            </w:pPr>
            <w:r>
              <w:rPr>
                <w:sz w:val="18"/>
              </w:rPr>
              <w:t>Wiktionary</w:t>
            </w:r>
          </w:p>
        </w:tc>
        <w:tc>
          <w:tcPr>
            <w:tcW w:type="dxa" w:w="1201"/>
          </w:tcPr>
          <w:p>
            <w:pPr>
              <w:pStyle w:val="TableText"/>
              <w:jc w:val="right"/>
            </w:pPr>
            <w:r>
              <w:rPr>
                <w:sz w:val="18"/>
              </w:rPr>
              <w:t>40,324</w:t>
            </w:r>
          </w:p>
        </w:tc>
        <w:tc>
          <w:tcPr>
            <w:tcW w:type="dxa" w:w="1254"/>
          </w:tcPr>
          <w:p>
            <w:pPr>
              <w:pStyle w:val="TableText"/>
              <w:jc w:val="right"/>
            </w:pPr>
            <w:r>
              <w:rPr>
                <w:sz w:val="18"/>
              </w:rPr>
              <w:t>9.7–12.0%</w:t>
            </w:r>
          </w:p>
        </w:tc>
        <w:tc>
          <w:tcPr>
            <w:tcW w:type="dxa" w:w="1152"/>
          </w:tcPr>
          <w:p>
            <w:pPr>
              <w:pStyle w:val="TableText"/>
              <w:jc w:val="right"/>
            </w:pPr>
            <w:r>
              <w:rPr>
                <w:sz w:val="18"/>
              </w:rPr>
              <w:t>0.9–1.5%</w:t>
            </w:r>
          </w:p>
        </w:tc>
        <w:tc>
          <w:tcPr>
            <w:tcW w:type="dxa" w:w="1463"/>
          </w:tcPr>
          <w:p>
            <w:pPr>
              <w:pStyle w:val="TableText"/>
              <w:jc w:val="right"/>
            </w:pPr>
            <w:r>
              <w:rPr>
                <w:sz w:val="18"/>
              </w:rPr>
              <w:t>11%</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Russian</w:t>
            </w:r>
          </w:p>
        </w:tc>
        <w:tc>
          <w:tcPr>
            <w:tcW w:type="dxa" w:w="1603"/>
          </w:tcPr>
          <w:p>
            <w:pPr>
              <w:pStyle w:val="TableText"/>
              <w:jc w:val="left"/>
            </w:pPr>
            <w:r>
              <w:rPr>
                <w:sz w:val="18"/>
              </w:rPr>
              <w:t>Wiktionary</w:t>
            </w:r>
          </w:p>
        </w:tc>
        <w:tc>
          <w:tcPr>
            <w:tcW w:type="dxa" w:w="1201"/>
          </w:tcPr>
          <w:p>
            <w:pPr>
              <w:pStyle w:val="TableText"/>
              <w:jc w:val="right"/>
            </w:pPr>
            <w:r>
              <w:rPr>
                <w:sz w:val="18"/>
              </w:rPr>
              <w:t>395,871</w:t>
            </w:r>
          </w:p>
        </w:tc>
        <w:tc>
          <w:tcPr>
            <w:tcW w:type="dxa" w:w="1254"/>
          </w:tcPr>
          <w:p>
            <w:pPr>
              <w:pStyle w:val="TableText"/>
              <w:jc w:val="right"/>
            </w:pPr>
            <w:r>
              <w:rPr>
                <w:sz w:val="18"/>
              </w:rPr>
              <w:t>5.0–6.4%</w:t>
            </w:r>
          </w:p>
        </w:tc>
        <w:tc>
          <w:tcPr>
            <w:tcW w:type="dxa" w:w="1152"/>
          </w:tcPr>
          <w:p>
            <w:pPr>
              <w:pStyle w:val="TableText"/>
              <w:jc w:val="right"/>
            </w:pPr>
            <w:r>
              <w:rPr>
                <w:sz w:val="18"/>
              </w:rPr>
              <w:t>0.6–0.8%</w:t>
            </w:r>
          </w:p>
        </w:tc>
        <w:tc>
          <w:tcPr>
            <w:tcW w:type="dxa" w:w="1463"/>
          </w:tcPr>
          <w:p>
            <w:pPr>
              <w:pStyle w:val="TableText"/>
              <w:jc w:val="right"/>
            </w:pPr>
            <w:r>
              <w:rPr>
                <w:sz w:val="18"/>
              </w:rPr>
              <w:t>11–12%</w:t>
            </w:r>
          </w:p>
        </w:tc>
        <w:tc>
          <w:tcPr>
            <w:tcW w:type="dxa" w:w="1196"/>
          </w:tcPr>
          <w:p>
            <w:pPr>
              <w:pStyle w:val="TableText"/>
              <w:jc w:val="right"/>
            </w:pPr>
            <w:r>
              <w:rPr>
                <w:sz w:val="18"/>
              </w:rPr>
              <w:t>6</w:t>
            </w:r>
          </w:p>
        </w:tc>
      </w:tr>
      <w:tr>
        <w:trPr>
          <w:cantSplit/>
        </w:trPr>
        <w:tc>
          <w:tcPr>
            <w:tcW w:type="dxa" w:w="1180"/>
            <w:tcBorders>
              <w:bottom w:val="single" w:sz="12" w:space="0" w:color="000000"/>
            </w:tcBorders>
          </w:tcPr>
          <w:p>
            <w:pPr>
              <w:pStyle w:val="TableText"/>
              <w:jc w:val="left"/>
            </w:pPr>
            <w:r>
              <w:rPr>
                <w:sz w:val="18"/>
              </w:rPr>
              <w:t>Greek</w:t>
            </w:r>
          </w:p>
        </w:tc>
        <w:tc>
          <w:tcPr>
            <w:tcW w:type="dxa" w:w="1603"/>
            <w:tcBorders>
              <w:bottom w:val="single" w:sz="12" w:space="0" w:color="000000"/>
            </w:tcBorders>
          </w:tcPr>
          <w:p>
            <w:pPr>
              <w:pStyle w:val="TableText"/>
              <w:jc w:val="left"/>
            </w:pPr>
            <w:r>
              <w:rPr>
                <w:sz w:val="18"/>
              </w:rPr>
              <w:t>Wiktionary</w:t>
            </w:r>
          </w:p>
        </w:tc>
        <w:tc>
          <w:tcPr>
            <w:tcW w:type="dxa" w:w="1201"/>
            <w:tcBorders>
              <w:bottom w:val="single" w:sz="12" w:space="0" w:color="000000"/>
            </w:tcBorders>
          </w:tcPr>
          <w:p>
            <w:pPr>
              <w:pStyle w:val="TableText"/>
              <w:jc w:val="right"/>
            </w:pPr>
            <w:r>
              <w:rPr>
                <w:sz w:val="18"/>
              </w:rPr>
              <w:t>90,089</w:t>
            </w:r>
          </w:p>
        </w:tc>
        <w:tc>
          <w:tcPr>
            <w:tcW w:type="dxa" w:w="1254"/>
            <w:tcBorders>
              <w:bottom w:val="single" w:sz="12" w:space="0" w:color="000000"/>
            </w:tcBorders>
          </w:tcPr>
          <w:p>
            <w:pPr>
              <w:pStyle w:val="TableText"/>
              <w:jc w:val="right"/>
            </w:pPr>
            <w:r>
              <w:rPr>
                <w:sz w:val="18"/>
              </w:rPr>
              <w:t>10.2–12.7%</w:t>
            </w:r>
          </w:p>
        </w:tc>
        <w:tc>
          <w:tcPr>
            <w:tcW w:type="dxa" w:w="1152"/>
            <w:tcBorders>
              <w:bottom w:val="single" w:sz="12" w:space="0" w:color="000000"/>
            </w:tcBorders>
          </w:tcPr>
          <w:p>
            <w:pPr>
              <w:pStyle w:val="TableText"/>
              <w:jc w:val="right"/>
            </w:pPr>
            <w:r>
              <w:rPr>
                <w:sz w:val="18"/>
              </w:rPr>
              <w:t>1.3–1.9%</w:t>
            </w:r>
          </w:p>
        </w:tc>
        <w:tc>
          <w:tcPr>
            <w:tcW w:type="dxa" w:w="1463"/>
            <w:tcBorders>
              <w:bottom w:val="single" w:sz="12" w:space="0" w:color="000000"/>
            </w:tcBorders>
          </w:tcPr>
          <w:p>
            <w:pPr>
              <w:pStyle w:val="TableText"/>
              <w:jc w:val="right"/>
            </w:pPr>
            <w:r>
              <w:rPr>
                <w:sz w:val="18"/>
              </w:rPr>
              <w:t>13–14%</w:t>
            </w:r>
          </w:p>
        </w:tc>
        <w:tc>
          <w:tcPr>
            <w:tcW w:type="dxa" w:w="1196"/>
            <w:tcBorders>
              <w:bottom w:val="single" w:sz="12" w:space="0" w:color="000000"/>
            </w:tcBorders>
          </w:tcPr>
          <w:p>
            <w:pPr>
              <w:pStyle w:val="TableText"/>
              <w:jc w:val="right"/>
            </w:pPr>
            <w:r>
              <w:rPr>
                <w:sz w:val="18"/>
              </w:rPr>
              <w:t>14</w:t>
            </w:r>
          </w:p>
        </w:tc>
      </w:tr>
    </w:tbl>
    <w:p>
      <w:pPr>
        <w:pStyle w:val="TableText"/>
        <w:spacing w:after="80"/>
      </w:pPr>
    </w:p>
    <w:p>
      <w:pPr>
        <w:pStyle w:val="Heading2"/>
      </w:pPr>
      <w:r>
        <w:t xml:space="preserve">4.3.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4.4.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3, Figure 4).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3.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723200" cy="1926221"/>
            <wp:docPr id="4" name="Picture 4"/>
            <wp:cNvGraphicFramePr>
              <a:graphicFrameLocks noChangeAspect="1"/>
            </wp:cNvGraphicFramePr>
            <a:graphic>
              <a:graphicData uri="http://schemas.openxmlformats.org/drawingml/2006/picture">
                <pic:pic>
                  <pic:nvPicPr>
                    <pic:cNvPr id="0" name="fig2_enrichment.png"/>
                    <pic:cNvPicPr/>
                  </pic:nvPicPr>
                  <pic:blipFill>
                    <a:blip r:embed="rId11"/>
                    <a:stretch>
                      <a:fillRect/>
                    </a:stretch>
                  </pic:blipFill>
                  <pic:spPr>
                    <a:xfrm>
                      <a:off x="0" y="0"/>
                      <a:ext cx="4723200" cy="1926221"/>
                    </a:xfrm>
                    <a:prstGeom prst="rect"/>
                  </pic:spPr>
                </pic:pic>
              </a:graphicData>
            </a:graphic>
          </wp:inline>
        </w:drawing>
      </w:r>
    </w:p>
    <w:p>
      <w:pPr>
        <w:pStyle w:val="Caption"/>
      </w:pPr>
      <w:r>
        <w:t xml:space="preserve">Figure 4. </w:t>
      </w:r>
      <w:r>
        <w:t>Proportion of each reference inventory in the Kernel and in the MinSet. The dashed line marks the proportion expected under random selection.</w:t>
      </w:r>
    </w:p>
    <w:p>
      <w:pPr>
        <w:pStyle w:val="Heading2"/>
      </w:pPr>
      <w:r>
        <w:t xml:space="preserve">4.5. </w:t>
      </w:r>
      <w:r>
        <w:t>Graur’s Examples</w:t>
      </w:r>
    </w:p>
    <w:p>
      <w:pPr>
        <w:pStyle w:val="NormalFirstParagraph"/>
      </w:pPr>
      <w:r>
        <w:t xml:space="preserve">In arguing for his criteria, Graur discussed a number of individual words (Graur, 1954, pp. 16–25). Table 4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4.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blHeader/>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jc w:val="left"/>
            </w:pPr>
            <w:r>
              <w:rPr>
                <w:i/>
                <w:sz w:val="20"/>
                <w:lang w:val="ro-RO"/>
              </w:rPr>
              <w:t>arbore</w:t>
            </w:r>
          </w:p>
        </w:tc>
        <w:tc>
          <w:tcPr>
            <w:tcW w:type="dxa" w:w="2119"/>
          </w:tcPr>
          <w:p>
            <w:pPr>
              <w:pStyle w:val="TableText"/>
              <w:jc w:val="left"/>
            </w:pPr>
            <w:r>
              <w:rPr>
                <w:sz w:val="20"/>
              </w:rPr>
              <w:t>‘tree’</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157 headwords</w:t>
            </w:r>
          </w:p>
        </w:tc>
      </w:tr>
      <w:tr>
        <w:trPr>
          <w:cantSplit/>
        </w:trPr>
        <w:tc>
          <w:tcPr>
            <w:tcW w:type="dxa" w:w="1121"/>
          </w:tcPr>
          <w:p>
            <w:pPr>
              <w:pStyle w:val="TableText"/>
              <w:jc w:val="left"/>
            </w:pPr>
            <w:r>
              <w:rPr>
                <w:i/>
                <w:sz w:val="20"/>
                <w:lang w:val="ro-RO"/>
              </w:rPr>
              <w:t>copac</w:t>
            </w:r>
          </w:p>
        </w:tc>
        <w:tc>
          <w:tcPr>
            <w:tcW w:type="dxa" w:w="2119"/>
          </w:tcPr>
          <w:p>
            <w:pPr>
              <w:pStyle w:val="TableText"/>
              <w:jc w:val="left"/>
            </w:pPr>
            <w:r>
              <w:rPr>
                <w:sz w:val="20"/>
              </w:rPr>
              <w:t>‘tree’</w:t>
            </w:r>
          </w:p>
        </w:tc>
        <w:tc>
          <w:tcPr>
            <w:tcW w:type="dxa" w:w="1594"/>
          </w:tcPr>
          <w:p>
            <w:pPr>
              <w:pStyle w:val="TableText"/>
              <w:jc w:val="left"/>
            </w:pPr>
            <w:r>
              <w:rPr>
                <w:sz w:val="20"/>
              </w:rPr>
              <w:t>middle circle</w:t>
            </w:r>
          </w:p>
        </w:tc>
        <w:tc>
          <w:tcPr>
            <w:tcW w:type="dxa" w:w="1880"/>
          </w:tcPr>
          <w:p>
            <w:pPr>
              <w:pStyle w:val="TableText"/>
              <w:jc w:val="left"/>
            </w:pPr>
            <w:r>
              <w:rPr>
                <w:sz w:val="20"/>
              </w:rPr>
              <w:t>MinSet</w:t>
            </w:r>
          </w:p>
        </w:tc>
        <w:tc>
          <w:tcPr>
            <w:tcW w:type="dxa" w:w="2166"/>
          </w:tcPr>
          <w:p>
            <w:pPr>
              <w:pStyle w:val="TableText"/>
              <w:jc w:val="left"/>
            </w:pPr>
            <w:r>
              <w:rPr>
                <w:sz w:val="20"/>
              </w:rPr>
              <w:t>84 headwords</w:t>
            </w:r>
          </w:p>
        </w:tc>
      </w:tr>
      <w:tr>
        <w:trPr>
          <w:cantSplit/>
        </w:trPr>
        <w:tc>
          <w:tcPr>
            <w:tcW w:type="dxa" w:w="1121"/>
          </w:tcPr>
          <w:p>
            <w:pPr>
              <w:pStyle w:val="TableText"/>
              <w:jc w:val="left"/>
            </w:pPr>
            <w:r>
              <w:rPr>
                <w:i/>
                <w:sz w:val="20"/>
                <w:lang w:val="ro-RO"/>
              </w:rPr>
              <w:t>pom</w:t>
            </w:r>
          </w:p>
        </w:tc>
        <w:tc>
          <w:tcPr>
            <w:tcW w:type="dxa" w:w="2119"/>
          </w:tcPr>
          <w:p>
            <w:pPr>
              <w:pStyle w:val="TableText"/>
              <w:jc w:val="left"/>
            </w:pPr>
            <w:r>
              <w:rPr>
                <w:sz w:val="20"/>
              </w:rPr>
              <w:t>‘(fruit) tree’</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52 headwords</w:t>
            </w:r>
          </w:p>
        </w:tc>
      </w:tr>
      <w:tr>
        <w:trPr>
          <w:cantSplit/>
        </w:trPr>
        <w:tc>
          <w:tcPr>
            <w:tcW w:type="dxa" w:w="1121"/>
          </w:tcPr>
          <w:p>
            <w:pPr>
              <w:pStyle w:val="TableText"/>
              <w:jc w:val="left"/>
            </w:pPr>
            <w:r>
              <w:rPr>
                <w:i/>
                <w:sz w:val="20"/>
                <w:lang w:val="ro-RO"/>
              </w:rPr>
              <w:t>lemn</w:t>
            </w:r>
          </w:p>
        </w:tc>
        <w:tc>
          <w:tcPr>
            <w:tcW w:type="dxa" w:w="2119"/>
          </w:tcPr>
          <w:p>
            <w:pPr>
              <w:pStyle w:val="TableText"/>
              <w:jc w:val="left"/>
            </w:pPr>
            <w:r>
              <w:rPr>
                <w:sz w:val="20"/>
              </w:rPr>
              <w:t>‘wood’</w:t>
            </w:r>
          </w:p>
        </w:tc>
        <w:tc>
          <w:tcPr>
            <w:tcW w:type="dxa" w:w="1594"/>
          </w:tcPr>
          <w:p>
            <w:pPr>
              <w:pStyle w:val="TableText"/>
              <w:jc w:val="left"/>
            </w:pPr>
            <w:r>
              <w:rPr>
                <w:sz w:val="20"/>
              </w:rPr>
              <w:t>most certain</w:t>
            </w:r>
          </w:p>
        </w:tc>
        <w:tc>
          <w:tcPr>
            <w:tcW w:type="dxa" w:w="1880"/>
          </w:tcPr>
          <w:p>
            <w:pPr>
              <w:pStyle w:val="TableText"/>
              <w:jc w:val="left"/>
            </w:pPr>
            <w:r>
              <w:rPr>
                <w:sz w:val="20"/>
              </w:rPr>
              <w:t>MinSet</w:t>
            </w:r>
          </w:p>
        </w:tc>
        <w:tc>
          <w:tcPr>
            <w:tcW w:type="dxa" w:w="2166"/>
          </w:tcPr>
          <w:p>
            <w:pPr>
              <w:pStyle w:val="TableText"/>
              <w:jc w:val="left"/>
            </w:pPr>
            <w:r>
              <w:rPr>
                <w:sz w:val="20"/>
              </w:rPr>
              <w:t>563 headwords</w:t>
            </w:r>
          </w:p>
        </w:tc>
      </w:tr>
      <w:tr>
        <w:trPr>
          <w:cantSplit/>
        </w:trPr>
        <w:tc>
          <w:tcPr>
            <w:tcW w:type="dxa" w:w="1121"/>
          </w:tcPr>
          <w:p>
            <w:pPr>
              <w:pStyle w:val="TableText"/>
              <w:jc w:val="left"/>
            </w:pPr>
            <w:r>
              <w:rPr>
                <w:i/>
                <w:sz w:val="20"/>
                <w:lang w:val="ro-RO"/>
              </w:rPr>
              <w:t>femeie</w:t>
            </w:r>
          </w:p>
        </w:tc>
        <w:tc>
          <w:tcPr>
            <w:tcW w:type="dxa" w:w="2119"/>
          </w:tcPr>
          <w:p>
            <w:pPr>
              <w:pStyle w:val="TableText"/>
              <w:jc w:val="left"/>
            </w:pPr>
            <w:r>
              <w:rPr>
                <w:sz w:val="20"/>
              </w:rPr>
              <w:t>‘woman’</w:t>
            </w:r>
          </w:p>
        </w:tc>
        <w:tc>
          <w:tcPr>
            <w:tcW w:type="dxa" w:w="1594"/>
          </w:tcPr>
          <w:p>
            <w:pPr>
              <w:pStyle w:val="TableText"/>
              <w:jc w:val="left"/>
            </w:pPr>
            <w:r>
              <w:rPr>
                <w:sz w:val="20"/>
              </w:rPr>
              <w:t>maximal circle</w:t>
            </w:r>
          </w:p>
        </w:tc>
        <w:tc>
          <w:tcPr>
            <w:tcW w:type="dxa" w:w="1880"/>
          </w:tcPr>
          <w:p>
            <w:pPr>
              <w:pStyle w:val="TableText"/>
              <w:jc w:val="left"/>
            </w:pPr>
            <w:r>
              <w:rPr>
                <w:sz w:val="20"/>
              </w:rPr>
              <w:t>MinSet</w:t>
            </w:r>
          </w:p>
        </w:tc>
        <w:tc>
          <w:tcPr>
            <w:tcW w:type="dxa" w:w="2166"/>
          </w:tcPr>
          <w:p>
            <w:pPr>
              <w:pStyle w:val="TableText"/>
              <w:jc w:val="left"/>
            </w:pPr>
            <w:r>
              <w:rPr>
                <w:sz w:val="20"/>
              </w:rPr>
              <w:t>467 headwords</w:t>
            </w:r>
          </w:p>
        </w:tc>
      </w:tr>
      <w:tr>
        <w:trPr>
          <w:cantSplit/>
        </w:trPr>
        <w:tc>
          <w:tcPr>
            <w:tcW w:type="dxa" w:w="1121"/>
          </w:tcPr>
          <w:p>
            <w:pPr>
              <w:pStyle w:val="TableText"/>
              <w:jc w:val="left"/>
            </w:pPr>
            <w:r>
              <w:rPr>
                <w:i/>
                <w:sz w:val="20"/>
                <w:lang w:val="ro-RO"/>
              </w:rPr>
              <w:t>nevastă</w:t>
            </w:r>
          </w:p>
        </w:tc>
        <w:tc>
          <w:tcPr>
            <w:tcW w:type="dxa" w:w="2119"/>
          </w:tcPr>
          <w:p>
            <w:pPr>
              <w:pStyle w:val="TableText"/>
              <w:jc w:val="left"/>
            </w:pPr>
            <w:r>
              <w:rPr>
                <w:sz w:val="20"/>
              </w:rPr>
              <w:t>‘wife’</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18 headwords</w:t>
            </w:r>
          </w:p>
        </w:tc>
      </w:tr>
      <w:tr>
        <w:trPr>
          <w:cantSplit/>
        </w:trPr>
        <w:tc>
          <w:tcPr>
            <w:tcW w:type="dxa" w:w="1121"/>
          </w:tcPr>
          <w:p>
            <w:pPr>
              <w:pStyle w:val="TableText"/>
              <w:jc w:val="left"/>
            </w:pPr>
            <w:r>
              <w:rPr>
                <w:i/>
                <w:sz w:val="20"/>
                <w:lang w:val="ro-RO"/>
              </w:rPr>
              <w:t>muiere</w:t>
            </w:r>
          </w:p>
        </w:tc>
        <w:tc>
          <w:tcPr>
            <w:tcW w:type="dxa" w:w="2119"/>
          </w:tcPr>
          <w:p>
            <w:pPr>
              <w:pStyle w:val="TableText"/>
              <w:jc w:val="left"/>
            </w:pPr>
            <w:r>
              <w:rPr>
                <w:sz w:val="20"/>
              </w:rPr>
              <w:t>‘woman (popular)’</w:t>
            </w:r>
          </w:p>
        </w:tc>
        <w:tc>
          <w:tcPr>
            <w:tcW w:type="dxa" w:w="1594"/>
          </w:tcPr>
          <w:p>
            <w:pPr>
              <w:pStyle w:val="TableText"/>
              <w:jc w:val="left"/>
            </w:pPr>
            <w:r>
              <w:rPr>
                <w:sz w:val="20"/>
              </w:rPr>
              <w:t>maximal circle</w:t>
            </w:r>
          </w:p>
        </w:tc>
        <w:tc>
          <w:tcPr>
            <w:tcW w:type="dxa" w:w="1880"/>
          </w:tcPr>
          <w:p>
            <w:pPr>
              <w:pStyle w:val="TableText"/>
              <w:jc w:val="left"/>
            </w:pPr>
            <w:r>
              <w:rPr>
                <w:sz w:val="20"/>
              </w:rPr>
              <w:t>Core (not MinSet)</w:t>
            </w:r>
          </w:p>
        </w:tc>
        <w:tc>
          <w:tcPr>
            <w:tcW w:type="dxa" w:w="2166"/>
          </w:tcPr>
          <w:p>
            <w:pPr>
              <w:pStyle w:val="TableText"/>
              <w:jc w:val="left"/>
            </w:pPr>
            <w:r>
              <w:rPr>
                <w:sz w:val="20"/>
              </w:rPr>
              <w:t>7 headwords</w:t>
            </w:r>
          </w:p>
        </w:tc>
      </w:tr>
      <w:tr>
        <w:trPr>
          <w:cantSplit/>
        </w:trPr>
        <w:tc>
          <w:tcPr>
            <w:tcW w:type="dxa" w:w="1121"/>
          </w:tcPr>
          <w:p>
            <w:pPr>
              <w:pStyle w:val="TableText"/>
              <w:jc w:val="left"/>
            </w:pPr>
            <w:r>
              <w:rPr>
                <w:i/>
                <w:sz w:val="20"/>
                <w:lang w:val="ro-RO"/>
              </w:rPr>
              <w:t>cioban</w:t>
            </w:r>
          </w:p>
        </w:tc>
        <w:tc>
          <w:tcPr>
            <w:tcW w:type="dxa" w:w="2119"/>
          </w:tcPr>
          <w:p>
            <w:pPr>
              <w:pStyle w:val="TableText"/>
              <w:jc w:val="left"/>
            </w:pPr>
            <w:r>
              <w:rPr>
                <w:sz w:val="20"/>
              </w:rPr>
              <w:t>‘shepherd’</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27 headwords</w:t>
            </w:r>
          </w:p>
        </w:tc>
      </w:tr>
      <w:tr>
        <w:trPr>
          <w:cantSplit/>
        </w:trPr>
        <w:tc>
          <w:tcPr>
            <w:tcW w:type="dxa" w:w="1121"/>
          </w:tcPr>
          <w:p>
            <w:pPr>
              <w:pStyle w:val="TableText"/>
              <w:jc w:val="left"/>
            </w:pPr>
            <w:r>
              <w:rPr>
                <w:i/>
                <w:sz w:val="20"/>
                <w:lang w:val="ro-RO"/>
              </w:rPr>
              <w:t>păcurar</w:t>
            </w:r>
          </w:p>
        </w:tc>
        <w:tc>
          <w:tcPr>
            <w:tcW w:type="dxa" w:w="2119"/>
          </w:tcPr>
          <w:p>
            <w:pPr>
              <w:pStyle w:val="TableText"/>
              <w:jc w:val="left"/>
            </w:pPr>
            <w:r>
              <w:rPr>
                <w:sz w:val="20"/>
              </w:rPr>
              <w:t>‘shepherd (regional)’</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6 headwords</w:t>
            </w:r>
          </w:p>
        </w:tc>
      </w:tr>
      <w:tr>
        <w:trPr>
          <w:cantSplit/>
        </w:trPr>
        <w:tc>
          <w:tcPr>
            <w:tcW w:type="dxa" w:w="1121"/>
          </w:tcPr>
          <w:p>
            <w:pPr>
              <w:pStyle w:val="TableText"/>
              <w:jc w:val="left"/>
            </w:pPr>
            <w:r>
              <w:rPr>
                <w:i/>
                <w:sz w:val="20"/>
                <w:lang w:val="ro-RO"/>
              </w:rPr>
              <w:t>doagă</w:t>
            </w:r>
          </w:p>
        </w:tc>
        <w:tc>
          <w:tcPr>
            <w:tcW w:type="dxa" w:w="2119"/>
          </w:tcPr>
          <w:p>
            <w:pPr>
              <w:pStyle w:val="TableText"/>
              <w:jc w:val="left"/>
            </w:pPr>
            <w:r>
              <w:rPr>
                <w:sz w:val="20"/>
              </w:rPr>
              <w:t>‘barrel stave’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săgeată</w:t>
            </w:r>
          </w:p>
        </w:tc>
        <w:tc>
          <w:tcPr>
            <w:tcW w:type="dxa" w:w="2119"/>
          </w:tcPr>
          <w:p>
            <w:pPr>
              <w:pStyle w:val="TableText"/>
              <w:jc w:val="left"/>
            </w:pPr>
            <w:r>
              <w:rPr>
                <w:sz w:val="20"/>
              </w:rPr>
              <w:t>‘arrow’</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17 headwords</w:t>
            </w:r>
          </w:p>
        </w:tc>
      </w:tr>
      <w:tr>
        <w:trPr>
          <w:cantSplit/>
        </w:trPr>
        <w:tc>
          <w:tcPr>
            <w:tcW w:type="dxa" w:w="1121"/>
          </w:tcPr>
          <w:p>
            <w:pPr>
              <w:pStyle w:val="TableText"/>
              <w:jc w:val="left"/>
            </w:pPr>
            <w:r>
              <w:rPr>
                <w:i/>
                <w:sz w:val="20"/>
                <w:lang w:val="ro-RO"/>
              </w:rPr>
              <w:t>lumânare</w:t>
            </w:r>
          </w:p>
        </w:tc>
        <w:tc>
          <w:tcPr>
            <w:tcW w:type="dxa" w:w="2119"/>
          </w:tcPr>
          <w:p>
            <w:pPr>
              <w:pStyle w:val="TableText"/>
              <w:jc w:val="left"/>
            </w:pPr>
            <w:r>
              <w:rPr>
                <w:sz w:val="20"/>
              </w:rPr>
              <w:t>‘candle’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concert</w:t>
            </w:r>
          </w:p>
        </w:tc>
        <w:tc>
          <w:tcPr>
            <w:tcW w:type="dxa" w:w="2119"/>
          </w:tcPr>
          <w:p>
            <w:pPr>
              <w:pStyle w:val="TableText"/>
              <w:jc w:val="left"/>
            </w:pPr>
            <w:r>
              <w:rPr>
                <w:sz w:val="20"/>
              </w:rPr>
              <w:t>‘concert’</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4.6. </w:t>
      </w:r>
      <w:r>
        <w:t>The Most Frequent Defining Words</w:t>
      </w:r>
    </w:p>
    <w:p>
      <w:pPr>
        <w:pStyle w:val="NormalFirstParagraph"/>
      </w:pPr>
      <w:r>
        <w:t xml:space="preserve">Only 77 of Graur’s words lie outside the Kernel: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(31% of Graur’s list) belong to Graur’s list, and the two sets differ in origin (Figure 5). With the same etymological classification, Graur’s list is 53% Latin and 20% Slavic, whereas the most frequent defining words are 35% French, 30% Latin and 4% Slavic. Table 5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5.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723200" cy="1675388"/>
            <wp:docPr id="5" name="Picture 5"/>
            <wp:cNvGraphicFramePr>
              <a:graphicFrameLocks noChangeAspect="1"/>
            </wp:cNvGraphicFramePr>
            <a:graphic>
              <a:graphicData uri="http://schemas.openxmlformats.org/drawingml/2006/picture">
                <pic:pic>
                  <pic:nvPicPr>
                    <pic:cNvPr id="0" name="fig4_etymology.png"/>
                    <pic:cNvPicPr/>
                  </pic:nvPicPr>
                  <pic:blipFill>
                    <a:blip r:embed="rId12"/>
                    <a:stretch>
                      <a:fillRect/>
                    </a:stretch>
                  </pic:blipFill>
                  <pic:spPr>
                    <a:xfrm>
                      <a:off x="0" y="0"/>
                      <a:ext cx="4723200" cy="1675388"/>
                    </a:xfrm>
                    <a:prstGeom prst="rect"/>
                  </pic:spPr>
                </pic:pic>
              </a:graphicData>
            </a:graphic>
          </wp:inline>
        </w:drawing>
      </w:r>
    </w:p>
    <w:p>
      <w:pPr>
        <w:pStyle w:val="Caption"/>
      </w:pPr>
      <w:r>
        <w:t xml:space="preserve">Figure 5.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English dictionaries studied so far. About one third of its headwords belong to the Kernel, and about one tenth must be known in advance for all the others to be learnable from first-sense definitions. Dictionaries of eleven other languages processed in the same way, Romance languages included, need much smaller grounding sets (0.6–3.1% of their headwords).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 xml:space="preserve">The study analyses one Romanian dictionary in one digitised edition, from which a few entries are missing (e.g. </w:t>
      </w:r>
      <w:r>
        <w:rPr>
          <w:i/>
          <w:lang w:val="ro-RO"/>
        </w:rPr>
        <w:t>umbră</w:t>
      </w:r>
      <w:r>
        <w:t xml:space="preserve"> ‘shadow’), and compares it with Wiktionaries, whose editorial practice differs from that of an academic dictionary. The only other Romanian dictionary available to us, the Romanian Wiktionary, largely copies the DEX, so it remains open whether the large core is specific to the DEX or common to Romanian lexicography.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moreover, a dictionary has many grounding sets of minimum size, and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3">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documentation lists the commands that reproduce every number from the public dexonline database dump;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Our transcription of Graur’s list is not distributed, for copyright reasons.</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Dictionaries of eleven other languages processed in the same way need only 0.6–3.1% of their headwords. The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include all senses of each entry and Romanian dictionaries independent of the DEX.</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6">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7">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8">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9">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20">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1">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2">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3">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4">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5">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6">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7">
        <w:r>
          <w:rPr>
            <w:sz w:val="20"/>
            <w:color w:val="000000"/>
          </w:rPr>
          <w:t xml:space="preserve">https://www.diacronia.ro/​en/​indexing/​details/​A493</w:t>
        </w:r>
      </w:hyperlink>
    </w:p>
    <w:p>
      <w:pPr>
        <w:pStyle w:val="ReferencesItems"/>
      </w:pPr>
      <w:r>
        <w:t xml:space="preserve">George A. Miller. 1995. WordNet: A Lexical Database for English. </w:t>
      </w:r>
      <w:r>
        <w:rPr>
          <w:i/>
        </w:rPr>
        <w:t>Communications of the ACM</w:t>
      </w:r>
      <w:r>
        <w:t xml:space="preserve">, 38(11):39–41. </w:t>
      </w:r>
      <w:hyperlink r:id="rId28">
        <w:r>
          <w:rPr>
            <w:sz w:val="20"/>
            <w:color w:val="000000"/>
          </w:rPr>
          <w:t xml:space="preserve">https://doi.org/​10.1145/​219717.219748</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9">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30">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31">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2">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3">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4">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5">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6">
        <w:r>
          <w:rPr>
            <w:sz w:val="20"/>
            <w:color w:val="000000"/>
          </w:rPr>
          <w:t xml:space="preserve">https://doi.org/​10.1038/​s41592-019-0686-2</w:t>
        </w:r>
      </w:hyperlink>
    </w:p>
    <w:p>
      <w:pPr>
        <w:pStyle w:val="ReferencesItems"/>
      </w:pPr>
      <w:r>
        <w:t xml:space="preserve">Wiktionary contributors. 2026. Appendix:Romanian Swadesh list. </w:t>
      </w:r>
      <w:hyperlink r:id="rId37">
        <w:r>
          <w:rPr>
            <w:sz w:val="20"/>
            <w:color w:val="000000"/>
          </w:rPr>
          <w:t xml:space="preserve">https://en.wiktionary.org/​wiki/​Appendix:Romanian_​Swadesh_​list</w:t>
        </w:r>
      </w:hyperlink>
      <w:r>
        <w:t>, CC BY-SA, accessed 5 October 2026.</w:t>
      </w:r>
    </w:p>
    <w:p>
      <w:pPr>
        <w:pStyle w:val="ReferencesItems"/>
      </w:pPr>
      <w:r>
        <w:t xml:space="preserve">Tatu Ylonen. 2022. Wiktextract: Wiktionary as Machine-Readable Structured Data. In </w:t>
      </w:r>
      <w:r>
        <w:rPr>
          <w:i/>
        </w:rPr>
        <w:t>Proceedings of the Thirteenth Language Resources and Evaluation Conference (LREC 2022)</w:t>
      </w:r>
      <w:r>
        <w:t xml:space="preserve">, pages 1317–1325, Marseille, France. </w:t>
      </w:r>
      <w:hyperlink r:id="rId38">
        <w:r>
          <w:rPr>
            <w:sz w:val="20"/>
            <w:color w:val="000000"/>
          </w:rPr>
          <w:t xml:space="preserve">https://aclanthology.org/​2022.lrec-1.140/</w:t>
        </w:r>
      </w:hyperlink>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github.com/ovladon/hidden-core-romanian" TargetMode="External"/><Relationship Id="rId16" Type="http://schemas.openxmlformats.org/officeDocument/2006/relationships/hyperlink" Target="https://aclanthology.org/W08-2003/" TargetMode="External"/><Relationship Id="rId17" Type="http://schemas.openxmlformats.org/officeDocument/2006/relationships/hyperlink" Target="https://dexonline.ro" TargetMode="External"/><Relationship Id="rId18" Type="http://schemas.openxmlformats.org/officeDocument/2006/relationships/hyperlink" Target="https://doi.org/10.18653/v1/2024.mrl-1.14" TargetMode="External"/><Relationship Id="rId19" Type="http://schemas.openxmlformats.org/officeDocument/2006/relationships/hyperlink" Target="https://doi.org/10.1007/978-1-4757-3023-4_4" TargetMode="External"/><Relationship Id="rId20" Type="http://schemas.openxmlformats.org/officeDocument/2006/relationships/hyperlink" Target="https://doi.org/10.1073/pnas.2305016120" TargetMode="External"/><Relationship Id="rId21" Type="http://schemas.openxmlformats.org/officeDocument/2006/relationships/hyperlink" Target="https://archive.org/details/graur-alexandru-fondul-principal-al-limbii-romane" TargetMode="External"/><Relationship Id="rId22" Type="http://schemas.openxmlformats.org/officeDocument/2006/relationships/hyperlink" Target="https://proceedings.scipy.org/articles/TCWV9851" TargetMode="External"/><Relationship Id="rId23" Type="http://schemas.openxmlformats.org/officeDocument/2006/relationships/hyperlink" Target="https://doi.org/10.1016/0167-2789(90)90087-6" TargetMode="External"/><Relationship Id="rId24" Type="http://schemas.openxmlformats.org/officeDocument/2006/relationships/hyperlink" Target="https://doi.org/10.1007/s12532-017-0130-5" TargetMode="External"/><Relationship Id="rId25" Type="http://schemas.openxmlformats.org/officeDocument/2006/relationships/hyperlink" Target="https://doi.org/10.1007/978-1-4684-2001-2_9" TargetMode="External"/><Relationship Id="rId26" Type="http://schemas.openxmlformats.org/officeDocument/2006/relationships/hyperlink" Target="https://doi.org/10.7717/peerj-cs.1282" TargetMode="External"/><Relationship Id="rId27" Type="http://schemas.openxmlformats.org/officeDocument/2006/relationships/hyperlink" Target="https://www.diacronia.ro/en/indexing/details/A493" TargetMode="External"/><Relationship Id="rId28" Type="http://schemas.openxmlformats.org/officeDocument/2006/relationships/hyperlink" Target="https://doi.org/10.1145/219717.219748" TargetMode="External"/><Relationship Id="rId29" Type="http://schemas.openxmlformats.org/officeDocument/2006/relationships/hyperlink" Target="https://www.diacronia.ro/en/indexing/details/A1465" TargetMode="External"/><Relationship Id="rId30" Type="http://schemas.openxmlformats.org/officeDocument/2006/relationships/hyperlink" Target="https://arxiv.org/abs/1308.2428" TargetMode="External"/><Relationship Id="rId31" Type="http://schemas.openxmlformats.org/officeDocument/2006/relationships/hyperlink" Target="https://doi.org/10.12700/APH.14.3.2017.3.7" TargetMode="External"/><Relationship Id="rId32" Type="http://schemas.openxmlformats.org/officeDocument/2006/relationships/hyperlink" Target="https://www.diacronia.ro/en/indexing/details/A24874" TargetMode="External"/><Relationship Id="rId33" Type="http://schemas.openxmlformats.org/officeDocument/2006/relationships/hyperlink" Target="https://doi.org/10.1086/464321" TargetMode="External"/><Relationship Id="rId34" Type="http://schemas.openxmlformats.org/officeDocument/2006/relationships/hyperlink" Target="https://doi.org/10.1137/0201010" TargetMode="External"/><Relationship Id="rId35" Type="http://schemas.openxmlformats.org/officeDocument/2006/relationships/hyperlink" Target="https://doi.org/10.1111/tops.12211" TargetMode="External"/><Relationship Id="rId36" Type="http://schemas.openxmlformats.org/officeDocument/2006/relationships/hyperlink" Target="https://doi.org/10.1038/s41592-019-0686-2" TargetMode="External"/><Relationship Id="rId37" Type="http://schemas.openxmlformats.org/officeDocument/2006/relationships/hyperlink" Target="https://en.wiktionary.org/wiki/Appendix:Romanian_Swadesh_list" TargetMode="External"/><Relationship Id="rId38" Type="http://schemas.openxmlformats.org/officeDocument/2006/relationships/hyperlink" Target="https://aclanthology.org/2022.lrec-1.14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The Words That Define All Others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