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-Title"/>
        <w:jc w:val="center"/>
      </w:pPr>
      <w:r>
        <w:rPr>
          <w:rFonts w:ascii="Arial" w:hAnsi="Arial" w:cs="Arial" w:eastAsia="微软雅黑"/>
          <w:b/>
          <w:color w:val="1F364D"/>
          <w:sz w:val="38"/>
        </w:rPr>
        <w:t>乳牙预成冠修复术</w:t>
      </w:r>
    </w:p>
    <w:p>
      <w:pPr>
        <w:pStyle w:val="T-Sub"/>
        <w:jc w:val="center"/>
      </w:pPr>
      <w:r>
        <w:rPr>
          <w:rFonts w:ascii="Arial" w:hAnsi="Arial" w:cs="Arial" w:eastAsia="微软雅黑"/>
          <w:b w:val="0"/>
          <w:color w:val="0F5C8A"/>
          <w:sz w:val="24"/>
        </w:rPr>
        <w:t>图解临床手册　·　适应证 / 器械材料 / 操作步骤 / 禁忌证 / 病例举例</w:t>
      </w:r>
    </w:p>
    <w:p>
      <w:pPr>
        <w:pStyle w:val="T-Cap"/>
        <w:jc w:val="center"/>
      </w:pPr>
      <w:r>
        <w:rPr>
          <w:rFonts w:ascii="Arial" w:hAnsi="Arial" w:cs="Arial" w:eastAsia="微软雅黑"/>
          <w:b w:val="0"/>
          <w:color w:val="5F6770"/>
          <w:sz w:val="18"/>
        </w:rPr>
        <w:t>儿童口腔科 · 口腔全科　|　版本 2026-10-09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50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5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-Cap"/>
        <w:jc w:val="center"/>
      </w:pPr>
      <w:r>
        <w:rPr>
          <w:rFonts w:ascii="Arial" w:hAnsi="Arial" w:cs="Arial" w:eastAsia="微软雅黑"/>
          <w:b w:val="0"/>
          <w:color w:val="5F6770"/>
          <w:sz w:val="18"/>
        </w:rPr>
        <w:t>图 1　乳牙预成冠的主要类型与适用场景（①—⑥）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5329"/>
        <w:gridCol w:w="2041"/>
      </w:tblGrid>
      <w:tr>
        <w:trPr>
          <w:tblHeader/>
        </w:trPr>
        <w:tc>
          <w:tcPr>
            <w:tcW w:type="dxa" w:w="2041"/>
            <w:shd w:val="clear" w:color="auto" w:fill="1F364D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5329"/>
            <w:shd w:val="clear" w:color="auto" w:fill="1F364D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8"/>
              </w:rPr>
              <w:t>一句话适应证</w:t>
            </w:r>
          </w:p>
        </w:tc>
        <w:tc>
          <w:tcPr>
            <w:tcW w:type="dxa" w:w="2041"/>
            <w:shd w:val="clear" w:color="auto" w:fill="1F364D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8"/>
              </w:rPr>
              <w:t>常用位置</w:t>
            </w:r>
          </w:p>
        </w:tc>
      </w:tr>
      <w:tr>
        <w:tc>
          <w:tcPr>
            <w:tcW w:type="dxa" w:w="204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① 金属预成冠（SSC）</w:t>
            </w:r>
          </w:p>
        </w:tc>
        <w:tc>
          <w:tcPr>
            <w:tcW w:type="dxa" w:w="5329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乳磨牙多面龋、牙髓治疗后、高龋风险</w:t>
            </w:r>
          </w:p>
        </w:tc>
        <w:tc>
          <w:tcPr>
            <w:tcW w:type="dxa" w:w="204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乳磨牙</w:t>
            </w:r>
          </w:p>
        </w:tc>
      </w:tr>
      <w:tr>
        <w:tc>
          <w:tcPr>
            <w:tcW w:type="dxa" w:w="204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② 前牙透明树脂冠（条冠）</w:t>
            </w:r>
          </w:p>
        </w:tc>
        <w:tc>
          <w:tcPr>
            <w:tcW w:type="dxa" w:w="5329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前牙龋、奶瓶龋、外伤冠折</w:t>
            </w:r>
          </w:p>
        </w:tc>
        <w:tc>
          <w:tcPr>
            <w:tcW w:type="dxa" w:w="204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乳前牙</w:t>
            </w:r>
          </w:p>
        </w:tc>
      </w:tr>
      <w:tr>
        <w:tc>
          <w:tcPr>
            <w:tcW w:type="dxa" w:w="204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③ 预成全瓷冠（氧化锆）</w:t>
            </w:r>
          </w:p>
        </w:tc>
        <w:tc>
          <w:tcPr>
            <w:tcW w:type="dxa" w:w="5329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美学要求、金属过敏</w:t>
            </w:r>
          </w:p>
        </w:tc>
        <w:tc>
          <w:tcPr>
            <w:tcW w:type="dxa" w:w="204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乳前牙 / 乳磨牙</w:t>
            </w:r>
          </w:p>
        </w:tc>
      </w:tr>
      <w:tr>
        <w:tc>
          <w:tcPr>
            <w:tcW w:type="dxa" w:w="204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④ Hall 技术</w:t>
            </w:r>
          </w:p>
        </w:tc>
        <w:tc>
          <w:tcPr>
            <w:tcW w:type="dxa" w:w="5329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无牙髓 / 根尖症状、可隔湿，少备牙</w:t>
            </w:r>
          </w:p>
        </w:tc>
        <w:tc>
          <w:tcPr>
            <w:tcW w:type="dxa" w:w="204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乳磨牙</w:t>
            </w:r>
          </w:p>
        </w:tc>
      </w:tr>
      <w:tr>
        <w:tc>
          <w:tcPr>
            <w:tcW w:type="dxa" w:w="204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⑤ 全冠丝圈式</w:t>
            </w:r>
          </w:p>
        </w:tc>
        <w:tc>
          <w:tcPr>
            <w:tcW w:type="dxa" w:w="5329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乳磨牙全冠 + 丝圈，兼作间隙保持</w:t>
            </w:r>
          </w:p>
        </w:tc>
        <w:tc>
          <w:tcPr>
            <w:tcW w:type="dxa" w:w="204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乳磨牙</w:t>
            </w:r>
          </w:p>
        </w:tc>
      </w:tr>
      <w:tr>
        <w:tc>
          <w:tcPr>
            <w:tcW w:type="dxa" w:w="204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⑥ 多颗一次性修复</w:t>
            </w:r>
          </w:p>
        </w:tc>
        <w:tc>
          <w:tcPr>
            <w:tcW w:type="dxa" w:w="5329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全麻 / 门诊下多象限、多颗同时修复</w:t>
            </w:r>
          </w:p>
        </w:tc>
        <w:tc>
          <w:tcPr>
            <w:tcW w:type="dxa" w:w="204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全口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T-H1"/>
      </w:pPr>
      <w:r>
        <w:rPr>
          <w:rFonts w:ascii="Times New Roman" w:hAnsi="Times New Roman" w:cs="Times New Roman" w:eastAsia="宋体"/>
          <w:b w:val="0"/>
          <w:sz w:val="21"/>
        </w:rPr>
        <w:t>1　金属预成冠 · 备牙标准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976000" cy="292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ssc_stru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92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-Cap"/>
        <w:jc w:val="center"/>
      </w:pPr>
      <w:r>
        <w:rPr>
          <w:rFonts w:ascii="Arial" w:hAnsi="Arial" w:cs="Arial" w:eastAsia="微软雅黑"/>
          <w:b w:val="0"/>
          <w:color w:val="5F6770"/>
          <w:sz w:val="18"/>
        </w:rPr>
        <w:t>图 2　金属预成冠结构要点与备牙标准（颊面观 + 咬合面观）</w:t>
      </w:r>
    </w:p>
    <w:p>
      <w:pPr>
        <w:pStyle w:val="T-H2"/>
      </w:pPr>
      <w:r>
        <w:rPr>
          <w:rFonts w:ascii="Times New Roman" w:hAnsi="Times New Roman" w:cs="Times New Roman" w:eastAsia="宋体"/>
          <w:b w:val="0"/>
          <w:sz w:val="21"/>
        </w:rPr>
        <w:t>备牙尺寸速查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515"/>
        <w:gridCol w:w="3628"/>
      </w:tblGrid>
      <w:tr>
        <w:trPr>
          <w:tblHeader/>
        </w:trPr>
        <w:tc>
          <w:tcPr>
            <w:tcW w:type="dxa" w:w="2268"/>
            <w:shd w:val="clear" w:color="auto" w:fill="1F364D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8"/>
              </w:rPr>
              <w:t>部位 / 环节</w:t>
            </w:r>
          </w:p>
        </w:tc>
        <w:tc>
          <w:tcPr>
            <w:tcW w:type="dxa" w:w="3515"/>
            <w:shd w:val="clear" w:color="auto" w:fill="1F364D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8"/>
              </w:rPr>
              <w:t>标准</w:t>
            </w:r>
          </w:p>
        </w:tc>
        <w:tc>
          <w:tcPr>
            <w:tcW w:type="dxa" w:w="3628"/>
            <w:shd w:val="clear" w:color="auto" w:fill="1F364D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8"/>
              </w:rPr>
              <w:t>要点</w:t>
            </w:r>
          </w:p>
        </w:tc>
      </w:tr>
      <w:tr>
        <w:tc>
          <w:tcPr>
            <w:tcW w:type="dxa" w:w="226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咬合面预备</w:t>
            </w:r>
          </w:p>
        </w:tc>
        <w:tc>
          <w:tcPr>
            <w:tcW w:type="dxa" w:w="3515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1.0–1.5 mm</w:t>
            </w:r>
          </w:p>
        </w:tc>
        <w:tc>
          <w:tcPr>
            <w:tcW w:type="dxa" w:w="36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均匀磨除，按解剖形态</w:t>
            </w:r>
          </w:p>
        </w:tc>
      </w:tr>
      <w:tr>
        <w:tc>
          <w:tcPr>
            <w:tcW w:type="dxa" w:w="226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邻面预备</w:t>
            </w:r>
          </w:p>
        </w:tc>
        <w:tc>
          <w:tcPr>
            <w:tcW w:type="dxa" w:w="3515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打开接触，平行或微内聚</w:t>
            </w:r>
          </w:p>
        </w:tc>
        <w:tc>
          <w:tcPr>
            <w:tcW w:type="dxa" w:w="36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避免形成倒凹</w:t>
            </w:r>
          </w:p>
        </w:tc>
      </w:tr>
      <w:tr>
        <w:tc>
          <w:tcPr>
            <w:tcW w:type="dxa" w:w="226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颊舌面</w:t>
            </w:r>
          </w:p>
        </w:tc>
        <w:tc>
          <w:tcPr>
            <w:tcW w:type="dxa" w:w="3515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去倒凹即可</w:t>
            </w:r>
          </w:p>
        </w:tc>
        <w:tc>
          <w:tcPr>
            <w:tcW w:type="dxa" w:w="36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不需大量预备</w:t>
            </w:r>
          </w:p>
        </w:tc>
      </w:tr>
      <w:tr>
        <w:tc>
          <w:tcPr>
            <w:tcW w:type="dxa" w:w="226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冠缘位置</w:t>
            </w:r>
          </w:p>
        </w:tc>
        <w:tc>
          <w:tcPr>
            <w:tcW w:type="dxa" w:w="3515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龈下 0.5–1.0 mm</w:t>
            </w:r>
          </w:p>
        </w:tc>
        <w:tc>
          <w:tcPr>
            <w:tcW w:type="dxa" w:w="36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不压龈、无悬突</w:t>
            </w:r>
          </w:p>
        </w:tc>
      </w:tr>
      <w:tr>
        <w:tc>
          <w:tcPr>
            <w:tcW w:type="dxa" w:w="226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线角</w:t>
            </w:r>
          </w:p>
        </w:tc>
        <w:tc>
          <w:tcPr>
            <w:tcW w:type="dxa" w:w="3515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圆钝、无肩台</w:t>
            </w:r>
          </w:p>
        </w:tc>
        <w:tc>
          <w:tcPr>
            <w:tcW w:type="dxa" w:w="36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无锐利边缘</w:t>
            </w:r>
          </w:p>
        </w:tc>
      </w:tr>
      <w:tr>
        <w:tc>
          <w:tcPr>
            <w:tcW w:type="dxa" w:w="226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选冠</w:t>
            </w:r>
          </w:p>
        </w:tc>
        <w:tc>
          <w:tcPr>
            <w:tcW w:type="dxa" w:w="3515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最小能完全就位者</w:t>
            </w:r>
          </w:p>
        </w:tc>
        <w:tc>
          <w:tcPr>
            <w:tcW w:type="dxa" w:w="36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有“回弹”手感</w:t>
            </w:r>
          </w:p>
        </w:tc>
      </w:tr>
    </w:tbl>
    <w:p>
      <w:pPr>
        <w:spacing w:after="40"/>
      </w:pPr>
    </w:p>
    <w:p>
      <w:pPr>
        <w:pStyle w:val="T-H1"/>
      </w:pPr>
      <w:r>
        <w:rPr>
          <w:rFonts w:ascii="Times New Roman" w:hAnsi="Times New Roman" w:cs="Times New Roman" w:eastAsia="宋体"/>
          <w:b w:val="0"/>
          <w:sz w:val="21"/>
        </w:rPr>
        <w:t>2　金属预成冠 · 备牙步骤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976000" cy="212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ssc_pre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12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-Cap"/>
        <w:jc w:val="center"/>
      </w:pPr>
      <w:r>
        <w:rPr>
          <w:rFonts w:ascii="Arial" w:hAnsi="Arial" w:cs="Arial" w:eastAsia="微软雅黑"/>
          <w:b w:val="0"/>
          <w:color w:val="5F6770"/>
          <w:sz w:val="18"/>
        </w:rPr>
        <w:t>图 3　备牙五步：去龋 / 牙髓治疗 → 咬合面 → 邻面 → 颊舌面 → 完成</w:t>
      </w:r>
    </w:p>
    <w:p>
      <w:pPr>
        <w:pStyle w:val="T-H1"/>
      </w:pPr>
      <w:r>
        <w:rPr>
          <w:rFonts w:ascii="Times New Roman" w:hAnsi="Times New Roman" w:cs="Times New Roman" w:eastAsia="宋体"/>
          <w:b w:val="0"/>
          <w:sz w:val="21"/>
        </w:rPr>
        <w:t>3　选冠、试戴与冠缘成形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976000" cy="2124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try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12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-Cap"/>
        <w:jc w:val="center"/>
      </w:pPr>
      <w:r>
        <w:rPr>
          <w:rFonts w:ascii="Arial" w:hAnsi="Arial" w:cs="Arial" w:eastAsia="微软雅黑"/>
          <w:b w:val="0"/>
          <w:color w:val="5F6770"/>
          <w:sz w:val="18"/>
        </w:rPr>
        <w:t>图 4　选冠与试戴：太大 / 合适 / 太小三个判断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976000" cy="22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crim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2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-Cap"/>
        <w:jc w:val="center"/>
      </w:pPr>
      <w:r>
        <w:rPr>
          <w:rFonts w:ascii="Arial" w:hAnsi="Arial" w:cs="Arial" w:eastAsia="微软雅黑"/>
          <w:b w:val="0"/>
          <w:color w:val="5F6770"/>
          <w:sz w:val="18"/>
        </w:rPr>
        <w:t>图 5　冠缘成形（crimping）与修整：避免悬突</w:t>
      </w:r>
    </w:p>
    <w:p>
      <w:pPr>
        <w:pStyle w:val="T-H1"/>
      </w:pPr>
      <w:r>
        <w:rPr>
          <w:rFonts w:ascii="Times New Roman" w:hAnsi="Times New Roman" w:cs="Times New Roman" w:eastAsia="宋体"/>
          <w:b w:val="0"/>
          <w:sz w:val="21"/>
        </w:rPr>
        <w:t>4　前牙透明树脂冠（条冠）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976000" cy="2124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strip_crow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12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-Cap"/>
        <w:jc w:val="center"/>
      </w:pPr>
      <w:r>
        <w:rPr>
          <w:rFonts w:ascii="Arial" w:hAnsi="Arial" w:cs="Arial" w:eastAsia="微软雅黑"/>
          <w:b w:val="0"/>
          <w:color w:val="5F6770"/>
          <w:sz w:val="18"/>
        </w:rPr>
        <w:t>图 6　条冠四步：预备 → 选冠套 → 充填树脂就位 → 去套抛光</w:t>
      </w:r>
    </w:p>
    <w:p>
      <w:pPr>
        <w:pStyle w:val="T-Body"/>
      </w:pPr>
      <w:r>
        <w:rPr>
          <w:rFonts w:ascii="Times New Roman" w:hAnsi="Times New Roman" w:cs="Times New Roman" w:eastAsia="宋体"/>
          <w:b w:val="0"/>
          <w:sz w:val="21"/>
        </w:rPr>
        <w:t>切端预备 1.0–1.5 mm；邻面去倒凹；切角圆钝；冠缘位于龈下 0.5–1.0 mm。树脂充填后光照固化（或自固化），去除纤维素冠套后调合、抛光。</w:t>
      </w:r>
    </w:p>
    <w:p>
      <w:r>
        <w:br w:type="page"/>
      </w:r>
    </w:p>
    <w:p>
      <w:pPr>
        <w:pStyle w:val="T-H1"/>
      </w:pPr>
      <w:r>
        <w:rPr>
          <w:rFonts w:ascii="Times New Roman" w:hAnsi="Times New Roman" w:cs="Times New Roman" w:eastAsia="宋体"/>
          <w:b w:val="0"/>
          <w:sz w:val="21"/>
        </w:rPr>
        <w:t>5　操作流程与器械材料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976000" cy="2191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work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19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-Cap"/>
        <w:jc w:val="center"/>
      </w:pPr>
      <w:r>
        <w:rPr>
          <w:rFonts w:ascii="Arial" w:hAnsi="Arial" w:cs="Arial" w:eastAsia="微软雅黑"/>
          <w:b w:val="0"/>
          <w:color w:val="5F6770"/>
          <w:sz w:val="18"/>
        </w:rPr>
        <w:t>图 7　预成冠修复操作流程（含 Hall 技术）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483"/>
      </w:tblGrid>
      <w:tr>
        <w:trPr>
          <w:tblHeader/>
        </w:trPr>
        <w:tc>
          <w:tcPr>
            <w:tcW w:type="dxa" w:w="1928"/>
            <w:shd w:val="clear" w:color="auto" w:fill="1F364D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7483"/>
            <w:shd w:val="clear" w:color="auto" w:fill="1F364D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8"/>
              </w:rPr>
              <w:t>操作要点</w:t>
            </w:r>
          </w:p>
        </w:tc>
      </w:tr>
      <w:tr>
        <w:tc>
          <w:tcPr>
            <w:tcW w:type="dxa" w:w="19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1 评估 · 麻醉</w:t>
            </w:r>
          </w:p>
        </w:tc>
        <w:tc>
          <w:tcPr>
            <w:tcW w:type="dxa" w:w="7483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确认适应证、排除禁忌；局部麻醉</w:t>
            </w:r>
          </w:p>
        </w:tc>
      </w:tr>
      <w:tr>
        <w:tc>
          <w:tcPr>
            <w:tcW w:type="dxa" w:w="19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2 橡皮障 · 去龋</w:t>
            </w:r>
          </w:p>
        </w:tc>
        <w:tc>
          <w:tcPr>
            <w:tcW w:type="dxa" w:w="7483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隔湿；去净龋坏、必要时行牙髓治疗</w:t>
            </w:r>
          </w:p>
        </w:tc>
      </w:tr>
      <w:tr>
        <w:tc>
          <w:tcPr>
            <w:tcW w:type="dxa" w:w="19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3 牙髓治疗</w:t>
            </w:r>
          </w:p>
        </w:tc>
        <w:tc>
          <w:tcPr>
            <w:tcW w:type="dxa" w:w="7483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露髓或深龋近髓者，先行牙髓治疗</w:t>
            </w:r>
          </w:p>
        </w:tc>
      </w:tr>
      <w:tr>
        <w:tc>
          <w:tcPr>
            <w:tcW w:type="dxa" w:w="19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4 备牙</w:t>
            </w:r>
          </w:p>
        </w:tc>
        <w:tc>
          <w:tcPr>
            <w:tcW w:type="dxa" w:w="7483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按图 2 标准预备（Hall 技术可不备牙）</w:t>
            </w:r>
          </w:p>
        </w:tc>
      </w:tr>
      <w:tr>
        <w:tc>
          <w:tcPr>
            <w:tcW w:type="dxa" w:w="19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5 选冠 · 试戴</w:t>
            </w:r>
          </w:p>
        </w:tc>
        <w:tc>
          <w:tcPr>
            <w:tcW w:type="dxa" w:w="7483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选最小能完全就位的冠；检查边缘、咬合、邻接</w:t>
            </w:r>
          </w:p>
        </w:tc>
      </w:tr>
      <w:tr>
        <w:tc>
          <w:tcPr>
            <w:tcW w:type="dxa" w:w="19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6 冠缘成形</w:t>
            </w:r>
          </w:p>
        </w:tc>
        <w:tc>
          <w:tcPr>
            <w:tcW w:type="dxa" w:w="7483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成形钳内收颈缘，磨光边缘去悬突</w:t>
            </w:r>
          </w:p>
        </w:tc>
      </w:tr>
      <w:tr>
        <w:tc>
          <w:tcPr>
            <w:tcW w:type="dxa" w:w="19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7 粘接</w:t>
            </w:r>
          </w:p>
        </w:tc>
        <w:tc>
          <w:tcPr>
            <w:tcW w:type="dxa" w:w="7483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玻璃离子 / 树脂加强玻璃离子水门汀，去净多余</w:t>
            </w:r>
          </w:p>
        </w:tc>
      </w:tr>
      <w:tr>
        <w:tc>
          <w:tcPr>
            <w:tcW w:type="dxa" w:w="19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8 医嘱 · 复查</w:t>
            </w:r>
          </w:p>
        </w:tc>
        <w:tc>
          <w:tcPr>
            <w:tcW w:type="dxa" w:w="7483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检查咬合；清洁与饮食指导；每 6 个月复查</w:t>
            </w:r>
          </w:p>
        </w:tc>
      </w:tr>
    </w:tbl>
    <w:p>
      <w:pPr>
        <w:spacing w:after="40"/>
      </w:pPr>
    </w:p>
    <w:p>
      <w:pPr>
        <w:pStyle w:val="T-H2"/>
      </w:pPr>
      <w:r>
        <w:rPr>
          <w:rFonts w:ascii="Times New Roman" w:hAnsi="Times New Roman" w:cs="Times New Roman" w:eastAsia="宋体"/>
          <w:b w:val="0"/>
          <w:sz w:val="21"/>
        </w:rPr>
        <w:t>器械与材料清单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483"/>
      </w:tblGrid>
      <w:tr>
        <w:trPr>
          <w:tblHeader/>
        </w:trPr>
        <w:tc>
          <w:tcPr>
            <w:tcW w:type="dxa" w:w="1928"/>
            <w:shd w:val="clear" w:color="auto" w:fill="1F364D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7483"/>
            <w:shd w:val="clear" w:color="auto" w:fill="1F364D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8"/>
              </w:rPr>
              <w:t>材料与器械</w:t>
            </w:r>
          </w:p>
        </w:tc>
      </w:tr>
      <w:tr>
        <w:tc>
          <w:tcPr>
            <w:tcW w:type="dxa" w:w="19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检查与麻醉</w:t>
            </w:r>
          </w:p>
        </w:tc>
        <w:tc>
          <w:tcPr>
            <w:tcW w:type="dxa" w:w="7483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检查盘、口镜 / 探针 / 镊子、麻醉注射器</w:t>
            </w:r>
          </w:p>
        </w:tc>
      </w:tr>
      <w:tr>
        <w:tc>
          <w:tcPr>
            <w:tcW w:type="dxa" w:w="19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隔湿与去龋</w:t>
            </w:r>
          </w:p>
        </w:tc>
        <w:tc>
          <w:tcPr>
            <w:tcW w:type="dxa" w:w="7483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橡皮障、开口器、吸唾器、高速 / 低速手机、球钻、挖匙</w:t>
            </w:r>
          </w:p>
        </w:tc>
      </w:tr>
      <w:tr>
        <w:tc>
          <w:tcPr>
            <w:tcW w:type="dxa" w:w="19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备牙</w:t>
            </w:r>
          </w:p>
        </w:tc>
        <w:tc>
          <w:tcPr>
            <w:tcW w:type="dxa" w:w="7483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金刚砂车针、裂钻、抛光车针</w:t>
            </w:r>
          </w:p>
        </w:tc>
      </w:tr>
      <w:tr>
        <w:tc>
          <w:tcPr>
            <w:tcW w:type="dxa" w:w="19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冠与修整</w:t>
            </w:r>
          </w:p>
        </w:tc>
        <w:tc>
          <w:tcPr>
            <w:tcW w:type="dxa" w:w="7483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预成金属冠（各型号）、前牙透明冠套、预成全瓷冠、冠剪、成形钳、去冠器、咬合纸</w:t>
            </w:r>
          </w:p>
        </w:tc>
      </w:tr>
      <w:tr>
        <w:tc>
          <w:tcPr>
            <w:tcW w:type="dxa" w:w="19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充填与粘接</w:t>
            </w:r>
          </w:p>
        </w:tc>
        <w:tc>
          <w:tcPr>
            <w:tcW w:type="dxa" w:w="7483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复合树脂（前牙）、玻璃离子 / 树脂加强玻璃离子水门汀</w:t>
            </w:r>
          </w:p>
        </w:tc>
      </w:tr>
      <w:tr>
        <w:tc>
          <w:tcPr>
            <w:tcW w:type="dxa" w:w="19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防护与随访</w:t>
            </w:r>
          </w:p>
        </w:tc>
        <w:tc>
          <w:tcPr>
            <w:tcW w:type="dxa" w:w="7483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氟保护漆、抛光杯、复诊记录表、宣教资料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T-H1"/>
      </w:pPr>
      <w:r>
        <w:rPr>
          <w:rFonts w:ascii="Times New Roman" w:hAnsi="Times New Roman" w:cs="Times New Roman" w:eastAsia="宋体"/>
          <w:b w:val="0"/>
          <w:sz w:val="21"/>
        </w:rPr>
        <w:t>6　适应证与禁忌证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4706"/>
            <w:shd w:val="clear" w:color="auto" w:fill="1F364D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8"/>
              </w:rPr>
              <w:t>√ 适应证</w:t>
            </w:r>
          </w:p>
        </w:tc>
        <w:tc>
          <w:tcPr>
            <w:tcW w:type="dxa" w:w="4706"/>
            <w:shd w:val="clear" w:color="auto" w:fill="1F364D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8"/>
              </w:rPr>
              <w:t>× 禁忌证 / 慎用</w:t>
            </w:r>
          </w:p>
        </w:tc>
      </w:tr>
      <w:tr>
        <w:tc>
          <w:tcPr>
            <w:tcW w:type="dxa" w:w="4706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color w:val="18643E"/>
                <w:sz w:val="18"/>
              </w:rPr>
              <w:t>√ 乳磨牙多面龋（≥ 2 个牙面）</w:t>
            </w:r>
          </w:p>
        </w:tc>
        <w:tc>
          <w:tcPr>
            <w:tcW w:type="dxa" w:w="4706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color w:val="B03A2B"/>
                <w:sz w:val="18"/>
              </w:rPr>
              <w:t>× 牙根吸收超过 1/3（接近替换）</w:t>
            </w:r>
          </w:p>
        </w:tc>
      </w:tr>
      <w:tr>
        <w:tc>
          <w:tcPr>
            <w:tcW w:type="dxa" w:w="4706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color w:val="18643E"/>
                <w:sz w:val="18"/>
              </w:rPr>
              <w:t>√ 乳牙牙髓治疗（根管治疗）后</w:t>
            </w:r>
          </w:p>
        </w:tc>
        <w:tc>
          <w:tcPr>
            <w:tcW w:type="dxa" w:w="4706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color w:val="B03A2B"/>
                <w:sz w:val="18"/>
              </w:rPr>
              <w:t>× 牙髓 / 根尖病变未控制</w:t>
            </w:r>
          </w:p>
        </w:tc>
      </w:tr>
      <w:tr>
        <w:tc>
          <w:tcPr>
            <w:tcW w:type="dxa" w:w="4706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color w:val="18643E"/>
                <w:sz w:val="18"/>
              </w:rPr>
              <w:t>√ 釉质发育不全、奶瓶龋广泛缺损</w:t>
            </w:r>
          </w:p>
        </w:tc>
        <w:tc>
          <w:tcPr>
            <w:tcW w:type="dxa" w:w="4706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color w:val="B03A2B"/>
                <w:sz w:val="18"/>
              </w:rPr>
              <w:t>× 无法隔湿、龈下缺损过深无法就位</w:t>
            </w:r>
          </w:p>
        </w:tc>
      </w:tr>
      <w:tr>
        <w:tc>
          <w:tcPr>
            <w:tcW w:type="dxa" w:w="4706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color w:val="18643E"/>
                <w:sz w:val="18"/>
              </w:rPr>
              <w:t>√ 高龋风险儿童、需长期保护</w:t>
            </w:r>
          </w:p>
        </w:tc>
        <w:tc>
          <w:tcPr>
            <w:tcW w:type="dxa" w:w="4706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color w:val="B03A2B"/>
                <w:sz w:val="18"/>
              </w:rPr>
              <w:t>× 对金属过敏（改全瓷冠）</w:t>
            </w:r>
          </w:p>
        </w:tc>
      </w:tr>
      <w:tr>
        <w:tc>
          <w:tcPr>
            <w:tcW w:type="dxa" w:w="4706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color w:val="18643E"/>
                <w:sz w:val="18"/>
              </w:rPr>
              <w:t>√ 间隙保持器的基牙</w:t>
            </w:r>
          </w:p>
        </w:tc>
        <w:tc>
          <w:tcPr>
            <w:tcW w:type="dxa" w:w="4706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color w:val="B03A2B"/>
                <w:sz w:val="18"/>
              </w:rPr>
              <w:t>× 临床冠高度不足、萌出不足</w:t>
            </w:r>
          </w:p>
        </w:tc>
      </w:tr>
      <w:tr>
        <w:tc>
          <w:tcPr>
            <w:tcW w:type="dxa" w:w="4706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color w:val="18643E"/>
                <w:sz w:val="18"/>
              </w:rPr>
              <w:t>√ 外伤后牙体缺损</w:t>
            </w:r>
          </w:p>
        </w:tc>
        <w:tc>
          <w:tcPr>
            <w:tcW w:type="dxa" w:w="4706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color w:val="B03A2B"/>
                <w:sz w:val="18"/>
              </w:rPr>
              <w:t>× 需拔牙序列 / 综合正畸</w:t>
            </w:r>
          </w:p>
        </w:tc>
      </w:tr>
      <w:tr>
        <w:tc>
          <w:tcPr>
            <w:tcW w:type="dxa" w:w="4706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color w:val="18643E"/>
                <w:sz w:val="18"/>
              </w:rPr>
              <w:t>√ Hall 技术：无牙髓症状、可隔湿</w:t>
            </w:r>
          </w:p>
        </w:tc>
        <w:tc>
          <w:tcPr>
            <w:tcW w:type="dxa" w:w="4706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color w:val="B03A2B"/>
                <w:sz w:val="18"/>
              </w:rPr>
              <w:t>× 全身状况不允许（相对，可全麻）</w:t>
            </w:r>
          </w:p>
        </w:tc>
      </w:tr>
      <w:tr>
        <w:tc>
          <w:tcPr>
            <w:tcW w:type="dxa" w:w="4706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color w:val="18643E"/>
                <w:sz w:val="18"/>
              </w:rPr>
              <w:t>√ 全麻下多颗一次性修复</w:t>
            </w:r>
          </w:p>
        </w:tc>
        <w:tc>
          <w:tcPr>
            <w:tcW w:type="dxa" w:w="4706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color w:val="B03A2B"/>
                <w:sz w:val="18"/>
              </w:rPr>
              <w:t>× 家长拒绝、无法配合复查</w:t>
            </w:r>
          </w:p>
        </w:tc>
      </w:tr>
    </w:tbl>
    <w:p>
      <w:pPr>
        <w:spacing w:after="40"/>
      </w:pP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976000" cy="4382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dos_don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38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-Cap"/>
        <w:jc w:val="center"/>
      </w:pPr>
      <w:r>
        <w:rPr>
          <w:rFonts w:ascii="Arial" w:hAnsi="Arial" w:cs="Arial" w:eastAsia="微软雅黑"/>
          <w:b w:val="0"/>
          <w:color w:val="5F6770"/>
          <w:sz w:val="18"/>
        </w:rPr>
        <w:t>图 8　常见错误对照（左列正确 · 右列错误）</w:t>
      </w:r>
    </w:p>
    <w:p>
      <w:pPr>
        <w:pStyle w:val="T-H1"/>
      </w:pPr>
      <w:r>
        <w:rPr>
          <w:rFonts w:ascii="Times New Roman" w:hAnsi="Times New Roman" w:cs="Times New Roman" w:eastAsia="宋体"/>
          <w:b w:val="0"/>
          <w:sz w:val="21"/>
        </w:rPr>
        <w:t>7　复诊、维护与并发症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976000" cy="1859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timelin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85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-Cap"/>
        <w:jc w:val="center"/>
      </w:pPr>
      <w:r>
        <w:rPr>
          <w:rFonts w:ascii="Arial" w:hAnsi="Arial" w:cs="Arial" w:eastAsia="微软雅黑"/>
          <w:b w:val="0"/>
          <w:color w:val="5F6770"/>
          <w:sz w:val="18"/>
        </w:rPr>
        <w:t>图 9　复诊与维护时间轴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3515"/>
        <w:gridCol w:w="3969"/>
      </w:tblGrid>
      <w:tr>
        <w:trPr>
          <w:tblHeader/>
        </w:trPr>
        <w:tc>
          <w:tcPr>
            <w:tcW w:type="dxa" w:w="1928"/>
            <w:shd w:val="clear" w:color="auto" w:fill="1F364D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8"/>
              </w:rPr>
              <w:t>并发症</w:t>
            </w:r>
          </w:p>
        </w:tc>
        <w:tc>
          <w:tcPr>
            <w:tcW w:type="dxa" w:w="3515"/>
            <w:shd w:val="clear" w:color="auto" w:fill="1F364D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8"/>
              </w:rPr>
              <w:t>常见原因</w:t>
            </w:r>
          </w:p>
        </w:tc>
        <w:tc>
          <w:tcPr>
            <w:tcW w:type="dxa" w:w="3969"/>
            <w:shd w:val="clear" w:color="auto" w:fill="1F364D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8"/>
              </w:rPr>
              <w:t>处理</w:t>
            </w:r>
          </w:p>
        </w:tc>
      </w:tr>
      <w:tr>
        <w:tc>
          <w:tcPr>
            <w:tcW w:type="dxa" w:w="19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冠脱落</w:t>
            </w:r>
          </w:p>
        </w:tc>
        <w:tc>
          <w:tcPr>
            <w:tcW w:type="dxa" w:w="3515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固位不足、粘接面污染、咬合过高</w:t>
            </w:r>
          </w:p>
        </w:tc>
        <w:tc>
          <w:tcPr>
            <w:tcW w:type="dxa" w:w="3969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重新粘接或调整咬合</w:t>
            </w:r>
          </w:p>
        </w:tc>
      </w:tr>
      <w:tr>
        <w:tc>
          <w:tcPr>
            <w:tcW w:type="dxa" w:w="19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悬突、牙龈炎</w:t>
            </w:r>
          </w:p>
        </w:tc>
        <w:tc>
          <w:tcPr>
            <w:tcW w:type="dxa" w:w="3515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未做冠缘成形</w:t>
            </w:r>
          </w:p>
        </w:tc>
        <w:tc>
          <w:tcPr>
            <w:tcW w:type="dxa" w:w="3969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修整边缘、洁治</w:t>
            </w:r>
          </w:p>
        </w:tc>
      </w:tr>
      <w:tr>
        <w:tc>
          <w:tcPr>
            <w:tcW w:type="dxa" w:w="19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咬合过高</w:t>
            </w:r>
          </w:p>
        </w:tc>
        <w:tc>
          <w:tcPr>
            <w:tcW w:type="dxa" w:w="3515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未调合</w:t>
            </w:r>
          </w:p>
        </w:tc>
        <w:tc>
          <w:tcPr>
            <w:tcW w:type="dxa" w:w="3969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调合至均匀接触</w:t>
            </w:r>
          </w:p>
        </w:tc>
      </w:tr>
      <w:tr>
        <w:tc>
          <w:tcPr>
            <w:tcW w:type="dxa" w:w="19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邻接不良、食物嵌塞</w:t>
            </w:r>
          </w:p>
        </w:tc>
        <w:tc>
          <w:tcPr>
            <w:tcW w:type="dxa" w:w="3515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选冠不当 / 未成形</w:t>
            </w:r>
          </w:p>
        </w:tc>
        <w:tc>
          <w:tcPr>
            <w:tcW w:type="dxa" w:w="3969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更换或调整冠</w:t>
            </w:r>
          </w:p>
        </w:tc>
      </w:tr>
      <w:tr>
        <w:tc>
          <w:tcPr>
            <w:tcW w:type="dxa" w:w="19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继发龋</w:t>
            </w:r>
          </w:p>
        </w:tc>
        <w:tc>
          <w:tcPr>
            <w:tcW w:type="dxa" w:w="3515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冠缘过短、粘接剂溶解</w:t>
            </w:r>
          </w:p>
        </w:tc>
        <w:tc>
          <w:tcPr>
            <w:tcW w:type="dxa" w:w="3969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更换、充填</w:t>
            </w:r>
          </w:p>
        </w:tc>
      </w:tr>
      <w:tr>
        <w:tc>
          <w:tcPr>
            <w:tcW w:type="dxa" w:w="19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8"/>
              </w:rPr>
              <w:t>冠穿孔 / 磨损</w:t>
            </w:r>
          </w:p>
        </w:tc>
        <w:tc>
          <w:tcPr>
            <w:tcW w:type="dxa" w:w="3515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咬合力量大、使用过久</w:t>
            </w:r>
          </w:p>
        </w:tc>
        <w:tc>
          <w:tcPr>
            <w:tcW w:type="dxa" w:w="3969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8"/>
              </w:rPr>
              <w:t>更换</w:t>
            </w:r>
          </w:p>
        </w:tc>
      </w:tr>
    </w:tbl>
    <w:p>
      <w:pPr>
        <w:spacing w:after="40"/>
      </w:pPr>
    </w:p>
    <w:p>
      <w:pPr>
        <w:pStyle w:val="T-H2"/>
      </w:pPr>
      <w:r>
        <w:rPr>
          <w:rFonts w:ascii="Times New Roman" w:hAnsi="Times New Roman" w:cs="Times New Roman" w:eastAsia="宋体"/>
          <w:b w:val="0"/>
          <w:sz w:val="21"/>
        </w:rPr>
        <w:t>家长沟通要点（可直接照读）</w:t>
      </w:r>
    </w:p>
    <w:p>
      <w:pPr>
        <w:pStyle w:val="T-Bul"/>
        <w:ind w:left="510" w:hanging="198"/>
      </w:pPr>
      <w:r>
        <w:rPr>
          <w:rFonts w:ascii="Times New Roman" w:hAnsi="Times New Roman" w:cs="Times New Roman" w:eastAsia="宋体"/>
          <w:b w:val="0"/>
          <w:sz w:val="21"/>
        </w:rPr>
        <w:t>· 这个金属套是把整颗牙包起来，保护到换牙，防止再蛀。</w:t>
      </w:r>
    </w:p>
    <w:p>
      <w:pPr>
        <w:pStyle w:val="T-Bul"/>
        <w:ind w:left="510" w:hanging="198"/>
      </w:pPr>
      <w:r>
        <w:rPr>
          <w:rFonts w:ascii="Times New Roman" w:hAnsi="Times New Roman" w:cs="Times New Roman" w:eastAsia="宋体"/>
          <w:b w:val="0"/>
          <w:sz w:val="21"/>
        </w:rPr>
        <w:t>· 刷牙照常，重点刷冠和牙龈交界的地方；不要咬特别硬的东西。</w:t>
      </w:r>
    </w:p>
    <w:p>
      <w:pPr>
        <w:pStyle w:val="T-Bul"/>
        <w:ind w:left="510" w:hanging="198"/>
      </w:pPr>
      <w:r>
        <w:rPr>
          <w:rFonts w:ascii="Times New Roman" w:hAnsi="Times New Roman" w:cs="Times New Roman" w:eastAsia="宋体"/>
          <w:b w:val="0"/>
          <w:sz w:val="21"/>
        </w:rPr>
        <w:t>· 冠松了、掉了、牙龈肿了要及时回来；换牙时冠会跟着乳牙一起掉。</w:t>
      </w:r>
    </w:p>
    <w:p>
      <w:r>
        <w:br w:type="page"/>
      </w:r>
    </w:p>
    <w:p>
      <w:pPr>
        <w:pStyle w:val="T-H1"/>
      </w:pPr>
      <w:r>
        <w:rPr>
          <w:rFonts w:ascii="Times New Roman" w:hAnsi="Times New Roman" w:cs="Times New Roman" w:eastAsia="宋体"/>
          <w:b w:val="0"/>
          <w:sz w:val="21"/>
        </w:rPr>
        <w:t>8　病例举例</w:t>
      </w:r>
    </w:p>
    <w:p>
      <w:pPr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976000" cy="4116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cas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11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-Cap"/>
        <w:jc w:val="center"/>
      </w:pPr>
      <w:r>
        <w:rPr>
          <w:rFonts w:ascii="Arial" w:hAnsi="Arial" w:cs="Arial" w:eastAsia="微软雅黑"/>
          <w:b w:val="0"/>
          <w:color w:val="5F6770"/>
          <w:sz w:val="18"/>
        </w:rPr>
        <w:t>图 10　四个典型病例示意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1928"/>
        <w:gridCol w:w="2041"/>
        <w:gridCol w:w="1928"/>
        <w:gridCol w:w="2665"/>
      </w:tblGrid>
      <w:tr>
        <w:trPr>
          <w:tblHeader/>
        </w:trPr>
        <w:tc>
          <w:tcPr>
            <w:tcW w:type="dxa" w:w="850"/>
            <w:shd w:val="clear" w:color="auto" w:fill="1F364D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7"/>
              </w:rPr>
              <w:t>病例</w:t>
            </w:r>
          </w:p>
        </w:tc>
        <w:tc>
          <w:tcPr>
            <w:tcW w:type="dxa" w:w="1928"/>
            <w:shd w:val="clear" w:color="auto" w:fill="1F364D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7"/>
              </w:rPr>
              <w:t>年龄 / 情况</w:t>
            </w:r>
          </w:p>
        </w:tc>
        <w:tc>
          <w:tcPr>
            <w:tcW w:type="dxa" w:w="2041"/>
            <w:shd w:val="clear" w:color="auto" w:fill="1F364D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7"/>
              </w:rPr>
              <w:t>检查要点</w:t>
            </w:r>
          </w:p>
        </w:tc>
        <w:tc>
          <w:tcPr>
            <w:tcW w:type="dxa" w:w="1928"/>
            <w:shd w:val="clear" w:color="auto" w:fill="1F364D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7"/>
              </w:rPr>
              <w:t>修复方式</w:t>
            </w:r>
          </w:p>
        </w:tc>
        <w:tc>
          <w:tcPr>
            <w:tcW w:type="dxa" w:w="2665"/>
            <w:shd w:val="clear" w:color="auto" w:fill="1F364D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cs="Arial" w:eastAsia="微软雅黑"/>
                <w:b/>
                <w:color w:val="FFFFFF"/>
                <w:sz w:val="17"/>
              </w:rPr>
              <w:t>理由与要点</w:t>
            </w:r>
          </w:p>
        </w:tc>
      </w:tr>
      <w:tr>
        <w:tc>
          <w:tcPr>
            <w:tcW w:type="dxa" w:w="850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7"/>
              </w:rPr>
              <w:t>1</w:t>
            </w:r>
          </w:p>
        </w:tc>
        <w:tc>
          <w:tcPr>
            <w:tcW w:type="dxa" w:w="19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5 岁 7 个月，男；85 多面龋</w:t>
            </w:r>
          </w:p>
        </w:tc>
        <w:tc>
          <w:tcPr>
            <w:tcW w:type="dxa" w:w="204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无牙髓 / 根尖症状</w:t>
            </w:r>
          </w:p>
        </w:tc>
        <w:tc>
          <w:tcPr>
            <w:tcW w:type="dxa" w:w="19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金属预成冠（SSC）</w:t>
            </w:r>
          </w:p>
        </w:tc>
        <w:tc>
          <w:tcPr>
            <w:tcW w:type="dxa" w:w="2665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多面龋首选，全冠保护至替换</w:t>
            </w:r>
          </w:p>
        </w:tc>
      </w:tr>
      <w:tr>
        <w:tc>
          <w:tcPr>
            <w:tcW w:type="dxa" w:w="850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7"/>
              </w:rPr>
              <w:t>2</w:t>
            </w:r>
          </w:p>
        </w:tc>
        <w:tc>
          <w:tcPr>
            <w:tcW w:type="dxa" w:w="19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3 岁 6 个月，女；奶瓶龋</w:t>
            </w:r>
          </w:p>
        </w:tc>
        <w:tc>
          <w:tcPr>
            <w:tcW w:type="dxa" w:w="204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51、61 广泛龋坏</w:t>
            </w:r>
          </w:p>
        </w:tc>
        <w:tc>
          <w:tcPr>
            <w:tcW w:type="dxa" w:w="19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前牙透明树脂冠（条冠）</w:t>
            </w:r>
          </w:p>
        </w:tc>
        <w:tc>
          <w:tcPr>
            <w:tcW w:type="dxa" w:w="2665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前牙美学 + 功能恢复</w:t>
            </w:r>
          </w:p>
        </w:tc>
      </w:tr>
      <w:tr>
        <w:tc>
          <w:tcPr>
            <w:tcW w:type="dxa" w:w="850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7"/>
              </w:rPr>
              <w:t>3</w:t>
            </w:r>
          </w:p>
        </w:tc>
        <w:tc>
          <w:tcPr>
            <w:tcW w:type="dxa" w:w="19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6 岁 2 个月，女；釉质发育不全</w:t>
            </w:r>
          </w:p>
        </w:tc>
        <w:tc>
          <w:tcPr>
            <w:tcW w:type="dxa" w:w="204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前牙形态 / 色泽异常</w:t>
            </w:r>
          </w:p>
        </w:tc>
        <w:tc>
          <w:tcPr>
            <w:tcW w:type="dxa" w:w="19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预成全瓷冠（氧化锆）</w:t>
            </w:r>
          </w:p>
        </w:tc>
        <w:tc>
          <w:tcPr>
            <w:tcW w:type="dxa" w:w="2665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美学要求高、需牙色修复</w:t>
            </w:r>
          </w:p>
        </w:tc>
      </w:tr>
      <w:tr>
        <w:tc>
          <w:tcPr>
            <w:tcW w:type="dxa" w:w="850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7"/>
              </w:rPr>
              <w:t>4</w:t>
            </w:r>
          </w:p>
        </w:tc>
        <w:tc>
          <w:tcPr>
            <w:tcW w:type="dxa" w:w="19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5 岁 11 个月，男；74 邻面龋</w:t>
            </w:r>
          </w:p>
        </w:tc>
        <w:tc>
          <w:tcPr>
            <w:tcW w:type="dxa" w:w="204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无牙髓症状，可隔湿</w:t>
            </w:r>
          </w:p>
        </w:tc>
        <w:tc>
          <w:tcPr>
            <w:tcW w:type="dxa" w:w="19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Hall 技术</w:t>
            </w:r>
          </w:p>
        </w:tc>
        <w:tc>
          <w:tcPr>
            <w:tcW w:type="dxa" w:w="2665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不备牙，直接粘接，患儿配合好</w:t>
            </w:r>
          </w:p>
        </w:tc>
      </w:tr>
      <w:tr>
        <w:tc>
          <w:tcPr>
            <w:tcW w:type="dxa" w:w="850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7"/>
              </w:rPr>
              <w:t>5</w:t>
            </w:r>
          </w:p>
        </w:tc>
        <w:tc>
          <w:tcPr>
            <w:tcW w:type="dxa" w:w="19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6 岁 5 个月，男；64 牙髓治疗后</w:t>
            </w:r>
          </w:p>
        </w:tc>
        <w:tc>
          <w:tcPr>
            <w:tcW w:type="dxa" w:w="204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根管治疗完成、根尖无异常</w:t>
            </w:r>
          </w:p>
        </w:tc>
        <w:tc>
          <w:tcPr>
            <w:tcW w:type="dxa" w:w="19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金属预成冠（SSC）</w:t>
            </w:r>
          </w:p>
        </w:tc>
        <w:tc>
          <w:tcPr>
            <w:tcW w:type="dxa" w:w="2665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牙髓治疗后常规全冠保护</w:t>
            </w:r>
          </w:p>
        </w:tc>
      </w:tr>
      <w:tr>
        <w:tc>
          <w:tcPr>
            <w:tcW w:type="dxa" w:w="850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7"/>
              </w:rPr>
              <w:t>6</w:t>
            </w:r>
          </w:p>
        </w:tc>
        <w:tc>
          <w:tcPr>
            <w:tcW w:type="dxa" w:w="19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4 岁 8 个月，女；高龋风险</w:t>
            </w:r>
          </w:p>
        </w:tc>
        <w:tc>
          <w:tcPr>
            <w:tcW w:type="dxa" w:w="204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多牙面龋、口腔卫生一般</w:t>
            </w:r>
          </w:p>
        </w:tc>
        <w:tc>
          <w:tcPr>
            <w:tcW w:type="dxa" w:w="19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多颗 SSC 一次性修复</w:t>
            </w:r>
          </w:p>
        </w:tc>
        <w:tc>
          <w:tcPr>
            <w:tcW w:type="dxa" w:w="2665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高龋风险，考虑全麻下完成</w:t>
            </w:r>
          </w:p>
        </w:tc>
      </w:tr>
      <w:tr>
        <w:tc>
          <w:tcPr>
            <w:tcW w:type="dxa" w:w="850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7"/>
              </w:rPr>
              <w:t>7</w:t>
            </w:r>
          </w:p>
        </w:tc>
        <w:tc>
          <w:tcPr>
            <w:tcW w:type="dxa" w:w="19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7 岁 2 个月，男；55 早失</w:t>
            </w:r>
          </w:p>
        </w:tc>
        <w:tc>
          <w:tcPr>
            <w:tcW w:type="dxa" w:w="204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54 完好可作基牙</w:t>
            </w:r>
          </w:p>
        </w:tc>
        <w:tc>
          <w:tcPr>
            <w:tcW w:type="dxa" w:w="19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全冠丝圈式</w:t>
            </w:r>
          </w:p>
        </w:tc>
        <w:tc>
          <w:tcPr>
            <w:tcW w:type="dxa" w:w="2665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全冠 + 丝圈，兼作间隙保持</w:t>
            </w:r>
          </w:p>
        </w:tc>
      </w:tr>
      <w:tr>
        <w:tc>
          <w:tcPr>
            <w:tcW w:type="dxa" w:w="850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7"/>
              </w:rPr>
              <w:t>8</w:t>
            </w:r>
          </w:p>
        </w:tc>
        <w:tc>
          <w:tcPr>
            <w:tcW w:type="dxa" w:w="19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5 岁 3 个月，女；61 外伤冠折</w:t>
            </w:r>
          </w:p>
        </w:tc>
        <w:tc>
          <w:tcPr>
            <w:tcW w:type="dxa" w:w="204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未露髓、无根折</w:t>
            </w:r>
          </w:p>
        </w:tc>
        <w:tc>
          <w:tcPr>
            <w:tcW w:type="dxa" w:w="19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前牙透明树脂冠（条冠）</w:t>
            </w:r>
          </w:p>
        </w:tc>
        <w:tc>
          <w:tcPr>
            <w:tcW w:type="dxa" w:w="2665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外伤后恢复外形与功能</w:t>
            </w:r>
          </w:p>
        </w:tc>
      </w:tr>
      <w:tr>
        <w:tc>
          <w:tcPr>
            <w:tcW w:type="dxa" w:w="850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7"/>
              </w:rPr>
              <w:t>9</w:t>
            </w:r>
          </w:p>
        </w:tc>
        <w:tc>
          <w:tcPr>
            <w:tcW w:type="dxa" w:w="19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6 岁 9 个月，男；金属过敏</w:t>
            </w:r>
          </w:p>
        </w:tc>
        <w:tc>
          <w:tcPr>
            <w:tcW w:type="dxa" w:w="204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既往金属修复过敏史</w:t>
            </w:r>
          </w:p>
        </w:tc>
        <w:tc>
          <w:tcPr>
            <w:tcW w:type="dxa" w:w="19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预成全瓷冠（氧化锆）</w:t>
            </w:r>
          </w:p>
        </w:tc>
        <w:tc>
          <w:tcPr>
            <w:tcW w:type="dxa" w:w="2665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金属过敏的替代方案</w:t>
            </w:r>
          </w:p>
        </w:tc>
      </w:tr>
      <w:tr>
        <w:tc>
          <w:tcPr>
            <w:tcW w:type="dxa" w:w="850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/>
                <w:sz w:val="17"/>
              </w:rPr>
              <w:t>10</w:t>
            </w:r>
          </w:p>
        </w:tc>
        <w:tc>
          <w:tcPr>
            <w:tcW w:type="dxa" w:w="19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8 岁 1 个月，女；85 牙根吸收 &gt;1/3</w:t>
            </w:r>
          </w:p>
        </w:tc>
        <w:tc>
          <w:tcPr>
            <w:tcW w:type="dxa" w:w="2041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接近替换期</w:t>
            </w:r>
          </w:p>
        </w:tc>
        <w:tc>
          <w:tcPr>
            <w:tcW w:type="dxa" w:w="1928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不做冠，观察 / 拔除</w:t>
            </w:r>
          </w:p>
        </w:tc>
        <w:tc>
          <w:tcPr>
            <w:tcW w:type="dxa" w:w="2665"/>
            <w:tcMar>
              <w:top w:w="50" w:type="dxa"/>
              <w:start w:w="90" w:type="dxa"/>
              <w:bottom w:w="5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 w:cs="Times New Roman" w:eastAsia="宋体"/>
                <w:b w:val="0"/>
                <w:sz w:val="17"/>
              </w:rPr>
              <w:t>禁忌证：冠无保留价值</w:t>
            </w:r>
          </w:p>
        </w:tc>
      </w:tr>
    </w:tbl>
    <w:p>
      <w:pPr>
        <w:spacing w:after="40"/>
      </w:pPr>
    </w:p>
    <w:p>
      <w:pPr>
        <w:pStyle w:val="T-H1"/>
      </w:pPr>
      <w:r>
        <w:rPr>
          <w:rFonts w:ascii="Times New Roman" w:hAnsi="Times New Roman" w:cs="Times New Roman" w:eastAsia="宋体"/>
          <w:b w:val="0"/>
          <w:sz w:val="21"/>
        </w:rPr>
        <w:t>9　附录</w:t>
      </w:r>
    </w:p>
    <w:p>
      <w:pPr>
        <w:pStyle w:val="T-H2"/>
      </w:pPr>
      <w:r>
        <w:rPr>
          <w:rFonts w:ascii="Times New Roman" w:hAnsi="Times New Roman" w:cs="Times New Roman" w:eastAsia="宋体"/>
          <w:b w:val="0"/>
          <w:sz w:val="21"/>
        </w:rPr>
        <w:t>术前 / 术中 / 术后核对清单</w:t>
      </w:r>
    </w:p>
    <w:p>
      <w:pPr>
        <w:pStyle w:val="T-Bul"/>
        <w:ind w:left="510" w:hanging="198"/>
      </w:pPr>
      <w:r>
        <w:rPr>
          <w:rFonts w:ascii="Times New Roman" w:hAnsi="Times New Roman" w:cs="Times New Roman" w:eastAsia="宋体"/>
          <w:b w:val="0"/>
          <w:sz w:val="21"/>
        </w:rPr>
        <w:t>· 术前：排除禁忌（牙根吸收、根尖病变、金属过敏）；确认可隔湿；知情同意。</w:t>
      </w:r>
    </w:p>
    <w:p>
      <w:pPr>
        <w:pStyle w:val="T-Bul"/>
        <w:ind w:left="510" w:hanging="198"/>
      </w:pPr>
      <w:r>
        <w:rPr>
          <w:rFonts w:ascii="Times New Roman" w:hAnsi="Times New Roman" w:cs="Times New Roman" w:eastAsia="宋体"/>
          <w:b w:val="0"/>
          <w:sz w:val="21"/>
        </w:rPr>
        <w:t>· 术中：备牙标准（咬合面 1.0–1.5 mm、邻面平行、去倒凹、线角圆钝）；冠缘成形；粘接前隔湿；去净多余粘接剂；检查咬合。</w:t>
      </w:r>
    </w:p>
    <w:p>
      <w:pPr>
        <w:pStyle w:val="T-Bul"/>
        <w:ind w:left="510" w:hanging="198"/>
      </w:pPr>
      <w:r>
        <w:rPr>
          <w:rFonts w:ascii="Times New Roman" w:hAnsi="Times New Roman" w:cs="Times New Roman" w:eastAsia="宋体"/>
          <w:b w:val="0"/>
          <w:sz w:val="21"/>
        </w:rPr>
        <w:t>· 术后：清洁与饮食指导；预约复查；病历记录冠型号与粘接材料。</w:t>
      </w:r>
    </w:p>
    <w:p>
      <w:pPr>
        <w:pStyle w:val="T-H2"/>
      </w:pPr>
      <w:r>
        <w:rPr>
          <w:rFonts w:ascii="Times New Roman" w:hAnsi="Times New Roman" w:cs="Times New Roman" w:eastAsia="宋体"/>
          <w:b w:val="0"/>
          <w:sz w:val="21"/>
        </w:rPr>
        <w:t>主要参考依据</w:t>
      </w:r>
    </w:p>
    <w:p>
      <w:pPr>
        <w:pStyle w:val="T-Note"/>
        <w:ind w:left="652" w:hanging="397"/>
      </w:pPr>
      <w:r>
        <w:rPr>
          <w:rFonts w:ascii="Times New Roman" w:hAnsi="Times New Roman" w:cs="Times New Roman" w:eastAsia="宋体"/>
          <w:b/>
          <w:sz w:val="18"/>
        </w:rPr>
        <w:t xml:space="preserve">[1] </w:t>
      </w:r>
      <w:r>
        <w:rPr>
          <w:rFonts w:ascii="Times New Roman" w:hAnsi="Times New Roman" w:cs="Times New Roman" w:eastAsia="宋体"/>
          <w:b w:val="0"/>
          <w:sz w:val="18"/>
        </w:rPr>
        <w:t>中华口腔医学会儿童口腔医学专业委员会相关指南 / 专家共识.</w:t>
      </w:r>
    </w:p>
    <w:p>
      <w:pPr>
        <w:pStyle w:val="T-Note"/>
        <w:ind w:left="652" w:hanging="397"/>
      </w:pPr>
      <w:r>
        <w:rPr>
          <w:rFonts w:ascii="Times New Roman" w:hAnsi="Times New Roman" w:cs="Times New Roman" w:eastAsia="宋体"/>
          <w:b/>
          <w:sz w:val="18"/>
        </w:rPr>
        <w:t xml:space="preserve">[2] </w:t>
      </w:r>
      <w:r>
        <w:rPr>
          <w:rFonts w:ascii="Times New Roman" w:hAnsi="Times New Roman" w:cs="Times New Roman" w:eastAsia="宋体"/>
          <w:b w:val="0"/>
          <w:sz w:val="18"/>
        </w:rPr>
        <w:t>葛立宏, 主编. 儿童口腔医学. 人民卫生出版社.</w:t>
      </w:r>
    </w:p>
    <w:p>
      <w:pPr>
        <w:pStyle w:val="T-Note"/>
        <w:ind w:left="652" w:hanging="397"/>
      </w:pPr>
      <w:r>
        <w:rPr>
          <w:rFonts w:ascii="Times New Roman" w:hAnsi="Times New Roman" w:cs="Times New Roman" w:eastAsia="宋体"/>
          <w:b/>
          <w:sz w:val="18"/>
        </w:rPr>
        <w:t xml:space="preserve">[3] </w:t>
      </w:r>
      <w:r>
        <w:rPr>
          <w:rFonts w:ascii="Times New Roman" w:hAnsi="Times New Roman" w:cs="Times New Roman" w:eastAsia="宋体"/>
          <w:b w:val="0"/>
          <w:sz w:val="18"/>
        </w:rPr>
        <w:t>秦满, 主编. 儿童口腔科临床操作教程. 人民卫生出版社.</w:t>
      </w:r>
    </w:p>
    <w:p>
      <w:pPr>
        <w:pStyle w:val="T-Note"/>
        <w:ind w:left="652" w:hanging="397"/>
      </w:pPr>
      <w:r>
        <w:rPr>
          <w:rFonts w:ascii="Times New Roman" w:hAnsi="Times New Roman" w:cs="Times New Roman" w:eastAsia="宋体"/>
          <w:b/>
          <w:sz w:val="18"/>
        </w:rPr>
        <w:t xml:space="preserve">[4] </w:t>
      </w:r>
      <w:r>
        <w:rPr>
          <w:rFonts w:ascii="Times New Roman" w:hAnsi="Times New Roman" w:cs="Times New Roman" w:eastAsia="宋体"/>
          <w:b w:val="0"/>
          <w:sz w:val="18"/>
        </w:rPr>
        <w:t>American Academy of Pediatric Dentistry. Guideline on Pediatric Restorative Dentistry. The AAPD Reference Manual.</w:t>
      </w:r>
    </w:p>
    <w:p>
      <w:pPr>
        <w:pStyle w:val="T-Note"/>
        <w:ind w:left="652" w:hanging="397"/>
      </w:pPr>
      <w:r>
        <w:rPr>
          <w:rFonts w:ascii="Times New Roman" w:hAnsi="Times New Roman" w:cs="Times New Roman" w:eastAsia="宋体"/>
          <w:b/>
          <w:sz w:val="18"/>
        </w:rPr>
        <w:t xml:space="preserve">[5] </w:t>
      </w:r>
      <w:r>
        <w:rPr>
          <w:rFonts w:ascii="Times New Roman" w:hAnsi="Times New Roman" w:cs="Times New Roman" w:eastAsia="宋体"/>
          <w:b w:val="0"/>
          <w:sz w:val="18"/>
        </w:rPr>
        <w:t>Innes NPT, et al. The Hall Technique. (International Journal of Paediatric Dentistry).</w:t>
      </w:r>
    </w:p>
    <w:p>
      <w:pPr>
        <w:pStyle w:val="T-Note"/>
      </w:pPr>
      <w:r>
        <w:rPr>
          <w:rFonts w:ascii="Times New Roman" w:hAnsi="Times New Roman" w:cs="Times New Roman" w:eastAsia="宋体"/>
          <w:b w:val="0"/>
          <w:color w:val="5F6770"/>
          <w:sz w:val="18"/>
        </w:rPr>
        <w:t>说明：图中尺寸与操作参数均为临床常用参考范围，须结合患儿牙列阶段、影像学表现、龋风险与配合度个体化调整；具体产品以说明书与注册证为准。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62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b w:val="0"/>
        <w:sz w:val="18"/>
      </w:rPr>
      <w:t xml:space="preserve">第 </w:t>
    </w:r>
    <w:r>
      <w:rPr>
        <w:rFonts w:ascii="Times New Roman" w:hAnsi="Times New Roman" w:cs="Times New Roman" w:eastAsia="宋体"/>
        <w:b w:val="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cs="Times New Roman" w:eastAsia="宋体"/>
        <w:b w:val="0"/>
        <w:sz w:val="18"/>
      </w:rPr>
      <w:t xml:space="preserve"> 页 / 共 </w:t>
    </w:r>
    <w:r>
      <w:rPr>
        <w:rFonts w:ascii="Times New Roman" w:hAnsi="Times New Roman" w:cs="Times New Roman" w:eastAsia="宋体"/>
        <w:b w:val="0"/>
        <w:sz w:val="18"/>
      </w:rPr>
      <w:fldChar w:fldCharType="begin"/>
      <w:instrText xml:space="preserve">NUMPAGES</w:instrText>
      <w:fldChar w:fldCharType="end"/>
    </w:r>
    <w:r>
      <w:rPr>
        <w:rFonts w:ascii="Times New Roman" w:hAnsi="Times New Roman" w:cs="Times New Roman" w:eastAsia="宋体"/>
        <w:b w:val="0"/>
        <w:color w:val="5F6770"/>
        <w:sz w:val="17"/>
      </w:rPr>
      <w:t xml:space="preserve"> 页　|　图解手册 · 临床参考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2" w:color="BFBFBF"/>
      </w:pBdr>
      <w:jc w:val="center"/>
    </w:pPr>
    <w:r>
      <w:rPr>
        <w:rFonts w:ascii="Arial" w:hAnsi="Arial" w:cs="Arial" w:eastAsia="微软雅黑"/>
        <w:b w:val="0"/>
        <w:color w:val="5F6770"/>
        <w:sz w:val="17"/>
      </w:rPr>
      <w:t>乳牙预成冠修复术 · 图解临床手册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-Title">
    <w:name w:val="T-Title"/>
    <w:basedOn w:val="Normal"/>
    <w:pPr>
      <w:spacing w:before="0" w:after="120" w:line="276" w:lineRule="auto"/>
    </w:pPr>
    <w:rPr>
      <w:rFonts w:ascii="Arial" w:hAnsi="Arial" w:cs="Arial" w:eastAsia="微软雅黑"/>
      <w:b/>
      <w:color w:val="1F364D"/>
      <w:sz w:val="38"/>
    </w:rPr>
  </w:style>
  <w:style w:type="paragraph" w:customStyle="1" w:styleId="T-Sub">
    <w:name w:val="T-Sub"/>
    <w:basedOn w:val="Normal"/>
    <w:pPr>
      <w:spacing w:before="0" w:after="80" w:line="288" w:lineRule="auto"/>
    </w:pPr>
    <w:rPr>
      <w:rFonts w:ascii="Arial" w:hAnsi="Arial" w:cs="Arial" w:eastAsia="微软雅黑"/>
      <w:b w:val="0"/>
      <w:color w:val="0F5C8A"/>
      <w:sz w:val="24"/>
    </w:rPr>
  </w:style>
  <w:style w:type="paragraph" w:customStyle="1" w:styleId="T-H1">
    <w:name w:val="T-H1"/>
    <w:basedOn w:val="Normal"/>
    <w:pPr>
      <w:keepNext/>
      <w:spacing w:before="280" w:after="120" w:line="288" w:lineRule="auto"/>
    </w:pPr>
    <w:rPr>
      <w:rFonts w:ascii="Arial" w:hAnsi="Arial" w:cs="Arial" w:eastAsia="微软雅黑"/>
      <w:b/>
      <w:color w:val="1F364D"/>
      <w:sz w:val="29"/>
    </w:rPr>
  </w:style>
  <w:style w:type="paragraph" w:customStyle="1" w:styleId="T-H2">
    <w:name w:val="T-H2"/>
    <w:basedOn w:val="Normal"/>
    <w:pPr>
      <w:keepNext/>
      <w:spacing w:before="180" w:after="80" w:line="288" w:lineRule="auto"/>
    </w:pPr>
    <w:rPr>
      <w:rFonts w:ascii="Arial" w:hAnsi="Arial" w:cs="Arial" w:eastAsia="微软雅黑"/>
      <w:b/>
      <w:color w:val="0F5C8A"/>
      <w:sz w:val="23"/>
    </w:rPr>
  </w:style>
  <w:style w:type="paragraph" w:customStyle="1" w:styleId="T-Body">
    <w:name w:val="T-Body"/>
    <w:basedOn w:val="Normal"/>
    <w:pPr>
      <w:spacing w:before="0" w:after="80" w:line="324" w:lineRule="auto"/>
    </w:pPr>
    <w:rPr>
      <w:rFonts w:ascii="Times New Roman" w:hAnsi="Times New Roman" w:cs="Times New Roman" w:eastAsia="宋体"/>
      <w:b w:val="0"/>
      <w:sz w:val="21"/>
    </w:rPr>
  </w:style>
  <w:style w:type="paragraph" w:customStyle="1" w:styleId="T-Bul">
    <w:name w:val="T-Bul"/>
    <w:basedOn w:val="Normal"/>
    <w:pPr>
      <w:spacing w:before="0" w:after="40" w:line="312" w:lineRule="auto"/>
      <w:ind w:left="397"/>
    </w:pPr>
    <w:rPr>
      <w:rFonts w:ascii="Times New Roman" w:hAnsi="Times New Roman" w:cs="Times New Roman" w:eastAsia="宋体"/>
      <w:b w:val="0"/>
      <w:sz w:val="21"/>
    </w:rPr>
  </w:style>
  <w:style w:type="paragraph" w:customStyle="1" w:styleId="T-Cap">
    <w:name w:val="T-Cap"/>
    <w:basedOn w:val="Normal"/>
    <w:pPr>
      <w:spacing w:before="40" w:after="160" w:line="288" w:lineRule="auto"/>
    </w:pPr>
    <w:rPr>
      <w:rFonts w:ascii="Arial" w:hAnsi="Arial" w:cs="Arial" w:eastAsia="微软雅黑"/>
      <w:b w:val="0"/>
      <w:color w:val="5F6770"/>
      <w:sz w:val="18"/>
    </w:rPr>
  </w:style>
  <w:style w:type="paragraph" w:customStyle="1" w:styleId="T-TblHead">
    <w:name w:val="T-TblHead"/>
    <w:basedOn w:val="Normal"/>
    <w:pPr>
      <w:spacing w:before="0" w:after="0" w:line="276" w:lineRule="auto"/>
    </w:pPr>
    <w:rPr>
      <w:rFonts w:ascii="Arial" w:hAnsi="Arial" w:cs="Arial" w:eastAsia="微软雅黑"/>
      <w:b/>
      <w:color w:val="FFFFFF"/>
      <w:sz w:val="18"/>
    </w:rPr>
  </w:style>
  <w:style w:type="paragraph" w:customStyle="1" w:styleId="T-TblCell">
    <w:name w:val="T-TblCell"/>
    <w:basedOn w:val="Normal"/>
    <w:pPr>
      <w:spacing w:before="0" w:after="0" w:line="283" w:lineRule="auto"/>
    </w:pPr>
    <w:rPr>
      <w:rFonts w:ascii="Times New Roman" w:hAnsi="Times New Roman" w:cs="Times New Roman" w:eastAsia="宋体"/>
      <w:b w:val="0"/>
      <w:sz w:val="18"/>
    </w:rPr>
  </w:style>
  <w:style w:type="paragraph" w:customStyle="1" w:styleId="T-Note">
    <w:name w:val="T-Note"/>
    <w:basedOn w:val="Normal"/>
    <w:pPr>
      <w:spacing w:before="60" w:after="100" w:line="312" w:lineRule="auto"/>
      <w:ind w:left="227"/>
    </w:pPr>
    <w:rPr>
      <w:rFonts w:ascii="Times New Roman" w:hAnsi="Times New Roman" w:cs="Times New Roman" w:eastAsia="宋体"/>
      <w:b w:val="0"/>
      <w:color w:val="5F677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