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-Title"/>
        <w:jc w:val="center"/>
      </w:pPr>
      <w:r>
        <w:rPr>
          <w:rFonts w:ascii="Arial" w:hAnsi="Arial" w:cs="Arial" w:eastAsia="微软雅黑"/>
          <w:b/>
          <w:color w:val="1F364D"/>
          <w:sz w:val="38"/>
        </w:rPr>
        <w:t>固定式间隙保持器与改良 Nance 弓矫治器</w:t>
      </w:r>
    </w:p>
    <w:p>
      <w:pPr>
        <w:pStyle w:val="T-Sub"/>
        <w:jc w:val="center"/>
      </w:pPr>
      <w:r>
        <w:rPr>
          <w:rFonts w:ascii="Arial" w:hAnsi="Arial" w:cs="Arial" w:eastAsia="微软雅黑"/>
          <w:b w:val="0"/>
          <w:color w:val="0F5C8A"/>
          <w:sz w:val="24"/>
        </w:rPr>
        <w:t>图解临床手册　·　适应证 / 器械材料 / 操作步骤 / 禁忌证 / 病例举例</w:t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适用于儿童口腔科 · 口腔全科 · 早期矫治　|　版本 2026-10-09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1　固定式间隙保持器主要类型总览（①—⑥）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443"/>
        <w:gridCol w:w="2041"/>
      </w:tblGrid>
      <w:tr>
        <w:trPr>
          <w:tblHeader/>
        </w:trPr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443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一句话适应证</w:t>
            </w:r>
          </w:p>
        </w:tc>
        <w:tc>
          <w:tcPr>
            <w:tcW w:type="dxa" w:w="204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支抗牙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① 带环丝圈式</w:t>
            </w:r>
          </w:p>
        </w:tc>
        <w:tc>
          <w:tcPr>
            <w:tcW w:type="dxa" w:w="544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单侧 1 个牙缺失，恒牙 6 个月内不能萌出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缺隙远中邻牙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② 全冠丝圈式</w:t>
            </w:r>
          </w:p>
        </w:tc>
        <w:tc>
          <w:tcPr>
            <w:tcW w:type="dxa" w:w="544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基牙大面积缺损或已做全冠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全冠修复的基牙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③ 远端靴式</w:t>
            </w:r>
          </w:p>
        </w:tc>
        <w:tc>
          <w:tcPr>
            <w:tcW w:type="dxa" w:w="544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第一恒磨牙未萌时第二乳磨牙早失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第一乳磨牙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④ 固定舌弓</w:t>
            </w:r>
          </w:p>
        </w:tc>
        <w:tc>
          <w:tcPr>
            <w:tcW w:type="dxa" w:w="544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双侧下颌乳磨牙早失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下颌第一恒磨牙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⑤ Nance 腭弓</w:t>
            </w:r>
          </w:p>
        </w:tc>
        <w:tc>
          <w:tcPr>
            <w:tcW w:type="dxa" w:w="544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双侧上颌乳磨牙早失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上颌第一恒磨牙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⑥ 改良 Nance 弓</w:t>
            </w:r>
          </w:p>
        </w:tc>
        <w:tc>
          <w:tcPr>
            <w:tcW w:type="dxa" w:w="544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保持间隙 + 早期矫治（推磨牙 / 前牵引 / 扩弓）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上颌第一恒磨牙（可加骨支抗）</w:t>
            </w:r>
          </w:p>
        </w:tc>
      </w:tr>
    </w:tbl>
    <w:p>
      <w:pPr>
        <w:spacing w:after="40"/>
      </w:pP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1　结构与关键尺寸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752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band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52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2　带环丝圈式：结构要点与关键尺寸（颊面观）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2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lingual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3　固定舌弓：结构要点（下颌 · 合面观）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n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4　Nance 腭弓：合面观与腭部矢状剖面</w:t>
      </w: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常用尺寸速查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608"/>
        <w:gridCol w:w="4422"/>
      </w:tblGrid>
      <w:tr>
        <w:trPr>
          <w:tblHeader/>
        </w:trPr>
        <w:tc>
          <w:tcPr>
            <w:tcW w:type="dxa" w:w="238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部位 / 环节</w:t>
            </w:r>
          </w:p>
        </w:tc>
        <w:tc>
          <w:tcPr>
            <w:tcW w:type="dxa" w:w="260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常用范围</w:t>
            </w:r>
          </w:p>
        </w:tc>
        <w:tc>
          <w:tcPr>
            <w:tcW w:type="dxa" w:w="4422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带环厚度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0.12–0.18 mm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边缘密合、无悬突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丝圈 / 舌弓钢丝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0.8–0.9 mm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刚性足够、便于调整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腭弓钢丝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0.9–1.0 mm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贴合腭穹窿走行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腭托厚度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2–3 mm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边缘圆钝、组织面均匀贴合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装置距牙龈 / 黏膜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0.5–1.0 mm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不压迫、不进入倒凹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推磨牙加力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0.5–1.0 mm / 次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每 4–6 周复诊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前方牵引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300–500 g/侧，向前下 15°–30°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12–14 h/日</w:t>
            </w:r>
          </w:p>
        </w:tc>
      </w:tr>
      <w:tr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保持型复查间隔</w:t>
            </w:r>
          </w:p>
        </w:tc>
        <w:tc>
          <w:tcPr>
            <w:tcW w:type="dxa" w:w="260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3–6 个月</w:t>
            </w:r>
          </w:p>
        </w:tc>
        <w:tc>
          <w:tcPr>
            <w:tcW w:type="dxa" w:w="442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间隙测量 + 装置检查</w:t>
            </w:r>
          </w:p>
        </w:tc>
      </w:tr>
    </w:tbl>
    <w:p>
      <w:pPr>
        <w:spacing w:after="40"/>
      </w:pP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2　改良 Nance 弓矫治器</w:t>
      </w:r>
    </w:p>
    <w:p>
      <w:pPr>
        <w:pStyle w:val="T-Body"/>
      </w:pPr>
      <w:r>
        <w:rPr>
          <w:rFonts w:ascii="Times New Roman" w:hAnsi="Times New Roman" w:cs="Times New Roman" w:eastAsia="宋体"/>
          <w:b w:val="0"/>
          <w:sz w:val="21"/>
        </w:rPr>
        <w:t>在经典 Nance 腭弓（上颌第一恒磨牙带环 + 腭弓 + 前腭托）基础上增加功能部件，使“保持间隙”与“早期矫治”合一。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8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modified_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5　改良 Nance 弓的四种常见改良形式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742"/>
      </w:tblGrid>
      <w:tr>
        <w:trPr>
          <w:tblHeader/>
        </w:trPr>
        <w:tc>
          <w:tcPr>
            <w:tcW w:type="dxa" w:w="204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改良形式</w:t>
            </w:r>
          </w:p>
        </w:tc>
        <w:tc>
          <w:tcPr>
            <w:tcW w:type="dxa" w:w="36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结构变化</w:t>
            </w:r>
          </w:p>
        </w:tc>
        <w:tc>
          <w:tcPr>
            <w:tcW w:type="dxa" w:w="3742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主要目的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① 推磨牙向远中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腭弓加圈曲 / 推簧，或焊远中向牵引臂</w:t>
            </w:r>
          </w:p>
        </w:tc>
        <w:tc>
          <w:tcPr>
            <w:tcW w:type="dxa" w:w="374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上颌第一恒磨牙异位萌出、早期 II 类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② 前方牵引支抗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带环焊颊面管 / 牵引钩，腭托加大</w:t>
            </w:r>
          </w:p>
        </w:tc>
        <w:tc>
          <w:tcPr>
            <w:tcW w:type="dxa" w:w="374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安氏 III 类上颌后缩的腭部支抗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③ 扩弓—保持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腭中缝加螺旋扩弓器</w:t>
            </w:r>
          </w:p>
        </w:tc>
        <w:tc>
          <w:tcPr>
            <w:tcW w:type="dxa" w:w="374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横向不足合并间隙丧失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④ 骨支抗 / 固位改良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腭部微种植钉；基牙改全冠、加邻牙支托</w:t>
            </w:r>
          </w:p>
        </w:tc>
        <w:tc>
          <w:tcPr>
            <w:tcW w:type="dxa" w:w="3742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需绝对支抗或基牙条件差</w:t>
            </w:r>
          </w:p>
        </w:tc>
      </w:tr>
    </w:tbl>
    <w:p>
      <w:pPr>
        <w:spacing w:after="40"/>
      </w:pP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3　装置怎么选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86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decisio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6　装置选择决策流程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381"/>
        <w:gridCol w:w="3061"/>
      </w:tblGrid>
      <w:tr>
        <w:trPr>
          <w:tblHeader/>
        </w:trPr>
        <w:tc>
          <w:tcPr>
            <w:tcW w:type="dxa" w:w="3969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临床情形</w:t>
            </w:r>
          </w:p>
        </w:tc>
        <w:tc>
          <w:tcPr>
            <w:tcW w:type="dxa" w:w="238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首选</w:t>
            </w:r>
          </w:p>
        </w:tc>
        <w:tc>
          <w:tcPr>
            <w:tcW w:type="dxa" w:w="306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关键点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单侧下颌第一乳磨牙早失，第二乳磨牙完好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带环丝圈式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带环于第二乳磨牙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单侧第二乳磨牙早失，第一恒磨牙未萌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远端靴式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引导恒磨牙萌出，时机要求高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双侧下颌乳磨牙早失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固定舌弓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支抗牙 36 / 46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双侧上颌乳磨牙早失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Nance 腭弓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腭托需均匀贴合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上颌第一恒磨牙异位萌出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改良 Nance 弓 + 推簧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尽早干预，评估可否复位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上颌后缩拟行前方牵引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改良 Nance 弓 + 面具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需保证每日佩戴时间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上颌横向不足合并缺隙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改良 Nance 弓 + 扩弓器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扩弓与保持同步</w:t>
            </w:r>
          </w:p>
        </w:tc>
      </w:tr>
      <w:tr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口腔卫生极差、龋病未控制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先治龋 / 暂缓固定装置</w:t>
            </w:r>
          </w:p>
        </w:tc>
        <w:tc>
          <w:tcPr>
            <w:tcW w:type="dxa" w:w="306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必要时改活动式</w:t>
            </w:r>
          </w:p>
        </w:tc>
      </w:tr>
    </w:tbl>
    <w:p>
      <w:pPr>
        <w:spacing w:after="40"/>
      </w:pP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4　操作步骤与器械材料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t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7　操作流程与关键点（固定式保持器 / 改良 Nance 弓通用）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tblHeader/>
        </w:trPr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483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操作要点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1 术前评估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影像判断恒牙发育阶段与萌出通道；测缺隙；查基牙与口腔卫生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2 试带环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就位、边缘密合无悬突、邻接恢复、咬合无干扰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3 取模灌模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带环随印模取出并牢固复位；超硬石膏灌制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4 技工制作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丝圈 / 舌弓 / 腭弓弯制 → 焊接带环 → 制作腭托 → 抛光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5 试戴调整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丝圈与腭弓距组织 0.5–1.0 mm；腭托均匀贴合；咬合无干扰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6 粘接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严格隔湿；完全就位；去净多余粘接剂；复查咬合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7 医嘱宣教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避免硬黏食物；重点清洁带环边缘、丝圈下方、腭托边缘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8 定期复查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保持型 3–6 个月；加力型 4–6 周；记录间隙测量值</w:t>
            </w:r>
          </w:p>
        </w:tc>
      </w:tr>
    </w:tbl>
    <w:p>
      <w:pPr>
        <w:spacing w:after="40"/>
      </w:pP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器械与材料清单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tblHeader/>
        </w:trPr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483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材料与器械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检查与取模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检查盘、间隙测量尺、儿童托盘、藻酸盐印模材、超硬石膏、咬合蜡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固位与粘接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预成不锈钢带环、预成不锈钢全冠、玻璃离子 / 树脂加强玻璃离子、正畸粘接剂、开口器与吸唾器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技工制作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不锈钢丝 0.8 / 0.9 / 1.0 mm、梯形钳、三喙钳、断丝钳、点焊机、银焊与焊媒、腭托树脂、打磨抛光器材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改良部件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螺旋扩弓器、颊面管、牵引钩、推簧、镍钛丝、前方牵引面具与橡皮圈、（可选）腭部微种植钉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防护与随访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氟保护漆 / 含氟涂料、根尖片与曲面体层片、复诊记录表、宣教资料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5　适应证与禁忌证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√ 适应证</w:t>
            </w:r>
          </w:p>
        </w:tc>
        <w:tc>
          <w:tcPr>
            <w:tcW w:type="dxa" w:w="4706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× 禁忌证 / 慎用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乳磨牙早失，恒牙 6 个月内不能萌出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继承恒牙即将萌出（牙根 &gt; 2/3）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单侧 1 牙缺失（带环 / 全冠丝圈式）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龋病、牙髓病未控制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双侧缺隙（舌弓 / Nance 腭弓）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口腔卫生极差、高龋活性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第一恒磨牙未萌 + 第二乳磨牙早失（远端靴式）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基牙牙冠高度 / 形态不足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先天缺牙需维持间隙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腭穹窿过浅、腭部瘢痕或感觉障碍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依从性差，不宜活动式装置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对镍铬 / 不锈钢过敏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需加强支抗（推磨牙 / 前牵引 / 扩弓）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无法定期复诊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磨牙异位萌出的早期阻断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需综合正畸 / 拔牙矫治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腭部阻挡以纠正不良习惯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面具佩戴时间无法保证（改良 Nance 弓）</w:t>
            </w:r>
          </w:p>
        </w:tc>
      </w:tr>
    </w:tbl>
    <w:p>
      <w:pPr>
        <w:spacing w:after="4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8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os_do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8　常见错误对照（左列正确 · 右列错误）</w:t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6　复诊、维护与并发症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85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9　复诊与维护时间轴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3969"/>
      </w:tblGrid>
      <w:tr>
        <w:trPr>
          <w:tblHeader/>
        </w:trPr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并发症</w:t>
            </w:r>
          </w:p>
        </w:tc>
        <w:tc>
          <w:tcPr>
            <w:tcW w:type="dxa" w:w="3515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常见原因</w:t>
            </w:r>
          </w:p>
        </w:tc>
        <w:tc>
          <w:tcPr>
            <w:tcW w:type="dxa" w:w="3969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带环松动 / 脱落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隔湿不良、咬合力过大、基牙条件差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重新粘固；反复脱落改全冠或换设计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丝圈变形、压龈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外力、制作不当、邻牙萌出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口内调整或重做，解除压迫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腭托压迫溃疡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组织面不贴合、树脂过多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缓冲调磨；必要时重做腭托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牙龈炎、带环下脱矿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卫生维护差、滞留区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洁治 + 用氟 + 强化宣教；必要时拆除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牙髓症状 / 牙根吸收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矫治力过大、移动过快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停止加力或拆除，评估牙髓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间隙保持失败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脱落未复诊、设计不当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重新评估，必要时正畸会诊</w:t>
            </w:r>
          </w:p>
        </w:tc>
      </w:tr>
    </w:tbl>
    <w:p>
      <w:pPr>
        <w:spacing w:after="40"/>
      </w:pP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家长沟通要点（可直接照读）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这个装置是“占位”的：乳牙早掉，旁边的牙会倒过来占掉恒牙的位置。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不要咬硬糖、冰块、黏性食物；刷牙要重点刷装置边缘和金属圈下面。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装置松动、变形、牙龈被压红或孩子喊疼，请尽快来医院，不要自己掰。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按预约复查；恒牙长到位置或开始做矫正时就把它取下来。</w:t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7　拆除时机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527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remo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10　拆除时机判断（影像学 + 临床）</w:t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8　病例举例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1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cas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11　四个典型病例示意（红圈 = 缺隙 / 异位萌出）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041"/>
        <w:gridCol w:w="2098"/>
        <w:gridCol w:w="2041"/>
        <w:gridCol w:w="2381"/>
      </w:tblGrid>
      <w:tr>
        <w:trPr>
          <w:tblHeader/>
        </w:trPr>
        <w:tc>
          <w:tcPr>
            <w:tcW w:type="dxa" w:w="850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病例</w:t>
            </w:r>
          </w:p>
        </w:tc>
        <w:tc>
          <w:tcPr>
            <w:tcW w:type="dxa" w:w="204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年龄 / 情况</w:t>
            </w:r>
          </w:p>
        </w:tc>
        <w:tc>
          <w:tcPr>
            <w:tcW w:type="dxa" w:w="209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影像学与检查</w:t>
            </w:r>
          </w:p>
        </w:tc>
        <w:tc>
          <w:tcPr>
            <w:tcW w:type="dxa" w:w="204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装置选择</w:t>
            </w:r>
          </w:p>
        </w:tc>
        <w:tc>
          <w:tcPr>
            <w:tcW w:type="dxa" w:w="238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理由与要点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1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岁 4 个月，男；74 因龋拔除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75 完好；继承恒牙距萌出 &gt; 1 年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带环丝圈式（带环于 75）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单侧单牙缺失；丝圈抵 73，避免 75 近中倾斜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2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 岁 1 个月，女；55、65 早失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腭穹窿较深；16、26 已萌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Nance 腭弓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跨中线同时保持双侧；腭托提供支抗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3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 岁 8 个月，男；16 异位萌出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可复性嵌顿，牙根形成约 1/2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改良 Nance 弓 + 推簧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早期阻断；避免 55 早脱后间隙进一步丧失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4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8 岁 2 个月，女；上颌后缩、反合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ANB &lt; 0°，上颌后缩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改良 Nance 弓 + 颊面管 + 面具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腭部支抗 + 前牵引 300–500 g/侧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5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 岁 10 个月，女；85 早失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46 尚未萌出，骨覆盖完整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远端靴式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引导 46 在正常位置萌出；拔牙前取模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6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岁 8 个月，男；75、85 早失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36、46 已萌，牙冠条件好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固定舌弓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下颌多牙缺失，保持牙弓长度与磨牙宽度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7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9 岁，女；上颌横向不足 + 55 早失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后牙反合，上颌宽度不足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改良 Nance 弓 + 螺旋扩弓器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扩弓与间隙保持同步，注意加力节奏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8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8 岁 6 个月，男；75 早失，36 已萌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36 完全萌出，牙冠高度足够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带环丝圈式（带环于 36）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恒磨牙已萌，固位可靠，制作简单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9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 岁 3 个月，男；74 早失但多牙龋坏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口腔卫生极差，多牙需治疗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先治龋 + 口腔卫生指导，暂缓固定装置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卫生与依从性不达标；必要时改活动式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10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岁 2 个月，女；65 早失 + 腭部瘢痕</w:t>
            </w:r>
          </w:p>
        </w:tc>
        <w:tc>
          <w:tcPr>
            <w:tcW w:type="dxa" w:w="209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腭穹窿浅，腭部术后瘢痕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改用带环丝圈式（单侧）</w:t>
            </w:r>
          </w:p>
        </w:tc>
        <w:tc>
          <w:tcPr>
            <w:tcW w:type="dxa" w:w="238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Nance 腭托易压迫、脱位，应回避</w:t>
            </w:r>
          </w:p>
        </w:tc>
      </w:tr>
    </w:tbl>
    <w:p>
      <w:pPr>
        <w:spacing w:after="40"/>
      </w:pP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9　附录</w:t>
      </w: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术前 / 术中 / 术后核对清单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术前：影像确认恒牙发育阶段；测量缺隙；评估基牙与菌斑；完成龋病治疗；知情同意。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术中：带环完全就位无悬突；焊点牢固；丝圈 / 腭弓距组织 0.5–1.0 mm；腭托贴合；咬合无干扰；隔湿充分。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术后：清洁方法示范并让家长复述；交代饮食禁忌；预约复查；病历记录材料规格。</w:t>
      </w: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主要参考依据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[1] </w:t>
      </w:r>
      <w:r>
        <w:rPr>
          <w:rFonts w:ascii="Times New Roman" w:hAnsi="Times New Roman" w:cs="Times New Roman" w:eastAsia="宋体"/>
          <w:b w:val="0"/>
          <w:sz w:val="18"/>
        </w:rPr>
        <w:t>中华口腔医学会儿童口腔医学专业委员会. 儿童间隙保持器的临床应用指南.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[2] </w:t>
      </w:r>
      <w:r>
        <w:rPr>
          <w:rFonts w:ascii="Times New Roman" w:hAnsi="Times New Roman" w:cs="Times New Roman" w:eastAsia="宋体"/>
          <w:b w:val="0"/>
          <w:sz w:val="18"/>
        </w:rPr>
        <w:t>葛立宏, 主编. 儿童口腔医学. 人民卫生出版社.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[3] </w:t>
      </w:r>
      <w:r>
        <w:rPr>
          <w:rFonts w:ascii="Times New Roman" w:hAnsi="Times New Roman" w:cs="Times New Roman" w:eastAsia="宋体"/>
          <w:b w:val="0"/>
          <w:sz w:val="18"/>
        </w:rPr>
        <w:t>赵志河, 主编. 口腔正畸学. 人民卫生出版社.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[4] </w:t>
      </w:r>
      <w:r>
        <w:rPr>
          <w:rFonts w:ascii="Times New Roman" w:hAnsi="Times New Roman" w:cs="Times New Roman" w:eastAsia="宋体"/>
          <w:b w:val="0"/>
          <w:sz w:val="18"/>
        </w:rPr>
        <w:t>秦满, 主编. 儿童口腔科临床操作教程. 人民卫生出版社.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[5] </w:t>
      </w:r>
      <w:r>
        <w:rPr>
          <w:rFonts w:ascii="Times New Roman" w:hAnsi="Times New Roman" w:cs="Times New Roman" w:eastAsia="宋体"/>
          <w:b w:val="0"/>
          <w:sz w:val="18"/>
        </w:rPr>
        <w:t>American Academy of Pediatric Dentistry. Management of the Developing Dentition and Occlusion in Pediatric Dentistry. The AAPD Reference Manual.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[6] </w:t>
      </w:r>
      <w:r>
        <w:rPr>
          <w:rFonts w:ascii="Times New Roman" w:hAnsi="Times New Roman" w:cs="Times New Roman" w:eastAsia="宋体"/>
          <w:b w:val="0"/>
          <w:sz w:val="18"/>
        </w:rPr>
        <w:t>Proffit WR, et al. Contemporary Orthodontics. Elsevier.</w:t>
      </w:r>
    </w:p>
    <w:p>
      <w:pPr>
        <w:pStyle w:val="T-Note"/>
      </w:pPr>
      <w:r>
        <w:rPr>
          <w:rFonts w:ascii="Times New Roman" w:hAnsi="Times New Roman" w:cs="Times New Roman" w:eastAsia="宋体"/>
          <w:b w:val="0"/>
          <w:color w:val="5F6770"/>
          <w:sz w:val="18"/>
        </w:rPr>
        <w:t>说明：图中尺寸、力值与复诊间隔均为临床常用参考范围，须结合患者年龄、牙列阶段、影像学表现与依从性个体化调整；具体产品以说明书与注册证为准。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t xml:space="preserve">第 </w:t>
    </w: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宋体"/>
        <w:b w:val="0"/>
        <w:sz w:val="18"/>
      </w:rPr>
      <w:t xml:space="preserve"> 页 / 共 </w:t>
    </w: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cs="Times New Roman" w:eastAsia="宋体"/>
        <w:b w:val="0"/>
        <w:color w:val="5F6770"/>
        <w:sz w:val="17"/>
      </w:rPr>
      <w:t xml:space="preserve"> 页　|　图解手册 · 临床参考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center"/>
    </w:pPr>
    <w:r>
      <w:rPr>
        <w:rFonts w:ascii="Arial" w:hAnsi="Arial" w:cs="Arial" w:eastAsia="微软雅黑"/>
        <w:b w:val="0"/>
        <w:color w:val="5F6770"/>
        <w:sz w:val="17"/>
      </w:rPr>
      <w:t>固定式间隙保持器与改良 Nance 弓矫治器 · 图解临床手册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-Title">
    <w:name w:val="T-Title"/>
    <w:basedOn w:val="Normal"/>
    <w:pPr>
      <w:spacing w:before="0" w:after="120" w:line="276" w:lineRule="auto"/>
    </w:pPr>
    <w:rPr>
      <w:rFonts w:ascii="Arial" w:hAnsi="Arial" w:cs="Arial" w:eastAsia="微软雅黑"/>
      <w:b/>
      <w:color w:val="1F364D"/>
      <w:sz w:val="38"/>
    </w:rPr>
  </w:style>
  <w:style w:type="paragraph" w:customStyle="1" w:styleId="T-Sub">
    <w:name w:val="T-Sub"/>
    <w:basedOn w:val="Normal"/>
    <w:pPr>
      <w:spacing w:before="0" w:after="80" w:line="288" w:lineRule="auto"/>
    </w:pPr>
    <w:rPr>
      <w:rFonts w:ascii="Arial" w:hAnsi="Arial" w:cs="Arial" w:eastAsia="微软雅黑"/>
      <w:b w:val="0"/>
      <w:color w:val="0F5C8A"/>
      <w:sz w:val="24"/>
    </w:rPr>
  </w:style>
  <w:style w:type="paragraph" w:customStyle="1" w:styleId="T-H1">
    <w:name w:val="T-H1"/>
    <w:basedOn w:val="Normal"/>
    <w:pPr>
      <w:keepNext/>
      <w:spacing w:before="280" w:after="120" w:line="288" w:lineRule="auto"/>
    </w:pPr>
    <w:rPr>
      <w:rFonts w:ascii="Arial" w:hAnsi="Arial" w:cs="Arial" w:eastAsia="微软雅黑"/>
      <w:b/>
      <w:color w:val="1F364D"/>
      <w:sz w:val="29"/>
    </w:rPr>
  </w:style>
  <w:style w:type="paragraph" w:customStyle="1" w:styleId="T-H2">
    <w:name w:val="T-H2"/>
    <w:basedOn w:val="Normal"/>
    <w:pPr>
      <w:keepNext/>
      <w:spacing w:before="180" w:after="80" w:line="288" w:lineRule="auto"/>
    </w:pPr>
    <w:rPr>
      <w:rFonts w:ascii="Arial" w:hAnsi="Arial" w:cs="Arial" w:eastAsia="微软雅黑"/>
      <w:b/>
      <w:color w:val="0F5C8A"/>
      <w:sz w:val="23"/>
    </w:rPr>
  </w:style>
  <w:style w:type="paragraph" w:customStyle="1" w:styleId="T-Body">
    <w:name w:val="T-Body"/>
    <w:basedOn w:val="Normal"/>
    <w:pPr>
      <w:spacing w:before="0" w:after="80" w:line="324" w:lineRule="auto"/>
    </w:pPr>
    <w:rPr>
      <w:rFonts w:ascii="Times New Roman" w:hAnsi="Times New Roman" w:cs="Times New Roman" w:eastAsia="宋体"/>
      <w:b w:val="0"/>
      <w:sz w:val="21"/>
    </w:rPr>
  </w:style>
  <w:style w:type="paragraph" w:customStyle="1" w:styleId="T-Bul">
    <w:name w:val="T-Bul"/>
    <w:basedOn w:val="Normal"/>
    <w:pPr>
      <w:spacing w:before="0" w:after="40" w:line="312" w:lineRule="auto"/>
      <w:ind w:left="397"/>
    </w:pPr>
    <w:rPr>
      <w:rFonts w:ascii="Times New Roman" w:hAnsi="Times New Roman" w:cs="Times New Roman" w:eastAsia="宋体"/>
      <w:b w:val="0"/>
      <w:sz w:val="21"/>
    </w:rPr>
  </w:style>
  <w:style w:type="paragraph" w:customStyle="1" w:styleId="T-Cap">
    <w:name w:val="T-Cap"/>
    <w:basedOn w:val="Normal"/>
    <w:pPr>
      <w:spacing w:before="40" w:after="160" w:line="288" w:lineRule="auto"/>
    </w:pPr>
    <w:rPr>
      <w:rFonts w:ascii="Arial" w:hAnsi="Arial" w:cs="Arial" w:eastAsia="微软雅黑"/>
      <w:b w:val="0"/>
      <w:color w:val="5F6770"/>
      <w:sz w:val="18"/>
    </w:rPr>
  </w:style>
  <w:style w:type="paragraph" w:customStyle="1" w:styleId="T-TblHead">
    <w:name w:val="T-TblHead"/>
    <w:basedOn w:val="Normal"/>
    <w:pPr>
      <w:spacing w:before="0" w:after="0" w:line="276" w:lineRule="auto"/>
    </w:pPr>
    <w:rPr>
      <w:rFonts w:ascii="Arial" w:hAnsi="Arial" w:cs="Arial" w:eastAsia="微软雅黑"/>
      <w:b/>
      <w:color w:val="FFFFFF"/>
      <w:sz w:val="18"/>
    </w:rPr>
  </w:style>
  <w:style w:type="paragraph" w:customStyle="1" w:styleId="T-TblCell">
    <w:name w:val="T-TblCell"/>
    <w:basedOn w:val="Normal"/>
    <w:pPr>
      <w:spacing w:before="0" w:after="0" w:line="283" w:lineRule="auto"/>
    </w:pPr>
    <w:rPr>
      <w:rFonts w:ascii="Times New Roman" w:hAnsi="Times New Roman" w:cs="Times New Roman" w:eastAsia="宋体"/>
      <w:b w:val="0"/>
      <w:sz w:val="18"/>
    </w:rPr>
  </w:style>
  <w:style w:type="paragraph" w:customStyle="1" w:styleId="T-Note">
    <w:name w:val="T-Note"/>
    <w:basedOn w:val="Normal"/>
    <w:pPr>
      <w:spacing w:before="60" w:after="100" w:line="312" w:lineRule="auto"/>
      <w:ind w:left="227"/>
    </w:pPr>
    <w:rPr>
      <w:rFonts w:ascii="Times New Roman" w:hAnsi="Times New Roman" w:cs="Times New Roman" w:eastAsia="宋体"/>
      <w:b w:val="0"/>
      <w:color w:val="5F677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