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0367EE" w14:textId="77777777" w:rsidR="00784A2A" w:rsidRDefault="00784A2A" w:rsidP="00784A2A">
      <w:pPr>
        <w:autoSpaceDE w:val="0"/>
        <w:autoSpaceDN w:val="0"/>
        <w:adjustRightInd w:val="0"/>
        <w:spacing w:after="40" w:line="240" w:lineRule="auto"/>
        <w:rPr>
          <w:rFonts w:ascii="Calibri" w:hAnsi="Calibri" w:cs="Calibri"/>
          <w:color w:val="000000"/>
          <w:kern w:val="0"/>
          <w:sz w:val="20"/>
          <w:szCs w:val="20"/>
        </w:rPr>
      </w:pPr>
      <w:r>
        <w:rPr>
          <w:rFonts w:ascii="Helvetica" w:hAnsi="Helvetica" w:cs="Helvetica"/>
          <w:b/>
          <w:bCs/>
          <w:color w:val="182951"/>
          <w:kern w:val="0"/>
          <w:sz w:val="30"/>
          <w:szCs w:val="30"/>
        </w:rPr>
        <w:t>Agentic Neural-Symbolic Systems for Healthcare Payment Integrity</w:t>
      </w:r>
    </w:p>
    <w:p w14:paraId="01B6E351" w14:textId="77777777" w:rsidR="00784A2A" w:rsidRDefault="00784A2A" w:rsidP="00784A2A">
      <w:pPr>
        <w:autoSpaceDE w:val="0"/>
        <w:autoSpaceDN w:val="0"/>
        <w:adjustRightInd w:val="0"/>
        <w:spacing w:after="200" w:line="240" w:lineRule="auto"/>
        <w:rPr>
          <w:rFonts w:ascii="Calibri" w:hAnsi="Calibri" w:cs="Calibri"/>
          <w:color w:val="000000"/>
          <w:kern w:val="0"/>
          <w:sz w:val="20"/>
          <w:szCs w:val="20"/>
        </w:rPr>
      </w:pPr>
      <w:r>
        <w:rPr>
          <w:rFonts w:ascii="Calibri" w:hAnsi="Calibri" w:cs="Calibri"/>
          <w:color w:val="343434"/>
          <w:kern w:val="0"/>
          <w:sz w:val="20"/>
          <w:szCs w:val="20"/>
        </w:rPr>
        <w:t>Ovunc Ozgun Eker   |   Cotiviti Intern Assessment   |   Topic 2: Clinical Decision-Making &amp; Pattern Recognition (TPO)</w:t>
      </w:r>
    </w:p>
    <w:p w14:paraId="603B4356" w14:textId="77777777" w:rsidR="00784A2A" w:rsidRDefault="00784A2A" w:rsidP="00784A2A">
      <w:pPr>
        <w:autoSpaceDE w:val="0"/>
        <w:autoSpaceDN w:val="0"/>
        <w:adjustRightInd w:val="0"/>
        <w:spacing w:after="80" w:line="240" w:lineRule="auto"/>
        <w:rPr>
          <w:rFonts w:ascii="Calibri" w:hAnsi="Calibri" w:cs="Calibri"/>
          <w:color w:val="000000"/>
          <w:kern w:val="0"/>
          <w:sz w:val="20"/>
          <w:szCs w:val="20"/>
        </w:rPr>
      </w:pPr>
      <w:r>
        <w:rPr>
          <w:rFonts w:ascii="Helvetica" w:hAnsi="Helvetica" w:cs="Helvetica"/>
          <w:b/>
          <w:bCs/>
          <w:color w:val="182951"/>
          <w:kern w:val="0"/>
          <w:sz w:val="26"/>
          <w:szCs w:val="26"/>
        </w:rPr>
        <w:t>1. Concept Definition</w:t>
      </w:r>
    </w:p>
    <w:p w14:paraId="5C931AD3" w14:textId="77777777" w:rsidR="00784A2A" w:rsidRDefault="00784A2A" w:rsidP="00784A2A">
      <w:pPr>
        <w:autoSpaceDE w:val="0"/>
        <w:autoSpaceDN w:val="0"/>
        <w:adjustRightInd w:val="0"/>
        <w:spacing w:after="200" w:line="264" w:lineRule="auto"/>
        <w:jc w:val="both"/>
        <w:rPr>
          <w:rFonts w:ascii="Calibri" w:hAnsi="Calibri" w:cs="Calibri"/>
          <w:color w:val="000000"/>
          <w:kern w:val="0"/>
          <w:sz w:val="20"/>
          <w:szCs w:val="20"/>
        </w:rPr>
      </w:pPr>
      <w:r>
        <w:rPr>
          <w:rFonts w:ascii="Calibri" w:hAnsi="Calibri" w:cs="Calibri"/>
          <w:color w:val="000000"/>
          <w:kern w:val="0"/>
          <w:sz w:val="20"/>
          <w:szCs w:val="20"/>
        </w:rPr>
        <w:t xml:space="preserve">Healthcare payment integrity is the discipline of ensuring that claims are paid correctly — not overpaid, duplicated, or reimbursed for services that were never rendered or were improperly coded. Fraud, waste, and abuse are estimated to consume a substantial share of U.S. healthcare spending, and the detection problem is hard for a structural reason: confirmed fraud labels are scarce, arrive late, and exist at the </w:t>
      </w:r>
      <w:r>
        <w:rPr>
          <w:rFonts w:ascii="Helvetica" w:hAnsi="Helvetica" w:cs="Helvetica"/>
          <w:i/>
          <w:iCs/>
          <w:color w:val="000000"/>
          <w:kern w:val="0"/>
          <w:sz w:val="20"/>
          <w:szCs w:val="20"/>
        </w:rPr>
        <w:t>provider</w:t>
      </w:r>
      <w:r>
        <w:rPr>
          <w:rFonts w:ascii="Calibri" w:hAnsi="Calibri" w:cs="Calibri"/>
          <w:color w:val="000000"/>
          <w:kern w:val="0"/>
          <w:sz w:val="20"/>
          <w:szCs w:val="20"/>
        </w:rPr>
        <w:t xml:space="preserve"> level, while the suspicious behavior itself lives in individual </w:t>
      </w:r>
      <w:r>
        <w:rPr>
          <w:rFonts w:ascii="Helvetica" w:hAnsi="Helvetica" w:cs="Helvetica"/>
          <w:i/>
          <w:iCs/>
          <w:color w:val="000000"/>
          <w:kern w:val="0"/>
          <w:sz w:val="20"/>
          <w:szCs w:val="20"/>
        </w:rPr>
        <w:t>claims</w:t>
      </w:r>
      <w:r>
        <w:rPr>
          <w:rFonts w:ascii="Calibri" w:hAnsi="Calibri" w:cs="Calibri"/>
          <w:color w:val="000000"/>
          <w:kern w:val="0"/>
          <w:sz w:val="20"/>
          <w:szCs w:val="20"/>
        </w:rPr>
        <w:t xml:space="preserve">. This project defines and demonstrates an </w:t>
      </w:r>
      <w:r>
        <w:rPr>
          <w:rFonts w:ascii="Helvetica" w:hAnsi="Helvetica" w:cs="Helvetica"/>
          <w:b/>
          <w:bCs/>
          <w:color w:val="000000"/>
          <w:kern w:val="0"/>
          <w:sz w:val="20"/>
          <w:szCs w:val="20"/>
        </w:rPr>
        <w:t>agentic neural-symbolic</w:t>
      </w:r>
      <w:r>
        <w:rPr>
          <w:rFonts w:ascii="Calibri" w:hAnsi="Calibri" w:cs="Calibri"/>
          <w:color w:val="000000"/>
          <w:kern w:val="0"/>
          <w:sz w:val="20"/>
          <w:szCs w:val="20"/>
        </w:rPr>
        <w:t xml:space="preserve"> approach to this problem. </w:t>
      </w:r>
      <w:r>
        <w:rPr>
          <w:rFonts w:ascii="Helvetica" w:hAnsi="Helvetica" w:cs="Helvetica"/>
          <w:b/>
          <w:bCs/>
          <w:color w:val="000000"/>
          <w:kern w:val="0"/>
          <w:sz w:val="20"/>
          <w:szCs w:val="20"/>
        </w:rPr>
        <w:t>Neural</w:t>
      </w:r>
      <w:r>
        <w:rPr>
          <w:rFonts w:ascii="Calibri" w:hAnsi="Calibri" w:cs="Calibri"/>
          <w:color w:val="000000"/>
          <w:kern w:val="0"/>
          <w:sz w:val="20"/>
          <w:szCs w:val="20"/>
        </w:rPr>
        <w:t xml:space="preserve"> components are statistical or machine-learned models that recognize fuzzy, data-driven patterns of anomalous billing. </w:t>
      </w:r>
      <w:r>
        <w:rPr>
          <w:rFonts w:ascii="Helvetica" w:hAnsi="Helvetica" w:cs="Helvetica"/>
          <w:b/>
          <w:bCs/>
          <w:color w:val="000000"/>
          <w:kern w:val="0"/>
          <w:sz w:val="20"/>
          <w:szCs w:val="20"/>
        </w:rPr>
        <w:t>Symbolic</w:t>
      </w:r>
      <w:r>
        <w:rPr>
          <w:rFonts w:ascii="Calibri" w:hAnsi="Calibri" w:cs="Calibri"/>
          <w:color w:val="000000"/>
          <w:kern w:val="0"/>
          <w:sz w:val="20"/>
          <w:szCs w:val="20"/>
        </w:rPr>
        <w:t xml:space="preserve"> components are explicit, deterministic billing-policy rules — the codified logic of what is and is not a valid claim. The </w:t>
      </w:r>
      <w:r>
        <w:rPr>
          <w:rFonts w:ascii="Helvetica" w:hAnsi="Helvetica" w:cs="Helvetica"/>
          <w:b/>
          <w:bCs/>
          <w:color w:val="000000"/>
          <w:kern w:val="0"/>
          <w:sz w:val="20"/>
          <w:szCs w:val="20"/>
        </w:rPr>
        <w:t>agentic</w:t>
      </w:r>
      <w:r>
        <w:rPr>
          <w:rFonts w:ascii="Calibri" w:hAnsi="Calibri" w:cs="Calibri"/>
          <w:color w:val="000000"/>
          <w:kern w:val="0"/>
          <w:sz w:val="20"/>
          <w:szCs w:val="20"/>
        </w:rPr>
        <w:t xml:space="preserve"> component is a large language model (LLM) that autonomously orchestrates these tools: given a provider, it decides which checks to run, chains them together, reasons over the combined evidence, and produces a human-readable investigation memo. Cotiviti's core business already fuses learned analytics with codified payment policy, so this concept is a small, faithful model of the company's real problem space.</w:t>
      </w:r>
    </w:p>
    <w:p w14:paraId="127906AB" w14:textId="77777777" w:rsidR="00784A2A" w:rsidRDefault="00784A2A" w:rsidP="00784A2A">
      <w:pPr>
        <w:autoSpaceDE w:val="0"/>
        <w:autoSpaceDN w:val="0"/>
        <w:adjustRightInd w:val="0"/>
        <w:spacing w:after="80" w:line="240" w:lineRule="auto"/>
        <w:rPr>
          <w:rFonts w:ascii="Calibri" w:hAnsi="Calibri" w:cs="Calibri"/>
          <w:color w:val="000000"/>
          <w:kern w:val="0"/>
          <w:sz w:val="20"/>
          <w:szCs w:val="20"/>
        </w:rPr>
      </w:pPr>
      <w:r>
        <w:rPr>
          <w:rFonts w:ascii="Helvetica" w:hAnsi="Helvetica" w:cs="Helvetica"/>
          <w:b/>
          <w:bCs/>
          <w:color w:val="182951"/>
          <w:kern w:val="0"/>
          <w:sz w:val="26"/>
          <w:szCs w:val="26"/>
        </w:rPr>
        <w:t>2. Relevant Trends</w:t>
      </w:r>
    </w:p>
    <w:p w14:paraId="480184D2" w14:textId="77777777" w:rsidR="00784A2A" w:rsidRDefault="00784A2A" w:rsidP="00784A2A">
      <w:pPr>
        <w:autoSpaceDE w:val="0"/>
        <w:autoSpaceDN w:val="0"/>
        <w:adjustRightInd w:val="0"/>
        <w:spacing w:after="200" w:line="264" w:lineRule="auto"/>
        <w:jc w:val="both"/>
        <w:rPr>
          <w:rFonts w:ascii="Calibri" w:hAnsi="Calibri" w:cs="Calibri"/>
          <w:color w:val="000000"/>
          <w:kern w:val="0"/>
          <w:sz w:val="20"/>
          <w:szCs w:val="20"/>
        </w:rPr>
      </w:pPr>
      <w:r>
        <w:rPr>
          <w:rFonts w:ascii="Calibri" w:hAnsi="Calibri" w:cs="Calibri"/>
          <w:color w:val="000000"/>
          <w:kern w:val="0"/>
          <w:sz w:val="20"/>
          <w:szCs w:val="20"/>
        </w:rPr>
        <w:t xml:space="preserve">Three converging trends make this concept timely. </w:t>
      </w:r>
      <w:r>
        <w:rPr>
          <w:rFonts w:ascii="Helvetica" w:hAnsi="Helvetica" w:cs="Helvetica"/>
          <w:b/>
          <w:bCs/>
          <w:color w:val="000000"/>
          <w:kern w:val="0"/>
          <w:sz w:val="20"/>
          <w:szCs w:val="20"/>
        </w:rPr>
        <w:t>First, agentic AI</w:t>
      </w:r>
      <w:r>
        <w:rPr>
          <w:rFonts w:ascii="Calibri" w:hAnsi="Calibri" w:cs="Calibri"/>
          <w:color w:val="000000"/>
          <w:kern w:val="0"/>
          <w:sz w:val="20"/>
          <w:szCs w:val="20"/>
        </w:rPr>
        <w:t xml:space="preserve"> has moved from single-shot prediction toward systems that plan and act through tool use — an LLM that calls detectors, retrieves records, and composes a case narrative rather than merely emitting a score. </w:t>
      </w:r>
      <w:r>
        <w:rPr>
          <w:rFonts w:ascii="Helvetica" w:hAnsi="Helvetica" w:cs="Helvetica"/>
          <w:b/>
          <w:bCs/>
          <w:color w:val="000000"/>
          <w:kern w:val="0"/>
          <w:sz w:val="20"/>
          <w:szCs w:val="20"/>
        </w:rPr>
        <w:t>Second, neural-symbolic integration</w:t>
      </w:r>
      <w:r>
        <w:rPr>
          <w:rFonts w:ascii="Calibri" w:hAnsi="Calibri" w:cs="Calibri"/>
          <w:color w:val="000000"/>
          <w:kern w:val="0"/>
          <w:sz w:val="20"/>
          <w:szCs w:val="20"/>
        </w:rPr>
        <w:t xml:space="preserve"> is re-emerging as a practical answer to the explainability gap: purely learned models catch novel patterns but cannot justify themselves to an auditor, while purely rule-based systems are transparent but blind to new schemes. Regulated domains like healthcare payment reward the combination. </w:t>
      </w:r>
      <w:r>
        <w:rPr>
          <w:rFonts w:ascii="Helvetica" w:hAnsi="Helvetica" w:cs="Helvetica"/>
          <w:b/>
          <w:bCs/>
          <w:color w:val="000000"/>
          <w:kern w:val="0"/>
          <w:sz w:val="20"/>
          <w:szCs w:val="20"/>
        </w:rPr>
        <w:t>Third, privacy-preserving local inference</w:t>
      </w:r>
      <w:r>
        <w:rPr>
          <w:rFonts w:ascii="Calibri" w:hAnsi="Calibri" w:cs="Calibri"/>
          <w:color w:val="000000"/>
          <w:kern w:val="0"/>
          <w:sz w:val="20"/>
          <w:szCs w:val="20"/>
        </w:rPr>
        <w:t xml:space="preserve"> — running capable open models on-premises via runtimes such as </w:t>
      </w:r>
      <w:proofErr w:type="spellStart"/>
      <w:r>
        <w:rPr>
          <w:rFonts w:ascii="Calibri" w:hAnsi="Calibri" w:cs="Calibri"/>
          <w:color w:val="000000"/>
          <w:kern w:val="0"/>
          <w:sz w:val="20"/>
          <w:szCs w:val="20"/>
        </w:rPr>
        <w:t>Ollama</w:t>
      </w:r>
      <w:proofErr w:type="spellEnd"/>
      <w:r>
        <w:rPr>
          <w:rFonts w:ascii="Calibri" w:hAnsi="Calibri" w:cs="Calibri"/>
          <w:color w:val="000000"/>
          <w:kern w:val="0"/>
          <w:sz w:val="20"/>
          <w:szCs w:val="20"/>
        </w:rPr>
        <w:t xml:space="preserve"> — is now feasible, which matters acutely where claims contain protected health information (PHI) that cannot be sent to external APIs. This proof of concept runs its LLM agent entirely locally for exactly this reason.</w:t>
      </w:r>
    </w:p>
    <w:p w14:paraId="7D5136B0" w14:textId="77777777" w:rsidR="00784A2A" w:rsidRDefault="00784A2A" w:rsidP="00784A2A">
      <w:pPr>
        <w:autoSpaceDE w:val="0"/>
        <w:autoSpaceDN w:val="0"/>
        <w:adjustRightInd w:val="0"/>
        <w:spacing w:after="80" w:line="240" w:lineRule="auto"/>
        <w:rPr>
          <w:rFonts w:ascii="Calibri" w:hAnsi="Calibri" w:cs="Calibri"/>
          <w:color w:val="000000"/>
          <w:kern w:val="0"/>
          <w:sz w:val="20"/>
          <w:szCs w:val="20"/>
        </w:rPr>
      </w:pPr>
      <w:r>
        <w:rPr>
          <w:rFonts w:ascii="Helvetica" w:hAnsi="Helvetica" w:cs="Helvetica"/>
          <w:b/>
          <w:bCs/>
          <w:color w:val="182951"/>
          <w:kern w:val="0"/>
          <w:sz w:val="26"/>
          <w:szCs w:val="26"/>
        </w:rPr>
        <w:t>3. Proof of Concept &amp; Findings</w:t>
      </w:r>
    </w:p>
    <w:p w14:paraId="2FAC0C4D" w14:textId="77777777" w:rsidR="00784A2A" w:rsidRDefault="00784A2A" w:rsidP="00784A2A">
      <w:pPr>
        <w:autoSpaceDE w:val="0"/>
        <w:autoSpaceDN w:val="0"/>
        <w:adjustRightInd w:val="0"/>
        <w:spacing w:after="100" w:line="264" w:lineRule="auto"/>
        <w:jc w:val="both"/>
        <w:rPr>
          <w:rFonts w:ascii="Calibri" w:hAnsi="Calibri" w:cs="Calibri"/>
          <w:color w:val="000000"/>
          <w:kern w:val="0"/>
          <w:sz w:val="20"/>
          <w:szCs w:val="20"/>
        </w:rPr>
      </w:pPr>
      <w:r>
        <w:rPr>
          <w:rFonts w:ascii="Calibri" w:hAnsi="Calibri" w:cs="Calibri"/>
          <w:color w:val="000000"/>
          <w:kern w:val="0"/>
          <w:sz w:val="20"/>
          <w:szCs w:val="20"/>
        </w:rPr>
        <w:t xml:space="preserve">The POC was built on the Kaggle </w:t>
      </w:r>
      <w:r>
        <w:rPr>
          <w:rFonts w:ascii="Helvetica" w:hAnsi="Helvetica" w:cs="Helvetica"/>
          <w:i/>
          <w:iCs/>
          <w:color w:val="000000"/>
          <w:kern w:val="0"/>
          <w:sz w:val="20"/>
          <w:szCs w:val="20"/>
        </w:rPr>
        <w:t>Healthcare Provider Fraud Detection</w:t>
      </w:r>
      <w:r>
        <w:rPr>
          <w:rFonts w:ascii="Calibri" w:hAnsi="Calibri" w:cs="Calibri"/>
          <w:color w:val="000000"/>
          <w:kern w:val="0"/>
          <w:sz w:val="20"/>
          <w:szCs w:val="20"/>
        </w:rPr>
        <w:t xml:space="preserve"> dataset (~558,000 inpatient and outpatient claims, 5,410 providers, ~9% labeled potentially fraudulent). Three complementary detection layers were built first as the neural substrate, then wrapped as tools for the agent.</w:t>
      </w:r>
    </w:p>
    <w:p w14:paraId="7660C44E" w14:textId="77777777" w:rsidR="00784A2A" w:rsidRDefault="00784A2A" w:rsidP="00784A2A">
      <w:pPr>
        <w:numPr>
          <w:ilvl w:val="0"/>
          <w:numId w:val="1"/>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Layer 1 — Provider-level (two complementary models). </w:t>
      </w:r>
      <w:r>
        <w:rPr>
          <w:rFonts w:ascii="Calibri" w:hAnsi="Calibri" w:cs="Calibri"/>
          <w:color w:val="000000"/>
          <w:kern w:val="0"/>
          <w:sz w:val="20"/>
          <w:szCs w:val="20"/>
        </w:rPr>
        <w:t xml:space="preserve">About 27 engineered provider features were reduced to ~20 after correlation and multicollinearity (VIF) pruning, then modeled two ways. A </w:t>
      </w:r>
      <w:r>
        <w:rPr>
          <w:rFonts w:ascii="Helvetica" w:hAnsi="Helvetica" w:cs="Helvetica"/>
          <w:b/>
          <w:bCs/>
          <w:color w:val="000000"/>
          <w:kern w:val="0"/>
          <w:sz w:val="20"/>
          <w:szCs w:val="20"/>
        </w:rPr>
        <w:t>supervised ridge logistic regression</w:t>
      </w:r>
      <w:r>
        <w:rPr>
          <w:rFonts w:ascii="Calibri" w:hAnsi="Calibri" w:cs="Calibri"/>
          <w:color w:val="000000"/>
          <w:kern w:val="0"/>
          <w:sz w:val="20"/>
          <w:szCs w:val="20"/>
        </w:rPr>
        <w:t xml:space="preserve"> reached a held-out test ROC-AUC of </w:t>
      </w:r>
      <w:r>
        <w:rPr>
          <w:rFonts w:ascii="Helvetica" w:hAnsi="Helvetica" w:cs="Helvetica"/>
          <w:b/>
          <w:bCs/>
          <w:color w:val="000000"/>
          <w:kern w:val="0"/>
          <w:sz w:val="20"/>
          <w:szCs w:val="20"/>
        </w:rPr>
        <w:t>0.94</w:t>
      </w:r>
      <w:r>
        <w:rPr>
          <w:rFonts w:ascii="Calibri" w:hAnsi="Calibri" w:cs="Calibri"/>
          <w:color w:val="000000"/>
          <w:kern w:val="0"/>
          <w:sz w:val="20"/>
          <w:szCs w:val="20"/>
        </w:rPr>
        <w:t xml:space="preserve">, and an </w:t>
      </w:r>
      <w:r>
        <w:rPr>
          <w:rFonts w:ascii="Helvetica" w:hAnsi="Helvetica" w:cs="Helvetica"/>
          <w:b/>
          <w:bCs/>
          <w:color w:val="000000"/>
          <w:kern w:val="0"/>
          <w:sz w:val="20"/>
          <w:szCs w:val="20"/>
        </w:rPr>
        <w:t>unsupervised Isolation Forest</w:t>
      </w:r>
      <w:r>
        <w:rPr>
          <w:rFonts w:ascii="Calibri" w:hAnsi="Calibri" w:cs="Calibri"/>
          <w:color w:val="000000"/>
          <w:kern w:val="0"/>
          <w:sz w:val="20"/>
          <w:szCs w:val="20"/>
        </w:rPr>
        <w:t xml:space="preserve"> reached </w:t>
      </w:r>
      <w:r>
        <w:rPr>
          <w:rFonts w:ascii="Helvetica" w:hAnsi="Helvetica" w:cs="Helvetica"/>
          <w:b/>
          <w:bCs/>
          <w:color w:val="000000"/>
          <w:kern w:val="0"/>
          <w:sz w:val="20"/>
          <w:szCs w:val="20"/>
        </w:rPr>
        <w:t>0.90</w:t>
      </w:r>
      <w:r>
        <w:rPr>
          <w:rFonts w:ascii="Calibri" w:hAnsi="Calibri" w:cs="Calibri"/>
          <w:color w:val="000000"/>
          <w:kern w:val="0"/>
          <w:sz w:val="20"/>
          <w:szCs w:val="20"/>
        </w:rPr>
        <w:t>. The pairing is the point: the supervised model excels at fraud resembling past cases, while the unsupervised model can surface novel patterns without any labels — and their close agreement is mutual corroboration.</w:t>
      </w:r>
    </w:p>
    <w:p w14:paraId="7957D879" w14:textId="77777777" w:rsidR="00784A2A" w:rsidRDefault="00784A2A" w:rsidP="00784A2A">
      <w:pPr>
        <w:numPr>
          <w:ilvl w:val="0"/>
          <w:numId w:val="1"/>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Layer 2 — Claim-level (z-score ensemble). </w:t>
      </w:r>
      <w:r>
        <w:rPr>
          <w:rFonts w:ascii="Calibri" w:hAnsi="Calibri" w:cs="Calibri"/>
          <w:color w:val="000000"/>
          <w:kern w:val="0"/>
          <w:sz w:val="20"/>
          <w:szCs w:val="20"/>
        </w:rPr>
        <w:t>Each claim's reimbursement was compared against its peers under 36 different groupings (by diagnosis code, procedure code, care setting, etc.), with adaptive small-group filtering. Claims flagged across a consensus of groupings were 3x more likely to belong to fraudulent providers (</w:t>
      </w:r>
      <w:r>
        <w:rPr>
          <w:rFonts w:ascii="Helvetica" w:hAnsi="Helvetica" w:cs="Helvetica"/>
          <w:b/>
          <w:bCs/>
          <w:color w:val="000000"/>
          <w:kern w:val="0"/>
          <w:sz w:val="20"/>
          <w:szCs w:val="20"/>
        </w:rPr>
        <w:t>3.05× flag-rate ratio, χ²≈392, p≈4×10⁻⁸⁷</w:t>
      </w:r>
      <w:r>
        <w:rPr>
          <w:rFonts w:ascii="Calibri" w:hAnsi="Calibri" w:cs="Calibri"/>
          <w:color w:val="000000"/>
          <w:kern w:val="0"/>
          <w:sz w:val="20"/>
          <w:szCs w:val="20"/>
        </w:rPr>
        <w:t>) — a strong, statistically overwhelming signal from a fully unsupervised method.</w:t>
      </w:r>
    </w:p>
    <w:p w14:paraId="3A1888A0" w14:textId="77777777" w:rsidR="00784A2A" w:rsidRDefault="00784A2A" w:rsidP="00784A2A">
      <w:pPr>
        <w:numPr>
          <w:ilvl w:val="0"/>
          <w:numId w:val="1"/>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Layer 3 — Temporal (honest null). </w:t>
      </w:r>
      <w:r>
        <w:rPr>
          <w:rFonts w:ascii="Calibri" w:hAnsi="Calibri" w:cs="Calibri"/>
          <w:color w:val="000000"/>
          <w:kern w:val="0"/>
          <w:sz w:val="20"/>
          <w:szCs w:val="20"/>
        </w:rPr>
        <w:t xml:space="preserve">A billing-ramp detector initially showed a striking 7× association with fraud, but robustness checks revealed this was a provider-size artifact: under scale-invariant controls the </w:t>
      </w:r>
      <w:r>
        <w:rPr>
          <w:rFonts w:ascii="Calibri" w:hAnsi="Calibri" w:cs="Calibri"/>
          <w:color w:val="000000"/>
          <w:kern w:val="0"/>
          <w:sz w:val="20"/>
          <w:szCs w:val="20"/>
        </w:rPr>
        <w:lastRenderedPageBreak/>
        <w:t xml:space="preserve">signal collapsed (0.34× on a log scale; 0× when mean-normalized). This layer is reported as a </w:t>
      </w:r>
      <w:r>
        <w:rPr>
          <w:rFonts w:ascii="Helvetica" w:hAnsi="Helvetica" w:cs="Helvetica"/>
          <w:i/>
          <w:iCs/>
          <w:color w:val="000000"/>
          <w:kern w:val="0"/>
          <w:sz w:val="20"/>
          <w:szCs w:val="20"/>
        </w:rPr>
        <w:t>deliberate null result</w:t>
      </w:r>
      <w:r>
        <w:rPr>
          <w:rFonts w:ascii="Calibri" w:hAnsi="Calibri" w:cs="Calibri"/>
          <w:color w:val="000000"/>
          <w:kern w:val="0"/>
          <w:sz w:val="20"/>
          <w:szCs w:val="20"/>
        </w:rPr>
        <w:t>, and it motivates the rest of the architecture — where statistics alone are insufficient, explicit rules and reasoning add the missing signal.</w:t>
      </w:r>
    </w:p>
    <w:p w14:paraId="5A3E46E7" w14:textId="77777777" w:rsidR="00784A2A" w:rsidRDefault="00784A2A" w:rsidP="00784A2A">
      <w:pPr>
        <w:autoSpaceDE w:val="0"/>
        <w:autoSpaceDN w:val="0"/>
        <w:adjustRightInd w:val="0"/>
        <w:spacing w:after="200" w:line="264" w:lineRule="auto"/>
        <w:jc w:val="both"/>
        <w:rPr>
          <w:rFonts w:ascii="Calibri" w:hAnsi="Calibri" w:cs="Calibri"/>
          <w:color w:val="000000"/>
          <w:kern w:val="0"/>
          <w:sz w:val="20"/>
          <w:szCs w:val="20"/>
        </w:rPr>
      </w:pPr>
      <w:r>
        <w:rPr>
          <w:rFonts w:ascii="Calibri" w:hAnsi="Calibri" w:cs="Calibri"/>
          <w:color w:val="000000"/>
          <w:kern w:val="0"/>
          <w:sz w:val="20"/>
          <w:szCs w:val="20"/>
        </w:rPr>
        <w:t xml:space="preserve">On top of these, the POC adds the </w:t>
      </w:r>
      <w:r>
        <w:rPr>
          <w:rFonts w:ascii="Helvetica" w:hAnsi="Helvetica" w:cs="Helvetica"/>
          <w:b/>
          <w:bCs/>
          <w:color w:val="000000"/>
          <w:kern w:val="0"/>
          <w:sz w:val="20"/>
          <w:szCs w:val="20"/>
        </w:rPr>
        <w:t>symbolic rule engine</w:t>
      </w:r>
      <w:r>
        <w:rPr>
          <w:rFonts w:ascii="Calibri" w:hAnsi="Calibri" w:cs="Calibri"/>
          <w:color w:val="000000"/>
          <w:kern w:val="0"/>
          <w:sz w:val="20"/>
          <w:szCs w:val="20"/>
        </w:rPr>
        <w:t xml:space="preserve"> (≈5 illustrative but domain-grounded billing rules, e.g. procedure–diagnosis support, impossible admission/discharge dates, reimbursement ceilings) and an </w:t>
      </w:r>
      <w:r>
        <w:rPr>
          <w:rFonts w:ascii="Helvetica" w:hAnsi="Helvetica" w:cs="Helvetica"/>
          <w:b/>
          <w:bCs/>
          <w:color w:val="000000"/>
          <w:kern w:val="0"/>
          <w:sz w:val="20"/>
          <w:szCs w:val="20"/>
        </w:rPr>
        <w:t>agentic investigator</w:t>
      </w:r>
      <w:r>
        <w:rPr>
          <w:rFonts w:ascii="Calibri" w:hAnsi="Calibri" w:cs="Calibri"/>
          <w:color w:val="000000"/>
          <w:kern w:val="0"/>
          <w:sz w:val="20"/>
          <w:szCs w:val="20"/>
        </w:rPr>
        <w:t xml:space="preserve"> — a locally hosted LLM that, given a provider ID through a </w:t>
      </w:r>
      <w:proofErr w:type="spellStart"/>
      <w:r>
        <w:rPr>
          <w:rFonts w:ascii="Calibri" w:hAnsi="Calibri" w:cs="Calibri"/>
          <w:color w:val="000000"/>
          <w:kern w:val="0"/>
          <w:sz w:val="20"/>
          <w:szCs w:val="20"/>
        </w:rPr>
        <w:t>Streamlit</w:t>
      </w:r>
      <w:proofErr w:type="spellEnd"/>
      <w:r>
        <w:rPr>
          <w:rFonts w:ascii="Calibri" w:hAnsi="Calibri" w:cs="Calibri"/>
          <w:color w:val="000000"/>
          <w:kern w:val="0"/>
          <w:sz w:val="20"/>
          <w:szCs w:val="20"/>
        </w:rPr>
        <w:t xml:space="preserve"> interface, autonomously calls the detectors and rule engine, reasons over both the learned scores and the hard rule violations, and writes an investigation memo. For providers absent from the training data, the provider-level model cannot run, but the claim-level check and symbolic rules still evaluate a single hand-entered claim — a genuine </w:t>
      </w:r>
      <w:r>
        <w:rPr>
          <w:rFonts w:ascii="Helvetica" w:hAnsi="Helvetica" w:cs="Helvetica"/>
          <w:i/>
          <w:iCs/>
          <w:color w:val="000000"/>
          <w:kern w:val="0"/>
          <w:sz w:val="20"/>
          <w:szCs w:val="20"/>
        </w:rPr>
        <w:t>cold-start strength of the neural-symbolic design.</w:t>
      </w:r>
    </w:p>
    <w:p w14:paraId="2232F186" w14:textId="77777777" w:rsidR="00784A2A" w:rsidRDefault="00784A2A" w:rsidP="00784A2A">
      <w:pPr>
        <w:autoSpaceDE w:val="0"/>
        <w:autoSpaceDN w:val="0"/>
        <w:adjustRightInd w:val="0"/>
        <w:spacing w:after="140" w:line="240" w:lineRule="auto"/>
        <w:rPr>
          <w:rFonts w:ascii="Calibri" w:hAnsi="Calibri" w:cs="Calibri"/>
          <w:color w:val="000000"/>
          <w:kern w:val="0"/>
          <w:sz w:val="20"/>
          <w:szCs w:val="20"/>
        </w:rPr>
      </w:pPr>
      <w:r>
        <w:rPr>
          <w:rFonts w:ascii="Helvetica" w:hAnsi="Helvetica" w:cs="Helvetica"/>
          <w:b/>
          <w:bCs/>
          <w:color w:val="182951"/>
          <w:kern w:val="0"/>
          <w:sz w:val="26"/>
          <w:szCs w:val="26"/>
        </w:rPr>
        <w:t>4. Opportunities and Threats</w:t>
      </w:r>
    </w:p>
    <w:p w14:paraId="176860D9" w14:textId="77777777" w:rsidR="00784A2A" w:rsidRDefault="00784A2A" w:rsidP="00784A2A">
      <w:pPr>
        <w:autoSpaceDE w:val="0"/>
        <w:autoSpaceDN w:val="0"/>
        <w:adjustRightInd w:val="0"/>
        <w:spacing w:after="40" w:line="240" w:lineRule="auto"/>
        <w:rPr>
          <w:rFonts w:ascii="Calibri" w:hAnsi="Calibri" w:cs="Calibri"/>
          <w:color w:val="000000"/>
          <w:kern w:val="0"/>
          <w:sz w:val="20"/>
          <w:szCs w:val="20"/>
        </w:rPr>
      </w:pPr>
      <w:r>
        <w:rPr>
          <w:rFonts w:ascii="Helvetica" w:hAnsi="Helvetica" w:cs="Helvetica"/>
          <w:b/>
          <w:bCs/>
          <w:color w:val="244774"/>
          <w:kern w:val="0"/>
          <w:sz w:val="22"/>
          <w:szCs w:val="22"/>
        </w:rPr>
        <w:t>Opportunities</w:t>
      </w:r>
    </w:p>
    <w:p w14:paraId="1A581D08" w14:textId="77777777" w:rsidR="00784A2A" w:rsidRDefault="00784A2A" w:rsidP="00784A2A">
      <w:pPr>
        <w:numPr>
          <w:ilvl w:val="0"/>
          <w:numId w:val="2"/>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Explainability by construction. </w:t>
      </w:r>
      <w:r>
        <w:rPr>
          <w:rFonts w:ascii="Calibri" w:hAnsi="Calibri" w:cs="Calibri"/>
          <w:color w:val="000000"/>
          <w:kern w:val="0"/>
          <w:sz w:val="20"/>
          <w:szCs w:val="20"/>
        </w:rPr>
        <w:t>Fusing learned scores with symbolic rules yields flags an auditor can act on — every determination cites the specific rule or statistical peer-comparison behind it.</w:t>
      </w:r>
    </w:p>
    <w:p w14:paraId="415E7839" w14:textId="77777777" w:rsidR="00784A2A" w:rsidRDefault="00784A2A" w:rsidP="00784A2A">
      <w:pPr>
        <w:numPr>
          <w:ilvl w:val="0"/>
          <w:numId w:val="2"/>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Investigator augmentation. </w:t>
      </w:r>
      <w:r>
        <w:rPr>
          <w:rFonts w:ascii="Calibri" w:hAnsi="Calibri" w:cs="Calibri"/>
          <w:color w:val="000000"/>
          <w:kern w:val="0"/>
          <w:sz w:val="20"/>
          <w:szCs w:val="20"/>
        </w:rPr>
        <w:t xml:space="preserve">An agent that triages providers and drafts case memos </w:t>
      </w:r>
      <w:proofErr w:type="gramStart"/>
      <w:r>
        <w:rPr>
          <w:rFonts w:ascii="Calibri" w:hAnsi="Calibri" w:cs="Calibri"/>
          <w:color w:val="000000"/>
          <w:kern w:val="0"/>
          <w:sz w:val="20"/>
          <w:szCs w:val="20"/>
        </w:rPr>
        <w:t>multiplies</w:t>
      </w:r>
      <w:proofErr w:type="gramEnd"/>
      <w:r>
        <w:rPr>
          <w:rFonts w:ascii="Calibri" w:hAnsi="Calibri" w:cs="Calibri"/>
          <w:color w:val="000000"/>
          <w:kern w:val="0"/>
          <w:sz w:val="20"/>
          <w:szCs w:val="20"/>
        </w:rPr>
        <w:t xml:space="preserve"> the throughput of skilled human investigators rather than replacing their judgment.</w:t>
      </w:r>
    </w:p>
    <w:p w14:paraId="60370503" w14:textId="77777777" w:rsidR="00784A2A" w:rsidRDefault="00784A2A" w:rsidP="00784A2A">
      <w:pPr>
        <w:numPr>
          <w:ilvl w:val="0"/>
          <w:numId w:val="2"/>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Cold-start coverage. </w:t>
      </w:r>
      <w:r>
        <w:rPr>
          <w:rFonts w:ascii="Calibri" w:hAnsi="Calibri" w:cs="Calibri"/>
          <w:color w:val="000000"/>
          <w:kern w:val="0"/>
          <w:sz w:val="20"/>
          <w:szCs w:val="20"/>
        </w:rPr>
        <w:t>Symbolic rules provide fraud-detection capability for new or unseen providers where history-dependent models are silent.</w:t>
      </w:r>
    </w:p>
    <w:p w14:paraId="39C829EB" w14:textId="77777777" w:rsidR="00784A2A" w:rsidRDefault="00784A2A" w:rsidP="00784A2A">
      <w:pPr>
        <w:numPr>
          <w:ilvl w:val="0"/>
          <w:numId w:val="2"/>
        </w:numPr>
        <w:tabs>
          <w:tab w:val="left" w:pos="360"/>
          <w:tab w:val="left" w:pos="720"/>
        </w:tabs>
        <w:autoSpaceDE w:val="0"/>
        <w:autoSpaceDN w:val="0"/>
        <w:adjustRightInd w:val="0"/>
        <w:spacing w:after="14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PHI-safe deployment. </w:t>
      </w:r>
      <w:r>
        <w:rPr>
          <w:rFonts w:ascii="Calibri" w:hAnsi="Calibri" w:cs="Calibri"/>
          <w:color w:val="000000"/>
          <w:kern w:val="0"/>
          <w:sz w:val="20"/>
          <w:szCs w:val="20"/>
        </w:rPr>
        <w:t>Local model inference keeps sensitive claims data on-premises, aligning with HIPAA obligations.</w:t>
      </w:r>
    </w:p>
    <w:p w14:paraId="4EFCF071" w14:textId="77777777" w:rsidR="00784A2A" w:rsidRDefault="00784A2A" w:rsidP="00784A2A">
      <w:pPr>
        <w:autoSpaceDE w:val="0"/>
        <w:autoSpaceDN w:val="0"/>
        <w:adjustRightInd w:val="0"/>
        <w:spacing w:after="40" w:line="240" w:lineRule="auto"/>
        <w:rPr>
          <w:rFonts w:ascii="Calibri" w:hAnsi="Calibri" w:cs="Calibri"/>
          <w:color w:val="000000"/>
          <w:kern w:val="0"/>
          <w:sz w:val="20"/>
          <w:szCs w:val="20"/>
        </w:rPr>
      </w:pPr>
      <w:r>
        <w:rPr>
          <w:rFonts w:ascii="Helvetica" w:hAnsi="Helvetica" w:cs="Helvetica"/>
          <w:b/>
          <w:bCs/>
          <w:color w:val="244774"/>
          <w:kern w:val="0"/>
          <w:sz w:val="22"/>
          <w:szCs w:val="22"/>
        </w:rPr>
        <w:t>Threats</w:t>
      </w:r>
    </w:p>
    <w:p w14:paraId="58A0F13F" w14:textId="77777777" w:rsidR="00784A2A" w:rsidRDefault="00784A2A" w:rsidP="00784A2A">
      <w:pPr>
        <w:numPr>
          <w:ilvl w:val="0"/>
          <w:numId w:val="3"/>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Statistical artifacts. </w:t>
      </w:r>
      <w:r>
        <w:rPr>
          <w:rFonts w:ascii="Calibri" w:hAnsi="Calibri" w:cs="Calibri"/>
          <w:color w:val="000000"/>
          <w:kern w:val="0"/>
          <w:sz w:val="20"/>
          <w:szCs w:val="20"/>
        </w:rPr>
        <w:t>The Layer 3 finding shows how a size confound can masquerade as signal; naive features can mislead investigators and must be validated with scale-invariant controls.</w:t>
      </w:r>
    </w:p>
    <w:p w14:paraId="3153E1B1" w14:textId="77777777" w:rsidR="00784A2A" w:rsidRDefault="00784A2A" w:rsidP="00784A2A">
      <w:pPr>
        <w:numPr>
          <w:ilvl w:val="0"/>
          <w:numId w:val="3"/>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LLM reliability. </w:t>
      </w:r>
      <w:r>
        <w:rPr>
          <w:rFonts w:ascii="Calibri" w:hAnsi="Calibri" w:cs="Calibri"/>
          <w:color w:val="000000"/>
          <w:kern w:val="0"/>
          <w:sz w:val="20"/>
          <w:szCs w:val="20"/>
        </w:rPr>
        <w:t>Local models are less consistent at tool-calling and can hallucinate; the agent must be sandboxed, step-capped, and constrained to verified tool outputs.</w:t>
      </w:r>
    </w:p>
    <w:p w14:paraId="7A061B0A" w14:textId="77777777" w:rsidR="00784A2A" w:rsidRDefault="00784A2A" w:rsidP="00784A2A">
      <w:pPr>
        <w:numPr>
          <w:ilvl w:val="0"/>
          <w:numId w:val="3"/>
        </w:numPr>
        <w:tabs>
          <w:tab w:val="left" w:pos="360"/>
          <w:tab w:val="left" w:pos="720"/>
        </w:tabs>
        <w:autoSpaceDE w:val="0"/>
        <w:autoSpaceDN w:val="0"/>
        <w:adjustRightInd w:val="0"/>
        <w:spacing w:after="20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Adversarial adaptation &amp; drift. </w:t>
      </w:r>
      <w:r>
        <w:rPr>
          <w:rFonts w:ascii="Calibri" w:hAnsi="Calibri" w:cs="Calibri"/>
          <w:color w:val="000000"/>
          <w:kern w:val="0"/>
          <w:sz w:val="20"/>
          <w:szCs w:val="20"/>
        </w:rPr>
        <w:t>Fraud schemes evolve to evade fixed rules and stale models, requiring ongoing rule curation and retraining.</w:t>
      </w:r>
    </w:p>
    <w:p w14:paraId="5748435F" w14:textId="77777777" w:rsidR="00784A2A" w:rsidRDefault="00784A2A" w:rsidP="00784A2A">
      <w:pPr>
        <w:autoSpaceDE w:val="0"/>
        <w:autoSpaceDN w:val="0"/>
        <w:adjustRightInd w:val="0"/>
        <w:spacing w:after="80" w:line="240" w:lineRule="auto"/>
        <w:rPr>
          <w:rFonts w:ascii="Calibri" w:hAnsi="Calibri" w:cs="Calibri"/>
          <w:color w:val="000000"/>
          <w:kern w:val="0"/>
          <w:sz w:val="20"/>
          <w:szCs w:val="20"/>
        </w:rPr>
      </w:pPr>
      <w:r>
        <w:rPr>
          <w:rFonts w:ascii="Helvetica" w:hAnsi="Helvetica" w:cs="Helvetica"/>
          <w:b/>
          <w:bCs/>
          <w:color w:val="182951"/>
          <w:kern w:val="0"/>
          <w:sz w:val="26"/>
          <w:szCs w:val="26"/>
        </w:rPr>
        <w:t>5. Recommendations for Cotiviti</w:t>
      </w:r>
    </w:p>
    <w:p w14:paraId="0A4D6D34" w14:textId="77777777" w:rsidR="00784A2A" w:rsidRDefault="00784A2A" w:rsidP="00784A2A">
      <w:pPr>
        <w:numPr>
          <w:ilvl w:val="0"/>
          <w:numId w:val="4"/>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Pilot an agentic neural-symbolic investigation assistant </w:t>
      </w:r>
      <w:r>
        <w:rPr>
          <w:rFonts w:ascii="Calibri" w:hAnsi="Calibri" w:cs="Calibri"/>
          <w:color w:val="000000"/>
          <w:kern w:val="0"/>
          <w:sz w:val="20"/>
          <w:szCs w:val="20"/>
        </w:rPr>
        <w:t>that pairs Cotiviti's existing ML risk models with its codified payment-policy rules, producing explainable, investigator-ready case narratives.</w:t>
      </w:r>
    </w:p>
    <w:p w14:paraId="576327A0" w14:textId="77777777" w:rsidR="00784A2A" w:rsidRDefault="00784A2A" w:rsidP="00784A2A">
      <w:pPr>
        <w:numPr>
          <w:ilvl w:val="0"/>
          <w:numId w:val="4"/>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Adopt scale-invariant validation </w:t>
      </w:r>
      <w:r>
        <w:rPr>
          <w:rFonts w:ascii="Calibri" w:hAnsi="Calibri" w:cs="Calibri"/>
          <w:color w:val="000000"/>
          <w:kern w:val="0"/>
          <w:sz w:val="20"/>
          <w:szCs w:val="20"/>
        </w:rPr>
        <w:t>as a standard guardrail for any new fraud feature, so size-correlated artifacts are caught before they reach production.</w:t>
      </w:r>
    </w:p>
    <w:p w14:paraId="11F406C2" w14:textId="77777777" w:rsidR="00784A2A" w:rsidRDefault="00784A2A" w:rsidP="00784A2A">
      <w:pPr>
        <w:numPr>
          <w:ilvl w:val="0"/>
          <w:numId w:val="4"/>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Invest in local/on-premises LLM inference </w:t>
      </w:r>
      <w:r>
        <w:rPr>
          <w:rFonts w:ascii="Calibri" w:hAnsi="Calibri" w:cs="Calibri"/>
          <w:color w:val="000000"/>
          <w:kern w:val="0"/>
          <w:sz w:val="20"/>
          <w:szCs w:val="20"/>
        </w:rPr>
        <w:t>for PHI-bound workflows, preserving privacy while capturing agentic capability.</w:t>
      </w:r>
    </w:p>
    <w:p w14:paraId="59B40DF4" w14:textId="77777777" w:rsidR="00784A2A" w:rsidRDefault="00784A2A" w:rsidP="00784A2A">
      <w:pPr>
        <w:numPr>
          <w:ilvl w:val="0"/>
          <w:numId w:val="4"/>
        </w:numPr>
        <w:tabs>
          <w:tab w:val="left" w:pos="360"/>
          <w:tab w:val="left" w:pos="720"/>
        </w:tabs>
        <w:autoSpaceDE w:val="0"/>
        <w:autoSpaceDN w:val="0"/>
        <w:adjustRightInd w:val="0"/>
        <w:spacing w:after="60" w:line="260" w:lineRule="auto"/>
        <w:ind w:hanging="720"/>
        <w:jc w:val="both"/>
        <w:rPr>
          <w:rFonts w:ascii="Calibri" w:hAnsi="Calibri" w:cs="Calibri"/>
          <w:color w:val="000000"/>
          <w:kern w:val="0"/>
          <w:sz w:val="20"/>
          <w:szCs w:val="20"/>
        </w:rPr>
      </w:pPr>
      <w:r>
        <w:rPr>
          <w:rFonts w:ascii="Helvetica" w:hAnsi="Helvetica" w:cs="Helvetica"/>
          <w:b/>
          <w:bCs/>
          <w:color w:val="000000"/>
          <w:kern w:val="0"/>
          <w:sz w:val="20"/>
          <w:szCs w:val="20"/>
        </w:rPr>
        <w:t xml:space="preserve">Treat cold-start (unseen-provider) detection </w:t>
      </w:r>
      <w:r>
        <w:rPr>
          <w:rFonts w:ascii="Calibri" w:hAnsi="Calibri" w:cs="Calibri"/>
          <w:color w:val="000000"/>
          <w:kern w:val="0"/>
          <w:sz w:val="20"/>
          <w:szCs w:val="20"/>
        </w:rPr>
        <w:t>as a first-class capability, leaning on the symbolic layer where history-dependent models cannot operate.</w:t>
      </w:r>
    </w:p>
    <w:p w14:paraId="6B881C6F" w14:textId="77777777" w:rsidR="00784A2A" w:rsidRDefault="00784A2A" w:rsidP="00784A2A">
      <w:pPr>
        <w:autoSpaceDE w:val="0"/>
        <w:autoSpaceDN w:val="0"/>
        <w:adjustRightInd w:val="0"/>
        <w:spacing w:after="80" w:line="240" w:lineRule="auto"/>
        <w:rPr>
          <w:rFonts w:ascii="Calibri" w:hAnsi="Calibri" w:cs="Calibri"/>
          <w:color w:val="000000"/>
          <w:kern w:val="0"/>
          <w:sz w:val="20"/>
          <w:szCs w:val="20"/>
        </w:rPr>
      </w:pPr>
      <w:r>
        <w:rPr>
          <w:rFonts w:ascii="Calibri" w:hAnsi="Calibri" w:cs="Calibri"/>
          <w:color w:val="000000"/>
          <w:kern w:val="0"/>
          <w:sz w:val="20"/>
          <w:szCs w:val="20"/>
        </w:rPr>
        <w:br w:type="page"/>
      </w:r>
      <w:r>
        <w:rPr>
          <w:rFonts w:ascii="Helvetica" w:hAnsi="Helvetica" w:cs="Helvetica"/>
          <w:b/>
          <w:bCs/>
          <w:color w:val="182951"/>
          <w:kern w:val="0"/>
          <w:sz w:val="26"/>
          <w:szCs w:val="26"/>
        </w:rPr>
        <w:lastRenderedPageBreak/>
        <w:t>Bibliography</w:t>
      </w:r>
    </w:p>
    <w:p w14:paraId="5FB7C383" w14:textId="77777777" w:rsidR="00784A2A" w:rsidRDefault="00784A2A" w:rsidP="00784A2A">
      <w:pPr>
        <w:autoSpaceDE w:val="0"/>
        <w:autoSpaceDN w:val="0"/>
        <w:adjustRightInd w:val="0"/>
        <w:spacing w:after="120" w:line="264" w:lineRule="auto"/>
        <w:ind w:left="360" w:hanging="360"/>
        <w:rPr>
          <w:rFonts w:ascii="Calibri" w:hAnsi="Calibri" w:cs="Calibri"/>
          <w:color w:val="000000"/>
          <w:kern w:val="0"/>
          <w:sz w:val="20"/>
          <w:szCs w:val="20"/>
        </w:rPr>
      </w:pPr>
      <w:r>
        <w:rPr>
          <w:rFonts w:ascii="Calibri" w:hAnsi="Calibri" w:cs="Calibri"/>
          <w:color w:val="000000"/>
          <w:kern w:val="0"/>
          <w:sz w:val="20"/>
          <w:szCs w:val="20"/>
        </w:rPr>
        <w:t xml:space="preserve">Centers for Medicare &amp; Medicaid Services. (n.d.). </w:t>
      </w:r>
      <w:r>
        <w:rPr>
          <w:rFonts w:ascii="Helvetica" w:hAnsi="Helvetica" w:cs="Helvetica"/>
          <w:i/>
          <w:iCs/>
          <w:color w:val="000000"/>
          <w:kern w:val="0"/>
          <w:sz w:val="20"/>
          <w:szCs w:val="20"/>
        </w:rPr>
        <w:t>Medicare fraud &amp; abuse: Prevent, detect, report</w:t>
      </w:r>
      <w:r>
        <w:rPr>
          <w:rFonts w:ascii="Calibri" w:hAnsi="Calibri" w:cs="Calibri"/>
          <w:color w:val="000000"/>
          <w:kern w:val="0"/>
          <w:sz w:val="20"/>
          <w:szCs w:val="20"/>
        </w:rPr>
        <w:t>. U.S. Department of Health and Human Services. https://www.cms.gov/</w:t>
      </w:r>
    </w:p>
    <w:p w14:paraId="27D455BA" w14:textId="77777777" w:rsidR="00784A2A" w:rsidRDefault="00784A2A" w:rsidP="00784A2A">
      <w:pPr>
        <w:autoSpaceDE w:val="0"/>
        <w:autoSpaceDN w:val="0"/>
        <w:adjustRightInd w:val="0"/>
        <w:spacing w:after="120" w:line="264" w:lineRule="auto"/>
        <w:ind w:left="360" w:hanging="360"/>
        <w:rPr>
          <w:rFonts w:ascii="Calibri" w:hAnsi="Calibri" w:cs="Calibri"/>
          <w:color w:val="000000"/>
          <w:kern w:val="0"/>
          <w:sz w:val="20"/>
          <w:szCs w:val="20"/>
        </w:rPr>
      </w:pPr>
      <w:r>
        <w:rPr>
          <w:rFonts w:ascii="Calibri" w:hAnsi="Calibri" w:cs="Calibri"/>
          <w:color w:val="000000"/>
          <w:kern w:val="0"/>
          <w:sz w:val="20"/>
          <w:szCs w:val="20"/>
        </w:rPr>
        <w:t xml:space="preserve">Liu, F. T., Ting, K. M., &amp; Zhou, Z.-H. (2008). Isolation forest. </w:t>
      </w:r>
      <w:r>
        <w:rPr>
          <w:rFonts w:ascii="Helvetica" w:hAnsi="Helvetica" w:cs="Helvetica"/>
          <w:i/>
          <w:iCs/>
          <w:color w:val="000000"/>
          <w:kern w:val="0"/>
          <w:sz w:val="20"/>
          <w:szCs w:val="20"/>
        </w:rPr>
        <w:t>2008 Eighth IEEE International Conference on Data Mining</w:t>
      </w:r>
      <w:r>
        <w:rPr>
          <w:rFonts w:ascii="Calibri" w:hAnsi="Calibri" w:cs="Calibri"/>
          <w:color w:val="000000"/>
          <w:kern w:val="0"/>
          <w:sz w:val="20"/>
          <w:szCs w:val="20"/>
        </w:rPr>
        <w:t xml:space="preserve"> (pp. 413–422). IEEE. https://doi.org/10.1109/ICDM.2008.17</w:t>
      </w:r>
    </w:p>
    <w:p w14:paraId="17E991F2" w14:textId="77777777" w:rsidR="00784A2A" w:rsidRDefault="00784A2A" w:rsidP="00784A2A">
      <w:pPr>
        <w:autoSpaceDE w:val="0"/>
        <w:autoSpaceDN w:val="0"/>
        <w:adjustRightInd w:val="0"/>
        <w:spacing w:after="120" w:line="264" w:lineRule="auto"/>
        <w:ind w:left="360" w:hanging="360"/>
        <w:rPr>
          <w:rFonts w:ascii="Calibri" w:hAnsi="Calibri" w:cs="Calibri"/>
          <w:color w:val="000000"/>
          <w:kern w:val="0"/>
          <w:sz w:val="20"/>
          <w:szCs w:val="20"/>
        </w:rPr>
      </w:pPr>
      <w:r>
        <w:rPr>
          <w:rFonts w:ascii="Calibri" w:hAnsi="Calibri" w:cs="Calibri"/>
          <w:color w:val="000000"/>
          <w:kern w:val="0"/>
          <w:sz w:val="20"/>
          <w:szCs w:val="20"/>
        </w:rPr>
        <w:t xml:space="preserve">Garcez, A. </w:t>
      </w:r>
      <w:proofErr w:type="spellStart"/>
      <w:r>
        <w:rPr>
          <w:rFonts w:ascii="Calibri" w:hAnsi="Calibri" w:cs="Calibri"/>
          <w:color w:val="000000"/>
          <w:kern w:val="0"/>
          <w:sz w:val="20"/>
          <w:szCs w:val="20"/>
        </w:rPr>
        <w:t>d’A</w:t>
      </w:r>
      <w:proofErr w:type="spellEnd"/>
      <w:r>
        <w:rPr>
          <w:rFonts w:ascii="Calibri" w:hAnsi="Calibri" w:cs="Calibri"/>
          <w:color w:val="000000"/>
          <w:kern w:val="0"/>
          <w:sz w:val="20"/>
          <w:szCs w:val="20"/>
        </w:rPr>
        <w:t xml:space="preserve">., &amp; Lamb, L. C. (2023). </w:t>
      </w:r>
      <w:proofErr w:type="spellStart"/>
      <w:r>
        <w:rPr>
          <w:rFonts w:ascii="Calibri" w:hAnsi="Calibri" w:cs="Calibri"/>
          <w:color w:val="000000"/>
          <w:kern w:val="0"/>
          <w:sz w:val="20"/>
          <w:szCs w:val="20"/>
        </w:rPr>
        <w:t>Neurosymbolic</w:t>
      </w:r>
      <w:proofErr w:type="spellEnd"/>
      <w:r>
        <w:rPr>
          <w:rFonts w:ascii="Calibri" w:hAnsi="Calibri" w:cs="Calibri"/>
          <w:color w:val="000000"/>
          <w:kern w:val="0"/>
          <w:sz w:val="20"/>
          <w:szCs w:val="20"/>
        </w:rPr>
        <w:t xml:space="preserve"> AI: The third wave. </w:t>
      </w:r>
      <w:r>
        <w:rPr>
          <w:rFonts w:ascii="Helvetica" w:hAnsi="Helvetica" w:cs="Helvetica"/>
          <w:i/>
          <w:iCs/>
          <w:color w:val="000000"/>
          <w:kern w:val="0"/>
          <w:sz w:val="20"/>
          <w:szCs w:val="20"/>
        </w:rPr>
        <w:t>Artificial Intelligence Review, 56</w:t>
      </w:r>
      <w:r>
        <w:rPr>
          <w:rFonts w:ascii="Calibri" w:hAnsi="Calibri" w:cs="Calibri"/>
          <w:color w:val="000000"/>
          <w:kern w:val="0"/>
          <w:sz w:val="20"/>
          <w:szCs w:val="20"/>
        </w:rPr>
        <w:t>(11), 12387–12406. https://doi.org/10.1007/s10462-023-10448-w</w:t>
      </w:r>
    </w:p>
    <w:p w14:paraId="7690AE6D" w14:textId="77777777" w:rsidR="00784A2A" w:rsidRDefault="00784A2A" w:rsidP="00784A2A">
      <w:pPr>
        <w:autoSpaceDE w:val="0"/>
        <w:autoSpaceDN w:val="0"/>
        <w:adjustRightInd w:val="0"/>
        <w:spacing w:after="120" w:line="264" w:lineRule="auto"/>
        <w:ind w:left="360" w:hanging="360"/>
        <w:rPr>
          <w:rFonts w:ascii="Calibri" w:hAnsi="Calibri" w:cs="Calibri"/>
          <w:color w:val="000000"/>
          <w:kern w:val="0"/>
          <w:sz w:val="20"/>
          <w:szCs w:val="20"/>
        </w:rPr>
      </w:pPr>
      <w:r>
        <w:rPr>
          <w:rFonts w:ascii="Calibri" w:hAnsi="Calibri" w:cs="Calibri"/>
          <w:color w:val="000000"/>
          <w:kern w:val="0"/>
          <w:sz w:val="20"/>
          <w:szCs w:val="20"/>
        </w:rPr>
        <w:t xml:space="preserve">Rox, R. (n.d.). </w:t>
      </w:r>
      <w:r>
        <w:rPr>
          <w:rFonts w:ascii="Helvetica" w:hAnsi="Helvetica" w:cs="Helvetica"/>
          <w:i/>
          <w:iCs/>
          <w:color w:val="000000"/>
          <w:kern w:val="0"/>
          <w:sz w:val="20"/>
          <w:szCs w:val="20"/>
        </w:rPr>
        <w:t>Healthcare provider fraud detection analysis</w:t>
      </w:r>
      <w:r>
        <w:rPr>
          <w:rFonts w:ascii="Calibri" w:hAnsi="Calibri" w:cs="Calibri"/>
          <w:color w:val="000000"/>
          <w:kern w:val="0"/>
          <w:sz w:val="20"/>
          <w:szCs w:val="20"/>
        </w:rPr>
        <w:t xml:space="preserve"> [Data set]. Kaggle. https://www.kaggle.com/datasets/rohitrox/healthcare-provider-fraud-detection-analysis</w:t>
      </w:r>
    </w:p>
    <w:p w14:paraId="278090AC" w14:textId="77777777" w:rsidR="00784A2A" w:rsidRDefault="00784A2A" w:rsidP="00784A2A">
      <w:pPr>
        <w:autoSpaceDE w:val="0"/>
        <w:autoSpaceDN w:val="0"/>
        <w:adjustRightInd w:val="0"/>
        <w:spacing w:after="120" w:line="264" w:lineRule="auto"/>
        <w:ind w:left="360" w:hanging="360"/>
        <w:rPr>
          <w:rFonts w:ascii="Calibri" w:hAnsi="Calibri" w:cs="Calibri"/>
          <w:color w:val="000000"/>
          <w:kern w:val="0"/>
          <w:sz w:val="20"/>
          <w:szCs w:val="20"/>
        </w:rPr>
      </w:pPr>
      <w:r>
        <w:rPr>
          <w:rFonts w:ascii="Calibri" w:hAnsi="Calibri" w:cs="Calibri"/>
          <w:color w:val="000000"/>
          <w:kern w:val="0"/>
          <w:sz w:val="20"/>
          <w:szCs w:val="20"/>
        </w:rPr>
        <w:t xml:space="preserve">Bauder, R. A., &amp; </w:t>
      </w:r>
      <w:proofErr w:type="spellStart"/>
      <w:r>
        <w:rPr>
          <w:rFonts w:ascii="Calibri" w:hAnsi="Calibri" w:cs="Calibri"/>
          <w:color w:val="000000"/>
          <w:kern w:val="0"/>
          <w:sz w:val="20"/>
          <w:szCs w:val="20"/>
        </w:rPr>
        <w:t>Khoshgoftaar</w:t>
      </w:r>
      <w:proofErr w:type="spellEnd"/>
      <w:r>
        <w:rPr>
          <w:rFonts w:ascii="Calibri" w:hAnsi="Calibri" w:cs="Calibri"/>
          <w:color w:val="000000"/>
          <w:kern w:val="0"/>
          <w:sz w:val="20"/>
          <w:szCs w:val="20"/>
        </w:rPr>
        <w:t xml:space="preserve">, T. M. (2017). Medicare fraud detection using machine learning methods. </w:t>
      </w:r>
      <w:r>
        <w:rPr>
          <w:rFonts w:ascii="Helvetica" w:hAnsi="Helvetica" w:cs="Helvetica"/>
          <w:i/>
          <w:iCs/>
          <w:color w:val="000000"/>
          <w:kern w:val="0"/>
          <w:sz w:val="20"/>
          <w:szCs w:val="20"/>
        </w:rPr>
        <w:t>2017 16th IEEE International Conference on Machine Learning and Applications (ICMLA)</w:t>
      </w:r>
      <w:r>
        <w:rPr>
          <w:rFonts w:ascii="Calibri" w:hAnsi="Calibri" w:cs="Calibri"/>
          <w:color w:val="000000"/>
          <w:kern w:val="0"/>
          <w:sz w:val="20"/>
          <w:szCs w:val="20"/>
        </w:rPr>
        <w:t xml:space="preserve"> (pp. 858–865). IEEE. https://doi.org/10.1109/ICMLA.2017.00-48</w:t>
      </w:r>
    </w:p>
    <w:p w14:paraId="0A3AE0BE" w14:textId="77777777" w:rsidR="00784A2A" w:rsidRDefault="00784A2A" w:rsidP="00784A2A">
      <w:pPr>
        <w:autoSpaceDE w:val="0"/>
        <w:autoSpaceDN w:val="0"/>
        <w:adjustRightInd w:val="0"/>
        <w:spacing w:after="120" w:line="264" w:lineRule="auto"/>
        <w:ind w:left="360" w:hanging="360"/>
        <w:rPr>
          <w:rFonts w:ascii="Calibri" w:hAnsi="Calibri" w:cs="Calibri"/>
          <w:color w:val="000000"/>
          <w:kern w:val="0"/>
          <w:sz w:val="20"/>
          <w:szCs w:val="20"/>
        </w:rPr>
      </w:pPr>
      <w:r>
        <w:rPr>
          <w:rFonts w:ascii="Calibri" w:hAnsi="Calibri" w:cs="Calibri"/>
          <w:color w:val="000000"/>
          <w:kern w:val="0"/>
          <w:sz w:val="20"/>
          <w:szCs w:val="20"/>
        </w:rPr>
        <w:t xml:space="preserve">Anthropic. (2024). </w:t>
      </w:r>
      <w:r>
        <w:rPr>
          <w:rFonts w:ascii="Helvetica" w:hAnsi="Helvetica" w:cs="Helvetica"/>
          <w:i/>
          <w:iCs/>
          <w:color w:val="000000"/>
          <w:kern w:val="0"/>
          <w:sz w:val="20"/>
          <w:szCs w:val="20"/>
        </w:rPr>
        <w:t>Building effective agents</w:t>
      </w:r>
      <w:r>
        <w:rPr>
          <w:rFonts w:ascii="Calibri" w:hAnsi="Calibri" w:cs="Calibri"/>
          <w:color w:val="000000"/>
          <w:kern w:val="0"/>
          <w:sz w:val="20"/>
          <w:szCs w:val="20"/>
        </w:rPr>
        <w:t>. https://www.anthropic.com/research/building-effective-agents</w:t>
      </w:r>
    </w:p>
    <w:p w14:paraId="6AAD0627" w14:textId="0FCC8CBA" w:rsidR="00784A2A" w:rsidRDefault="00784A2A" w:rsidP="00784A2A">
      <w:r>
        <w:rPr>
          <w:rFonts w:ascii="Calibri" w:hAnsi="Calibri" w:cs="Calibri"/>
          <w:color w:val="000000"/>
          <w:kern w:val="0"/>
          <w:sz w:val="20"/>
          <w:szCs w:val="20"/>
        </w:rPr>
        <w:t xml:space="preserve">Ollama. (n.d.). </w:t>
      </w:r>
      <w:proofErr w:type="spellStart"/>
      <w:r>
        <w:rPr>
          <w:rFonts w:ascii="Helvetica" w:hAnsi="Helvetica" w:cs="Helvetica"/>
          <w:i/>
          <w:iCs/>
          <w:color w:val="000000"/>
          <w:kern w:val="0"/>
          <w:sz w:val="20"/>
          <w:szCs w:val="20"/>
        </w:rPr>
        <w:t>Ollama</w:t>
      </w:r>
      <w:proofErr w:type="spellEnd"/>
      <w:r>
        <w:rPr>
          <w:rFonts w:ascii="Helvetica" w:hAnsi="Helvetica" w:cs="Helvetica"/>
          <w:i/>
          <w:iCs/>
          <w:color w:val="000000"/>
          <w:kern w:val="0"/>
          <w:sz w:val="20"/>
          <w:szCs w:val="20"/>
        </w:rPr>
        <w:t>: Run large language models locally</w:t>
      </w:r>
      <w:r>
        <w:rPr>
          <w:rFonts w:ascii="Calibri" w:hAnsi="Calibri" w:cs="Calibri"/>
          <w:color w:val="000000"/>
          <w:kern w:val="0"/>
          <w:sz w:val="20"/>
          <w:szCs w:val="20"/>
        </w:rPr>
        <w:t>. https://ollama.com/</w:t>
      </w:r>
    </w:p>
    <w:sectPr w:rsidR="00784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36463109">
    <w:abstractNumId w:val="0"/>
  </w:num>
  <w:num w:numId="2" w16cid:durableId="904296497">
    <w:abstractNumId w:val="1"/>
  </w:num>
  <w:num w:numId="3" w16cid:durableId="1379478862">
    <w:abstractNumId w:val="2"/>
  </w:num>
  <w:num w:numId="4" w16cid:durableId="137214988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A2A"/>
    <w:rsid w:val="005F74AB"/>
    <w:rsid w:val="00784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93716E"/>
  <w15:chartTrackingRefBased/>
  <w15:docId w15:val="{F2D551AA-FF6F-6843-B8CE-801DF001C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A2A"/>
    <w:rPr>
      <w:rFonts w:eastAsiaTheme="majorEastAsia" w:cstheme="majorBidi"/>
      <w:color w:val="272727" w:themeColor="text1" w:themeTint="D8"/>
    </w:rPr>
  </w:style>
  <w:style w:type="paragraph" w:styleId="Title">
    <w:name w:val="Title"/>
    <w:basedOn w:val="Normal"/>
    <w:next w:val="Normal"/>
    <w:link w:val="TitleChar"/>
    <w:uiPriority w:val="10"/>
    <w:qFormat/>
    <w:rsid w:val="00784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A2A"/>
    <w:pPr>
      <w:spacing w:before="160"/>
      <w:jc w:val="center"/>
    </w:pPr>
    <w:rPr>
      <w:i/>
      <w:iCs/>
      <w:color w:val="404040" w:themeColor="text1" w:themeTint="BF"/>
    </w:rPr>
  </w:style>
  <w:style w:type="character" w:customStyle="1" w:styleId="QuoteChar">
    <w:name w:val="Quote Char"/>
    <w:basedOn w:val="DefaultParagraphFont"/>
    <w:link w:val="Quote"/>
    <w:uiPriority w:val="29"/>
    <w:rsid w:val="00784A2A"/>
    <w:rPr>
      <w:i/>
      <w:iCs/>
      <w:color w:val="404040" w:themeColor="text1" w:themeTint="BF"/>
    </w:rPr>
  </w:style>
  <w:style w:type="paragraph" w:styleId="ListParagraph">
    <w:name w:val="List Paragraph"/>
    <w:basedOn w:val="Normal"/>
    <w:uiPriority w:val="34"/>
    <w:qFormat/>
    <w:rsid w:val="00784A2A"/>
    <w:pPr>
      <w:ind w:left="720"/>
      <w:contextualSpacing/>
    </w:pPr>
  </w:style>
  <w:style w:type="character" w:styleId="IntenseEmphasis">
    <w:name w:val="Intense Emphasis"/>
    <w:basedOn w:val="DefaultParagraphFont"/>
    <w:uiPriority w:val="21"/>
    <w:qFormat/>
    <w:rsid w:val="00784A2A"/>
    <w:rPr>
      <w:i/>
      <w:iCs/>
      <w:color w:val="0F4761" w:themeColor="accent1" w:themeShade="BF"/>
    </w:rPr>
  </w:style>
  <w:style w:type="paragraph" w:styleId="IntenseQuote">
    <w:name w:val="Intense Quote"/>
    <w:basedOn w:val="Normal"/>
    <w:next w:val="Normal"/>
    <w:link w:val="IntenseQuoteChar"/>
    <w:uiPriority w:val="30"/>
    <w:qFormat/>
    <w:rsid w:val="00784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A2A"/>
    <w:rPr>
      <w:i/>
      <w:iCs/>
      <w:color w:val="0F4761" w:themeColor="accent1" w:themeShade="BF"/>
    </w:rPr>
  </w:style>
  <w:style w:type="character" w:styleId="IntenseReference">
    <w:name w:val="Intense Reference"/>
    <w:basedOn w:val="DefaultParagraphFont"/>
    <w:uiPriority w:val="32"/>
    <w:qFormat/>
    <w:rsid w:val="00784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1173</Words>
  <Characters>6692</Characters>
  <Application>Microsoft Office Word</Application>
  <DocSecurity>0</DocSecurity>
  <Lines>55</Lines>
  <Paragraphs>15</Paragraphs>
  <ScaleCrop>false</ScaleCrop>
  <Company/>
  <LinksUpToDate>false</LinksUpToDate>
  <CharactersWithSpaces>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Ovunc Ozgun Eker</dc:creator>
  <cp:keywords/>
  <dc:description/>
  <cp:lastModifiedBy>Ovunc Ozgun Eker</cp:lastModifiedBy>
  <cp:revision>1</cp:revision>
  <dcterms:created xsi:type="dcterms:W3CDTF">2026-07-02T11:05:00Z</dcterms:created>
  <dcterms:modified xsi:type="dcterms:W3CDTF">2026-07-02T11:06:00Z</dcterms:modified>
</cp:coreProperties>
</file>