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3A5C" w:sz="36" w:space="0"/>
        </w:pBdr>
        <w:spacing w:after="0" w:before="0"/>
      </w:pPr>
      <w:r>
        <w:rPr>
          <w:rFonts w:ascii="Arial" w:cs="Arial" w:eastAsia="Arial" w:hAnsi="Arial"/>
          <w:b w:val="false"/>
          <w:bCs w:val="false"/>
          <w:color w:val="000000"/>
          <w:sz w:val="20"/>
          <w:szCs w:val="20"/>
        </w:rPr>
        <w:t xml:space="preserve"/>
      </w:r>
    </w:p>
    <w:p>
      <w:pPr>
        <w:spacing w:after="0" w:before="200" w:line="276"/>
        <w:jc w:val="left"/>
      </w:pPr>
      <w:r>
        <w:rPr>
          <w:rFonts w:ascii="Arial" w:cs="Arial" w:eastAsia="Arial" w:hAnsi="Arial"/>
          <w:b w:val="false"/>
          <w:bCs w:val="false"/>
          <w:color w:val="000000"/>
          <w:sz w:val="20"/>
          <w:szCs w:val="20"/>
        </w:rPr>
        <w:t xml:space="preserve"/>
      </w:r>
    </w:p>
    <w:p>
      <w:pPr>
        <w:spacing w:after="60" w:before="0" w:line="276"/>
        <w:jc w:val="left"/>
      </w:pPr>
      <w:r>
        <w:rPr>
          <w:rFonts w:ascii="Arial" w:cs="Arial" w:eastAsia="Arial" w:hAnsi="Arial"/>
          <w:b/>
          <w:bCs/>
          <w:color w:val="1B3A5C"/>
          <w:sz w:val="28"/>
          <w:szCs w:val="28"/>
        </w:rPr>
        <w:t xml:space="preserve">ONE PATH</w:t>
      </w:r>
    </w:p>
    <w:p>
      <w:pPr>
        <w:spacing w:after="360" w:before="0" w:line="276"/>
        <w:jc w:val="left"/>
      </w:pPr>
      <w:r>
        <w:rPr>
          <w:rFonts w:ascii="Arial" w:cs="Arial" w:eastAsia="Arial" w:hAnsi="Arial"/>
          <w:b w:val="false"/>
          <w:bCs w:val="false"/>
          <w:color w:val="555555"/>
          <w:sz w:val="22"/>
          <w:szCs w:val="22"/>
        </w:rPr>
        <w:t xml:space="preserve">Construction ERP Platform</w:t>
      </w:r>
    </w:p>
    <w:p>
      <w:pPr>
        <w:pBdr>
          <w:bottom w:val="single" w:color="E8A020" w:sz="8" w:space="4"/>
        </w:pBdr>
        <w:spacing w:after="120" w:before="0"/>
      </w:pPr>
    </w:p>
    <w:p>
      <w:pPr>
        <w:spacing w:after="0" w:before="200" w:line="276"/>
        <w:jc w:val="left"/>
      </w:pPr>
      <w:r>
        <w:rPr>
          <w:rFonts w:ascii="Arial" w:cs="Arial" w:eastAsia="Arial" w:hAnsi="Arial"/>
          <w:b w:val="false"/>
          <w:bCs w:val="false"/>
          <w:color w:val="000000"/>
          <w:sz w:val="20"/>
          <w:szCs w:val="20"/>
        </w:rPr>
        <w:t xml:space="preserve"/>
      </w:r>
    </w:p>
    <w:p>
      <w:pPr>
        <w:spacing w:after="80" w:before="0" w:line="276"/>
        <w:jc w:val="left"/>
      </w:pPr>
      <w:r>
        <w:rPr>
          <w:rFonts w:ascii="Arial" w:cs="Arial" w:eastAsia="Arial" w:hAnsi="Arial"/>
          <w:b/>
          <w:bCs/>
          <w:color w:val="1B3A5C"/>
          <w:sz w:val="44"/>
          <w:szCs w:val="44"/>
        </w:rPr>
        <w:t xml:space="preserve">Phase 1 Scope of Work</w:t>
      </w:r>
    </w:p>
    <w:p>
      <w:pPr>
        <w:spacing w:after="400" w:before="0" w:line="276"/>
        <w:jc w:val="left"/>
      </w:pPr>
      <w:r>
        <w:rPr>
          <w:rFonts w:ascii="Arial" w:cs="Arial" w:eastAsia="Arial" w:hAnsi="Arial"/>
          <w:b w:val="false"/>
          <w:bCs w:val="false"/>
          <w:color w:val="2E5F8A"/>
          <w:sz w:val="26"/>
          <w:szCs w:val="26"/>
        </w:rPr>
        <w:t xml:space="preserve">Client Understanding &amp; Sign-Off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nil" w:color="FFFFFF" w:sz="0"/>
              <w:left w:val="nil" w:color="FFFFFF" w:sz="0"/>
              <w:bottom w:val="nil" w:color="FFFFFF" w:sz="0"/>
              <w:right w:val="nil" w:color="FFFFFF" w:sz="0"/>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20"/>
                <w:szCs w:val="20"/>
              </w:rPr>
              <w:t xml:space="preserve">Project</w:t>
            </w:r>
          </w:p>
        </w:tc>
        <w:tc>
          <w:tcPr>
            <w:tcW w:type="dxa" w:w="6840"/>
            <w:tcBorders>
              <w:top w:val="nil" w:color="FFFFFF" w:sz="0"/>
              <w:left w:val="nil" w:color="FFFFFF" w:sz="0"/>
              <w:bottom w:val="nil" w:color="FFFFFF" w:sz="0"/>
              <w:right w:val="nil" w:color="FFFFFF" w:sz="0"/>
            </w:tcBorders>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000000"/>
                <w:sz w:val="20"/>
                <w:szCs w:val="20"/>
              </w:rPr>
              <w:t xml:space="preserve">Fit-outs Construction ERP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nil" w:color="FFFFFF" w:sz="0"/>
              <w:left w:val="nil" w:color="FFFFFF" w:sz="0"/>
              <w:bottom w:val="nil" w:color="FFFFFF" w:sz="0"/>
              <w:right w:val="nil" w:color="FFFFFF" w:sz="0"/>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20"/>
                <w:szCs w:val="20"/>
              </w:rPr>
              <w:t xml:space="preserve">Client</w:t>
            </w:r>
          </w:p>
        </w:tc>
        <w:tc>
          <w:tcPr>
            <w:tcW w:type="dxa" w:w="6840"/>
            <w:tcBorders>
              <w:top w:val="nil" w:color="FFFFFF" w:sz="0"/>
              <w:left w:val="nil" w:color="FFFFFF" w:sz="0"/>
              <w:bottom w:val="nil" w:color="FFFFFF" w:sz="0"/>
              <w:right w:val="nil" w:color="FFFFFF" w:sz="0"/>
            </w:tcBorders>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000000"/>
                <w:sz w:val="20"/>
                <w:szCs w:val="20"/>
              </w:rPr>
              <w:t xml:space="preserve">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nil" w:color="FFFFFF" w:sz="0"/>
              <w:left w:val="nil" w:color="FFFFFF" w:sz="0"/>
              <w:bottom w:val="nil" w:color="FFFFFF" w:sz="0"/>
              <w:right w:val="nil" w:color="FFFFFF" w:sz="0"/>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20"/>
                <w:szCs w:val="20"/>
              </w:rPr>
              <w:t xml:space="preserve">Prepared by</w:t>
            </w:r>
          </w:p>
        </w:tc>
        <w:tc>
          <w:tcPr>
            <w:tcW w:type="dxa" w:w="6840"/>
            <w:tcBorders>
              <w:top w:val="nil" w:color="FFFFFF" w:sz="0"/>
              <w:left w:val="nil" w:color="FFFFFF" w:sz="0"/>
              <w:bottom w:val="nil" w:color="FFFFFF" w:sz="0"/>
              <w:right w:val="nil" w:color="FFFFFF" w:sz="0"/>
            </w:tcBorders>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000000"/>
                <w:sz w:val="20"/>
                <w:szCs w:val="20"/>
              </w:rPr>
              <w:t xml:space="preserve">One Path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nil" w:color="FFFFFF" w:sz="0"/>
              <w:left w:val="nil" w:color="FFFFFF" w:sz="0"/>
              <w:bottom w:val="nil" w:color="FFFFFF" w:sz="0"/>
              <w:right w:val="nil" w:color="FFFFFF" w:sz="0"/>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20"/>
                <w:szCs w:val="20"/>
              </w:rPr>
              <w:t xml:space="preserve">Document date</w:t>
            </w:r>
          </w:p>
        </w:tc>
        <w:tc>
          <w:tcPr>
            <w:tcW w:type="dxa" w:w="6840"/>
            <w:tcBorders>
              <w:top w:val="nil" w:color="FFFFFF" w:sz="0"/>
              <w:left w:val="nil" w:color="FFFFFF" w:sz="0"/>
              <w:bottom w:val="nil" w:color="FFFFFF" w:sz="0"/>
              <w:right w:val="nil" w:color="FFFFFF" w:sz="0"/>
            </w:tcBorders>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000000"/>
                <w:sz w:val="20"/>
                <w:szCs w:val="20"/>
              </w:rPr>
              <w:t xml:space="preserve">20 May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nil" w:color="FFFFFF" w:sz="0"/>
              <w:left w:val="nil" w:color="FFFFFF" w:sz="0"/>
              <w:bottom w:val="nil" w:color="FFFFFF" w:sz="0"/>
              <w:right w:val="nil" w:color="FFFFFF" w:sz="0"/>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20"/>
                <w:szCs w:val="20"/>
              </w:rPr>
              <w:t xml:space="preserve">Document version</w:t>
            </w:r>
          </w:p>
        </w:tc>
        <w:tc>
          <w:tcPr>
            <w:tcW w:type="dxa" w:w="6840"/>
            <w:tcBorders>
              <w:top w:val="nil" w:color="FFFFFF" w:sz="0"/>
              <w:left w:val="nil" w:color="FFFFFF" w:sz="0"/>
              <w:bottom w:val="nil" w:color="FFFFFF" w:sz="0"/>
              <w:right w:val="nil" w:color="FFFFFF" w:sz="0"/>
            </w:tcBorders>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000000"/>
                <w:sz w:val="20"/>
                <w:szCs w:val="20"/>
              </w:rPr>
              <w:t xml:space="preserve">v1.0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nil" w:color="FFFFFF" w:sz="0"/>
              <w:left w:val="nil" w:color="FFFFFF" w:sz="0"/>
              <w:bottom w:val="nil" w:color="FFFFFF" w:sz="0"/>
              <w:right w:val="nil" w:color="FFFFFF" w:sz="0"/>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20"/>
                <w:szCs w:val="20"/>
              </w:rPr>
              <w:t xml:space="preserve">Status</w:t>
            </w:r>
          </w:p>
        </w:tc>
        <w:tc>
          <w:tcPr>
            <w:tcW w:type="dxa" w:w="6840"/>
            <w:tcBorders>
              <w:top w:val="nil" w:color="FFFFFF" w:sz="0"/>
              <w:left w:val="nil" w:color="FFFFFF" w:sz="0"/>
              <w:bottom w:val="nil" w:color="FFFFFF" w:sz="0"/>
              <w:right w:val="nil" w:color="FFFFFF" w:sz="0"/>
            </w:tcBorders>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000000"/>
                <w:sz w:val="20"/>
                <w:szCs w:val="20"/>
              </w:rPr>
              <w:t xml:space="preserve">Awaiting Client Signature</w:t>
            </w:r>
          </w:p>
        </w:tc>
      </w:tr>
    </w:tbl>
    <w:p>
      <w:pPr>
        <w:spacing w:after="0" w:before="600" w:line="276"/>
        <w:jc w:val="left"/>
      </w:pPr>
      <w:r>
        <w:rPr>
          <w:rFonts w:ascii="Arial" w:cs="Arial" w:eastAsia="Arial" w:hAnsi="Arial"/>
          <w:b w:val="false"/>
          <w:bCs w:val="false"/>
          <w:color w:val="000000"/>
          <w:sz w:val="20"/>
          <w:szCs w:val="20"/>
        </w:rPr>
        <w:t xml:space="preserve"/>
      </w:r>
    </w:p>
    <w:p>
      <w:pPr>
        <w:pBdr>
          <w:bottom w:val="single" w:color="E8A020" w:sz="36" w:space="0"/>
        </w:pBdr>
        <w:spacing w:after="0" w:before="0"/>
      </w:pPr>
      <w:r>
        <w:rPr>
          <w:rFonts w:ascii="Arial" w:cs="Arial" w:eastAsia="Arial" w:hAnsi="Arial"/>
          <w:b w:val="false"/>
          <w:bCs w:val="false"/>
          <w:color w:val="000000"/>
          <w:sz w:val="20"/>
          <w:szCs w:val="20"/>
        </w:rPr>
        <w:t xml:space="preserve"/>
      </w:r>
    </w:p>
    <w:p>
      <w:r>
        <w:br w:type="page"/>
      </w:r>
    </w:p>
    <w:p>
      <w:pPr>
        <w:pStyle w:val="Heading1"/>
        <w:spacing w:after="120" w:before="320"/>
      </w:pPr>
      <w:r>
        <w:rPr>
          <w:rFonts w:ascii="Arial" w:cs="Arial" w:eastAsia="Arial" w:hAnsi="Arial"/>
          <w:b/>
          <w:bCs/>
          <w:color w:val="1B3A5C"/>
          <w:sz w:val="28"/>
          <w:szCs w:val="28"/>
        </w:rPr>
        <w:t xml:space="preserve">1.  Purpose of This Document</w:t>
      </w:r>
    </w:p>
    <w:p>
      <w:pPr>
        <w:spacing w:after="80" w:before="80" w:line="276"/>
        <w:jc w:val="left"/>
      </w:pPr>
      <w:r>
        <w:rPr>
          <w:rFonts w:ascii="Arial" w:cs="Arial" w:eastAsia="Arial" w:hAnsi="Arial"/>
          <w:b w:val="false"/>
          <w:bCs w:val="false"/>
          <w:color w:val="000000"/>
          <w:sz w:val="20"/>
          <w:szCs w:val="20"/>
        </w:rPr>
        <w:t xml:space="preserve">This document sets out One Path's understanding of the Phase 1 scope for the Fit-outs Construction ERP platform. It describes every module, feature set, and deliverable included in this phase, together with the assumptions under which the work will be delivered. By signing below, the client confirms that this description accurately reflects their requirements and authorises One Path to proceed on this basis.</w:t>
      </w:r>
    </w:p>
    <w:p>
      <w:pPr>
        <w:pBdr>
          <w:bottom w:val="single" w:color="E8A020" w:sz="6" w:space="4"/>
        </w:pBdr>
        <w:spacing w:after="200" w:before="200"/>
      </w:pPr>
      <w:r>
        <w:rPr>
          <w:rFonts w:ascii="Arial" w:cs="Arial" w:eastAsia="Arial" w:hAnsi="Arial"/>
          <w:b w:val="false"/>
          <w:bCs w:val="false"/>
          <w:color w:val="000000"/>
          <w:sz w:val="20"/>
          <w:szCs w:val="20"/>
        </w:rPr>
        <w:t xml:space="preserve"/>
      </w:r>
    </w:p>
    <w:p>
      <w:pPr>
        <w:pStyle w:val="Heading1"/>
        <w:spacing w:after="120" w:before="320"/>
      </w:pPr>
      <w:r>
        <w:rPr>
          <w:rFonts w:ascii="Arial" w:cs="Arial" w:eastAsia="Arial" w:hAnsi="Arial"/>
          <w:b/>
          <w:bCs/>
          <w:color w:val="1B3A5C"/>
          <w:sz w:val="28"/>
          <w:szCs w:val="28"/>
        </w:rPr>
        <w:t xml:space="preserve">2.  Project Overview</w:t>
      </w:r>
    </w:p>
    <w:p>
      <w:pPr>
        <w:spacing w:after="80" w:before="80" w:line="276"/>
        <w:jc w:val="left"/>
      </w:pPr>
      <w:r>
        <w:rPr>
          <w:rFonts w:ascii="Arial" w:cs="Arial" w:eastAsia="Arial" w:hAnsi="Arial"/>
          <w:b w:val="false"/>
          <w:bCs w:val="false"/>
          <w:color w:val="000000"/>
          <w:sz w:val="20"/>
          <w:szCs w:val="20"/>
        </w:rPr>
        <w:t xml:space="preserve">The Fit-outs ERP is a multi-tenant, subscription-based construction management platform built to serve fit-out contracting businesses. It unifies sales, design, estimating, delivery, subcontractor management, and client communication into a single workspace — so every stakeholder, from the business owner to the on-site engineer to the end client, operates from the same source of truth.</w:t>
      </w:r>
    </w:p>
    <w:p>
      <w:pPr>
        <w:spacing w:after="80" w:before="80" w:line="276"/>
        <w:jc w:val="left"/>
      </w:pPr>
      <w:r>
        <w:rPr>
          <w:rFonts w:ascii="Arial" w:cs="Arial" w:eastAsia="Arial" w:hAnsi="Arial"/>
          <w:b/>
          <w:bCs/>
          <w:color w:val="000000"/>
          <w:sz w:val="20"/>
          <w:szCs w:val="20"/>
        </w:rPr>
        <w:t xml:space="preserve">The platform is structured into three development phases:</w:t>
      </w:r>
    </w:p>
    <w:p>
      <w:pPr>
        <w:pStyle w:val="ListParagraph"/>
        <w:numPr>
          <w:ilvl w:val="0"/>
          <w:numId w:val="2"/>
        </w:numPr>
        <w:spacing w:after="60" w:before="60"/>
      </w:pPr>
      <w:r>
        <w:rPr>
          <w:rFonts w:ascii="Arial" w:cs="Arial" w:eastAsia="Arial" w:hAnsi="Arial"/>
          <w:b w:val="false"/>
          <w:bCs w:val="false"/>
          <w:color w:val="000000"/>
          <w:sz w:val="19"/>
          <w:szCs w:val="19"/>
        </w:rPr>
        <w:t xml:space="preserve">Phase 1 — Core CRM &amp; Project Foundation (this document)</w:t>
      </w:r>
    </w:p>
    <w:p>
      <w:pPr>
        <w:pStyle w:val="ListParagraph"/>
        <w:numPr>
          <w:ilvl w:val="0"/>
          <w:numId w:val="2"/>
        </w:numPr>
        <w:spacing w:after="60" w:before="60"/>
      </w:pPr>
      <w:r>
        <w:rPr>
          <w:rFonts w:ascii="Arial" w:cs="Arial" w:eastAsia="Arial" w:hAnsi="Arial"/>
          <w:b w:val="false"/>
          <w:bCs w:val="false"/>
          <w:color w:val="000000"/>
          <w:sz w:val="19"/>
          <w:szCs w:val="19"/>
        </w:rPr>
        <w:t xml:space="preserve">Phase 2 — Project Execution &amp; Operational Control</w:t>
      </w:r>
    </w:p>
    <w:p>
      <w:pPr>
        <w:pStyle w:val="ListParagraph"/>
        <w:numPr>
          <w:ilvl w:val="0"/>
          <w:numId w:val="2"/>
        </w:numPr>
        <w:spacing w:after="60" w:before="60"/>
      </w:pPr>
      <w:r>
        <w:rPr>
          <w:rFonts w:ascii="Arial" w:cs="Arial" w:eastAsia="Arial" w:hAnsi="Arial"/>
          <w:b w:val="false"/>
          <w:bCs w:val="false"/>
          <w:color w:val="000000"/>
          <w:sz w:val="19"/>
          <w:szCs w:val="19"/>
        </w:rPr>
        <w:t xml:space="preserve">Phase 3 — Financial &amp; Variation Control</w:t>
      </w:r>
    </w:p>
    <w:p>
      <w:pPr>
        <w:spacing w:after="80" w:before="80" w:line="276"/>
        <w:jc w:val="left"/>
      </w:pPr>
      <w:r>
        <w:rPr>
          <w:rFonts w:ascii="Arial" w:cs="Arial" w:eastAsia="Arial" w:hAnsi="Arial"/>
          <w:b w:val="false"/>
          <w:bCs w:val="false"/>
          <w:color w:val="000000"/>
          <w:sz w:val="20"/>
          <w:szCs w:val="20"/>
        </w:rPr>
        <w:t xml:space="preserve">This sign-off covers Phase 1 only. Phases 2 and 3 will be governed by separate scope documents.</w:t>
      </w:r>
    </w:p>
    <w:p>
      <w:pPr>
        <w:pBdr>
          <w:bottom w:val="single" w:color="E8A020" w:sz="6" w:space="4"/>
        </w:pBdr>
        <w:spacing w:after="200" w:before="200"/>
      </w:pPr>
      <w:r>
        <w:rPr>
          <w:rFonts w:ascii="Arial" w:cs="Arial" w:eastAsia="Arial" w:hAnsi="Arial"/>
          <w:b w:val="false"/>
          <w:bCs w:val="false"/>
          <w:color w:val="000000"/>
          <w:sz w:val="20"/>
          <w:szCs w:val="20"/>
        </w:rPr>
        <w:t xml:space="preserve"/>
      </w:r>
    </w:p>
    <w:p>
      <w:pPr>
        <w:pStyle w:val="Heading1"/>
        <w:spacing w:after="120" w:before="320"/>
      </w:pPr>
      <w:r>
        <w:rPr>
          <w:rFonts w:ascii="Arial" w:cs="Arial" w:eastAsia="Arial" w:hAnsi="Arial"/>
          <w:b/>
          <w:bCs/>
          <w:color w:val="1B3A5C"/>
          <w:sz w:val="28"/>
          <w:szCs w:val="28"/>
        </w:rPr>
        <w:t xml:space="preserve">3.  Phase 1 — Module Scope</w:t>
      </w:r>
    </w:p>
    <w:p>
      <w:pPr>
        <w:spacing w:after="120" w:before="80" w:line="276"/>
        <w:jc w:val="left"/>
      </w:pPr>
      <w:r>
        <w:rPr>
          <w:rFonts w:ascii="Arial" w:cs="Arial" w:eastAsia="Arial" w:hAnsi="Arial"/>
          <w:b w:val="false"/>
          <w:bCs w:val="false"/>
          <w:color w:val="000000"/>
          <w:sz w:val="20"/>
          <w:szCs w:val="20"/>
        </w:rPr>
        <w:t xml:space="preserve">Phase 1 delivers the foundational platform: multi-tenancy infrastructure, all user roles and permissions, the complete CRM-to-project journey, and the basic client portal. The table below lists all ten modules included in this phase with their task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00"/>
        <w:gridCol w:w="4000"/>
        <w:gridCol w:w="720"/>
        <w:gridCol w:w="720"/>
      </w:tblGrid>
      <w:tr>
        <w:trPr>
          <w:tblHeader/>
        </w:trPr>
        <w:tc>
          <w:tcPr>
            <w:tcW w:type="dxa" w:w="720"/>
            <w:tcBorders>
              <w:top w:val="single" w:color="1B3A5C" w:sz="8"/>
              <w:left w:val="single" w:color="1B3A5C" w:sz="8"/>
              <w:bottom w:val="single" w:color="1B3A5C" w:sz="8"/>
              <w:right w:val="single" w:color="1B3A5C" w:sz="8"/>
            </w:tcBorders>
            <w:shd w:fill="1B3A5C" w:val="clear"/>
            <w:tcMar>
              <w:top w:type="dxa" w:w="100"/>
              <w:left w:type="dxa" w:w="140"/>
              <w:bottom w:type="dxa" w:w="100"/>
              <w:right w:type="dxa" w:w="140"/>
            </w:tcMar>
            <w:vAlign w:val="top"/>
          </w:tcPr>
          <w:p>
            <w:pPr>
              <w:spacing w:after="60" w:before="60" w:line="276"/>
              <w:jc w:val="left"/>
            </w:pPr>
            <w:r>
              <w:rPr>
                <w:rFonts w:ascii="Arial" w:cs="Arial" w:eastAsia="Arial" w:hAnsi="Arial"/>
                <w:b/>
                <w:bCs/>
                <w:color w:val="FFFFFF"/>
                <w:sz w:val="18"/>
                <w:szCs w:val="18"/>
              </w:rPr>
              <w:t xml:space="preserve">#</w:t>
            </w:r>
          </w:p>
        </w:tc>
        <w:tc>
          <w:tcPr>
            <w:tcW w:type="dxa" w:w="3200"/>
            <w:tcBorders>
              <w:top w:val="single" w:color="1B3A5C" w:sz="8"/>
              <w:left w:val="single" w:color="1B3A5C" w:sz="8"/>
              <w:bottom w:val="single" w:color="1B3A5C" w:sz="8"/>
              <w:right w:val="single" w:color="1B3A5C" w:sz="8"/>
            </w:tcBorders>
            <w:shd w:fill="1B3A5C" w:val="clear"/>
            <w:tcMar>
              <w:top w:type="dxa" w:w="100"/>
              <w:left w:type="dxa" w:w="140"/>
              <w:bottom w:type="dxa" w:w="100"/>
              <w:right w:type="dxa" w:w="140"/>
            </w:tcMar>
            <w:vAlign w:val="top"/>
          </w:tcPr>
          <w:p>
            <w:pPr>
              <w:spacing w:after="60" w:before="60" w:line="276"/>
              <w:jc w:val="left"/>
            </w:pPr>
            <w:r>
              <w:rPr>
                <w:rFonts w:ascii="Arial" w:cs="Arial" w:eastAsia="Arial" w:hAnsi="Arial"/>
                <w:b/>
                <w:bCs/>
                <w:color w:val="FFFFFF"/>
                <w:sz w:val="18"/>
                <w:szCs w:val="18"/>
              </w:rPr>
              <w:t xml:space="preserve">Module</w:t>
            </w:r>
          </w:p>
        </w:tc>
        <w:tc>
          <w:tcPr>
            <w:tcW w:type="dxa" w:w="4000"/>
            <w:tcBorders>
              <w:top w:val="single" w:color="1B3A5C" w:sz="8"/>
              <w:left w:val="single" w:color="1B3A5C" w:sz="8"/>
              <w:bottom w:val="single" w:color="1B3A5C" w:sz="8"/>
              <w:right w:val="single" w:color="1B3A5C" w:sz="8"/>
            </w:tcBorders>
            <w:shd w:fill="1B3A5C" w:val="clear"/>
            <w:tcMar>
              <w:top w:type="dxa" w:w="100"/>
              <w:left w:type="dxa" w:w="140"/>
              <w:bottom w:type="dxa" w:w="100"/>
              <w:right w:type="dxa" w:w="140"/>
            </w:tcMar>
            <w:vAlign w:val="top"/>
          </w:tcPr>
          <w:p>
            <w:pPr>
              <w:spacing w:after="60" w:before="60" w:line="276"/>
              <w:jc w:val="left"/>
            </w:pPr>
            <w:r>
              <w:rPr>
                <w:rFonts w:ascii="Arial" w:cs="Arial" w:eastAsia="Arial" w:hAnsi="Arial"/>
                <w:b/>
                <w:bCs/>
                <w:color w:val="FFFFFF"/>
                <w:sz w:val="18"/>
                <w:szCs w:val="18"/>
              </w:rPr>
              <w:t xml:space="preserve">Scope Summary</w:t>
            </w:r>
          </w:p>
        </w:tc>
        <w:tc>
          <w:tcPr>
            <w:tcW w:type="dxa" w:w="720"/>
            <w:tcBorders>
              <w:top w:val="single" w:color="1B3A5C" w:sz="8"/>
              <w:left w:val="single" w:color="1B3A5C" w:sz="8"/>
              <w:bottom w:val="single" w:color="1B3A5C" w:sz="8"/>
              <w:right w:val="single" w:color="1B3A5C" w:sz="8"/>
            </w:tcBorders>
            <w:shd w:fill="1B3A5C" w:val="clear"/>
            <w:tcMar>
              <w:top w:type="dxa" w:w="100"/>
              <w:left w:type="dxa" w:w="140"/>
              <w:bottom w:type="dxa" w:w="100"/>
              <w:right w:type="dxa" w:w="140"/>
            </w:tcMar>
            <w:vAlign w:val="top"/>
          </w:tcPr>
          <w:p>
            <w:pPr>
              <w:spacing w:after="60" w:before="60" w:line="276"/>
              <w:jc w:val="left"/>
            </w:pPr>
            <w:r>
              <w:rPr>
                <w:rFonts w:ascii="Arial" w:cs="Arial" w:eastAsia="Arial" w:hAnsi="Arial"/>
                <w:b/>
                <w:bCs/>
                <w:color w:val="FFFFFF"/>
                <w:sz w:val="18"/>
                <w:szCs w:val="18"/>
              </w:rPr>
              <w:t xml:space="preserve">API</w:t>
            </w:r>
          </w:p>
        </w:tc>
        <w:tc>
          <w:tcPr>
            <w:tcW w:type="dxa" w:w="720"/>
            <w:tcBorders>
              <w:top w:val="single" w:color="1B3A5C" w:sz="8"/>
              <w:left w:val="single" w:color="1B3A5C" w:sz="8"/>
              <w:bottom w:val="single" w:color="1B3A5C" w:sz="8"/>
              <w:right w:val="single" w:color="1B3A5C" w:sz="8"/>
            </w:tcBorders>
            <w:shd w:fill="1B3A5C" w:val="clear"/>
            <w:tcMar>
              <w:top w:type="dxa" w:w="100"/>
              <w:left w:type="dxa" w:w="140"/>
              <w:bottom w:type="dxa" w:w="100"/>
              <w:right w:type="dxa" w:w="140"/>
            </w:tcMar>
            <w:vAlign w:val="top"/>
          </w:tcPr>
          <w:p>
            <w:pPr>
              <w:spacing w:after="60" w:before="60" w:line="276"/>
              <w:jc w:val="left"/>
            </w:pPr>
            <w:r>
              <w:rPr>
                <w:rFonts w:ascii="Arial" w:cs="Arial" w:eastAsia="Arial" w:hAnsi="Arial"/>
                <w:b/>
                <w:bCs/>
                <w:color w:val="FFFFFF"/>
                <w:sz w:val="18"/>
                <w:szCs w:val="18"/>
              </w:rPr>
              <w:t xml:space="preserve">UI</w:t>
            </w:r>
          </w:p>
        </w:tc>
      </w:tr>
      <w:tr>
        <w:tc>
          <w:tcPr>
            <w:tcW w:type="dxa" w:w="72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0</w:t>
            </w:r>
          </w:p>
        </w:tc>
        <w:tc>
          <w:tcPr>
            <w:tcW w:type="dxa" w:w="320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Module 0 — Super Admin, Multi-Tenancy &amp; Subscription</w:t>
            </w:r>
          </w:p>
        </w:tc>
        <w:tc>
          <w:tcPr>
            <w:tcW w:type="dxa" w:w="400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Tenant onboarding, subscription plan management, super admin access controls, and tenant isolation across all data.</w:t>
            </w:r>
          </w:p>
        </w:tc>
        <w:tc>
          <w:tcPr>
            <w:tcW w:type="dxa" w:w="72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5</w:t>
            </w:r>
          </w:p>
        </w:tc>
        <w:tc>
          <w:tcPr>
            <w:tcW w:type="dxa" w:w="72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3</w:t>
            </w:r>
          </w:p>
        </w:tc>
      </w:tr>
      <w:tr>
        <w:tc>
          <w:tcPr>
            <w:tcW w:type="dxa" w:w="7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1</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Module 1 — Authentication, Roles &amp; Granular Permissions</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User login by role, per-user configurable module permissions, invitation workflow, and session management.</w:t>
            </w:r>
          </w:p>
        </w:tc>
        <w:tc>
          <w:tcPr>
            <w:tcW w:type="dxa" w:w="7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7</w:t>
            </w:r>
          </w:p>
        </w:tc>
        <w:tc>
          <w:tcPr>
            <w:tcW w:type="dxa" w:w="7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3</w:t>
            </w:r>
          </w:p>
        </w:tc>
      </w:tr>
      <w:tr>
        <w:tc>
          <w:tcPr>
            <w:tcW w:type="dxa" w:w="72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2</w:t>
            </w:r>
          </w:p>
        </w:tc>
        <w:tc>
          <w:tcPr>
            <w:tcW w:type="dxa" w:w="320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Module 2 — CRM &amp; Lead Management</w:t>
            </w:r>
          </w:p>
        </w:tc>
        <w:tc>
          <w:tcPr>
            <w:tcW w:type="dxa" w:w="400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Lead intake, pipeline management, status tracking, lead-to-client conversion, follow-up scheduling, and CRM reporting.</w:t>
            </w:r>
          </w:p>
        </w:tc>
        <w:tc>
          <w:tcPr>
            <w:tcW w:type="dxa" w:w="72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8</w:t>
            </w:r>
          </w:p>
        </w:tc>
        <w:tc>
          <w:tcPr>
            <w:tcW w:type="dxa" w:w="72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4</w:t>
            </w:r>
          </w:p>
        </w:tc>
      </w:tr>
      <w:tr>
        <w:tc>
          <w:tcPr>
            <w:tcW w:type="dxa" w:w="7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3</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Module 3 — Site Visit Module</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Qualifying checklists, site visit scheduling with pinpoint location, visit reports, photo capture, and outcome recording.</w:t>
            </w:r>
          </w:p>
        </w:tc>
        <w:tc>
          <w:tcPr>
            <w:tcW w:type="dxa" w:w="7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6</w:t>
            </w:r>
          </w:p>
        </w:tc>
        <w:tc>
          <w:tcPr>
            <w:tcW w:type="dxa" w:w="7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3</w:t>
            </w:r>
          </w:p>
        </w:tc>
      </w:tr>
      <w:tr>
        <w:tc>
          <w:tcPr>
            <w:tcW w:type="dxa" w:w="72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4</w:t>
            </w:r>
          </w:p>
        </w:tc>
        <w:tc>
          <w:tcPr>
            <w:tcW w:type="dxa" w:w="320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Module 4 — Design Module</w:t>
            </w:r>
          </w:p>
        </w:tc>
        <w:tc>
          <w:tcPr>
            <w:tcW w:type="dxa" w:w="400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Design requests and assignments, deliverable uploads by drawing type, 3-revision limit with charge warnings, client design approval, and municipal approval tracking.</w:t>
            </w:r>
          </w:p>
        </w:tc>
        <w:tc>
          <w:tcPr>
            <w:tcW w:type="dxa" w:w="72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9</w:t>
            </w:r>
          </w:p>
        </w:tc>
        <w:tc>
          <w:tcPr>
            <w:tcW w:type="dxa" w:w="72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4</w:t>
            </w:r>
          </w:p>
        </w:tc>
      </w:tr>
      <w:tr>
        <w:tc>
          <w:tcPr>
            <w:tcW w:type="dxa" w:w="7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5</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Module 5 — QAS &amp; BOQ Module</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BOQ creation and approval, line items with vendor quotes / labour / taxes / margins, subcontractor BOQ distribution and quote comparison, QAS calendar.</w:t>
            </w:r>
          </w:p>
        </w:tc>
        <w:tc>
          <w:tcPr>
            <w:tcW w:type="dxa" w:w="7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9</w:t>
            </w:r>
          </w:p>
        </w:tc>
        <w:tc>
          <w:tcPr>
            <w:tcW w:type="dxa" w:w="7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4</w:t>
            </w:r>
          </w:p>
        </w:tc>
      </w:tr>
      <w:tr>
        <w:tc>
          <w:tcPr>
            <w:tcW w:type="dxa" w:w="72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6</w:t>
            </w:r>
          </w:p>
        </w:tc>
        <w:tc>
          <w:tcPr>
            <w:tcW w:type="dxa" w:w="320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Module 6 — Proposal &amp; Estimation Module</w:t>
            </w:r>
          </w:p>
        </w:tc>
        <w:tc>
          <w:tcPr>
            <w:tcW w:type="dxa" w:w="400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Estimation from finalised BOQ, AI-assisted proposal generation, version tracking, email submission with follow-up log, and client portal approval.</w:t>
            </w:r>
          </w:p>
        </w:tc>
        <w:tc>
          <w:tcPr>
            <w:tcW w:type="dxa" w:w="72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7</w:t>
            </w:r>
          </w:p>
        </w:tc>
        <w:tc>
          <w:tcPr>
            <w:tcW w:type="dxa" w:w="72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4</w:t>
            </w:r>
          </w:p>
        </w:tc>
      </w:tr>
      <w:tr>
        <w:tc>
          <w:tcPr>
            <w:tcW w:type="dxa" w:w="7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7</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Module 7 — Project Creation &amp; Basic Client Portal</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Project creation from approved proposal, project detail management, client portal with dashboard, documents, and approval items.</w:t>
            </w:r>
          </w:p>
        </w:tc>
        <w:tc>
          <w:tcPr>
            <w:tcW w:type="dxa" w:w="7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9</w:t>
            </w:r>
          </w:p>
        </w:tc>
        <w:tc>
          <w:tcPr>
            <w:tcW w:type="dxa" w:w="7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3</w:t>
            </w:r>
          </w:p>
        </w:tc>
      </w:tr>
      <w:tr>
        <w:tc>
          <w:tcPr>
            <w:tcW w:type="dxa" w:w="72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8</w:t>
            </w:r>
          </w:p>
        </w:tc>
        <w:tc>
          <w:tcPr>
            <w:tcW w:type="dxa" w:w="320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Module 8 — Tasks &amp; Calendar</w:t>
            </w:r>
          </w:p>
        </w:tc>
        <w:tc>
          <w:tcPr>
            <w:tcW w:type="dxa" w:w="400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Task creation and status tracking, my tasks / team tasks / calendar views, priority management, and task audit reporting.</w:t>
            </w:r>
          </w:p>
        </w:tc>
        <w:tc>
          <w:tcPr>
            <w:tcW w:type="dxa" w:w="72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5</w:t>
            </w:r>
          </w:p>
        </w:tc>
        <w:tc>
          <w:tcPr>
            <w:tcW w:type="dxa" w:w="72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3</w:t>
            </w:r>
          </w:p>
        </w:tc>
      </w:tr>
      <w:tr>
        <w:tc>
          <w:tcPr>
            <w:tcW w:type="dxa" w:w="7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9</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Module 9 — Communication Module</w:t>
            </w:r>
          </w:p>
        </w:tc>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Project communication threads, direct messaging between users, and system email log.</w:t>
            </w:r>
          </w:p>
        </w:tc>
        <w:tc>
          <w:tcPr>
            <w:tcW w:type="dxa" w:w="7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3</w:t>
            </w:r>
          </w:p>
        </w:tc>
        <w:tc>
          <w:tcPr>
            <w:tcW w:type="dxa" w:w="72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3</w:t>
            </w:r>
          </w:p>
        </w:tc>
      </w:tr>
    </w:tbl>
    <w:p>
      <w:pPr>
        <w:spacing w:after="0" w:before="120" w:line="276"/>
        <w:jc w:val="left"/>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20"/>
        <w:gridCol w:w="1120"/>
        <w:gridCol w:w="1120"/>
      </w:tblGrid>
      <w:tr>
        <w:tc>
          <w:tcPr>
            <w:tcW w:type="dxa" w:w="7120"/>
            <w:tcBorders>
              <w:top w:val="single" w:color="1B3A5C" w:sz="6"/>
              <w:left w:val="single" w:color="1B3A5C" w:sz="6"/>
              <w:bottom w:val="single" w:color="1B3A5C" w:sz="6"/>
              <w:right w:val="single" w:color="1B3A5C" w:sz="6"/>
            </w:tcBorders>
            <w:shd w:fill="1B3A5C"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Total tasks in Phase 1</w:t>
            </w:r>
          </w:p>
        </w:tc>
        <w:tc>
          <w:tcPr>
            <w:tcW w:type="dxa" w:w="1120"/>
            <w:tcBorders>
              <w:top w:val="single" w:color="2E5F8A" w:sz="6"/>
              <w:left w:val="single" w:color="2E5F8A" w:sz="6"/>
              <w:bottom w:val="single" w:color="2E5F8A" w:sz="6"/>
              <w:right w:val="single" w:color="2E5F8A" w:sz="6"/>
            </w:tcBorders>
            <w:shd w:fill="2E5F8A" w:val="clear"/>
            <w:tcMar>
              <w:top w:type="dxa" w:w="100"/>
              <w:left w:type="dxa" w:w="140"/>
              <w:bottom w:type="dxa" w:w="100"/>
              <w:right w:type="dxa" w:w="140"/>
            </w:tcMar>
            <w:vAlign w:val="top"/>
          </w:tcPr>
          <w:p>
            <w:pPr>
              <w:spacing w:after="60" w:before="60" w:line="276"/>
              <w:jc w:val="center"/>
            </w:pPr>
            <w:r>
              <w:rPr>
                <w:rFonts w:ascii="Arial" w:cs="Arial" w:eastAsia="Arial" w:hAnsi="Arial"/>
                <w:b/>
                <w:bCs/>
                <w:color w:val="FFFFFF"/>
                <w:sz w:val="19"/>
                <w:szCs w:val="19"/>
              </w:rPr>
              <w:t xml:space="preserve">68</w:t>
            </w:r>
          </w:p>
        </w:tc>
        <w:tc>
          <w:tcPr>
            <w:tcW w:type="dxa" w:w="1120"/>
            <w:tcBorders>
              <w:top w:val="single" w:color="2E5F8A" w:sz="6"/>
              <w:left w:val="single" w:color="2E5F8A" w:sz="6"/>
              <w:bottom w:val="single" w:color="2E5F8A" w:sz="6"/>
              <w:right w:val="single" w:color="2E5F8A" w:sz="6"/>
            </w:tcBorders>
            <w:shd w:fill="2E5F8A" w:val="clear"/>
            <w:tcMar>
              <w:top w:type="dxa" w:w="100"/>
              <w:left w:type="dxa" w:w="140"/>
              <w:bottom w:type="dxa" w:w="100"/>
              <w:right w:type="dxa" w:w="140"/>
            </w:tcMar>
            <w:vAlign w:val="top"/>
          </w:tcPr>
          <w:p>
            <w:pPr>
              <w:spacing w:after="60" w:before="60" w:line="276"/>
              <w:jc w:val="center"/>
            </w:pPr>
            <w:r>
              <w:rPr>
                <w:rFonts w:ascii="Arial" w:cs="Arial" w:eastAsia="Arial" w:hAnsi="Arial"/>
                <w:b/>
                <w:bCs/>
                <w:color w:val="FFFFFF"/>
                <w:sz w:val="19"/>
                <w:szCs w:val="19"/>
              </w:rPr>
              <w:t xml:space="preserve">34</w:t>
            </w:r>
          </w:p>
        </w:tc>
      </w:tr>
    </w:tbl>
    <w:p>
      <w:pPr>
        <w:pBdr>
          <w:bottom w:val="single" w:color="E8A020" w:sz="6" w:space="4"/>
        </w:pBdr>
        <w:spacing w:after="200" w:before="200"/>
      </w:pPr>
      <w:r>
        <w:rPr>
          <w:rFonts w:ascii="Arial" w:cs="Arial" w:eastAsia="Arial" w:hAnsi="Arial"/>
          <w:b w:val="false"/>
          <w:bCs w:val="false"/>
          <w:color w:val="000000"/>
          <w:sz w:val="20"/>
          <w:szCs w:val="20"/>
        </w:rPr>
        <w:t xml:space="preserve"/>
      </w:r>
    </w:p>
    <w:p>
      <w:pPr>
        <w:pStyle w:val="Heading1"/>
        <w:spacing w:after="120" w:before="320"/>
      </w:pPr>
      <w:r>
        <w:rPr>
          <w:rFonts w:ascii="Arial" w:cs="Arial" w:eastAsia="Arial" w:hAnsi="Arial"/>
          <w:b/>
          <w:bCs/>
          <w:color w:val="1B3A5C"/>
          <w:sz w:val="28"/>
          <w:szCs w:val="28"/>
        </w:rPr>
        <w:t xml:space="preserve">4.  Module Descriptions &amp; Key Features</w:t>
      </w:r>
    </w:p>
    <w:p>
      <w:pPr>
        <w:pStyle w:val="Heading2"/>
        <w:spacing w:after="120" w:before="200"/>
      </w:pPr>
      <w:r>
        <w:rPr>
          <w:rFonts w:ascii="Arial" w:cs="Arial" w:eastAsia="Arial" w:hAnsi="Arial"/>
          <w:b/>
          <w:bCs/>
          <w:color w:val="1B3A5C"/>
          <w:sz w:val="24"/>
          <w:szCs w:val="24"/>
        </w:rPr>
        <w:t xml:space="preserve">Module 0 — Super Admin, Multi-Tenancy &amp; Subscription Management</w:t>
      </w:r>
    </w:p>
    <w:p>
      <w:pPr>
        <w:spacing w:after="80" w:before="80" w:line="276"/>
        <w:jc w:val="left"/>
      </w:pPr>
      <w:r>
        <w:rPr>
          <w:rFonts w:ascii="Arial" w:cs="Arial" w:eastAsia="Arial" w:hAnsi="Arial"/>
          <w:b w:val="false"/>
          <w:bCs w:val="false"/>
          <w:color w:val="000000"/>
          <w:sz w:val="20"/>
          <w:szCs w:val="20"/>
        </w:rPr>
        <w:t xml:space="preserve">The platform is multi-tenant from inception. A super admin layer sits above all client companies and manages:</w:t>
      </w:r>
    </w:p>
    <w:p>
      <w:pPr>
        <w:pStyle w:val="ListParagraph"/>
        <w:numPr>
          <w:ilvl w:val="0"/>
          <w:numId w:val="2"/>
        </w:numPr>
        <w:spacing w:after="60" w:before="60"/>
      </w:pPr>
      <w:r>
        <w:rPr>
          <w:rFonts w:ascii="Arial" w:cs="Arial" w:eastAsia="Arial" w:hAnsi="Arial"/>
          <w:b w:val="false"/>
          <w:bCs w:val="false"/>
          <w:color w:val="000000"/>
          <w:sz w:val="19"/>
          <w:szCs w:val="19"/>
        </w:rPr>
        <w:t xml:space="preserve">Onboarding new tenant companies with isolated data environments</w:t>
      </w:r>
    </w:p>
    <w:p>
      <w:pPr>
        <w:pStyle w:val="ListParagraph"/>
        <w:numPr>
          <w:ilvl w:val="0"/>
          <w:numId w:val="2"/>
        </w:numPr>
        <w:spacing w:after="60" w:before="60"/>
      </w:pPr>
      <w:r>
        <w:rPr>
          <w:rFonts w:ascii="Arial" w:cs="Arial" w:eastAsia="Arial" w:hAnsi="Arial"/>
          <w:b w:val="false"/>
          <w:bCs w:val="false"/>
          <w:color w:val="000000"/>
          <w:sz w:val="19"/>
          <w:szCs w:val="19"/>
        </w:rPr>
        <w:t xml:space="preserve">Creating and managing subscription plans that control which modules are accessible per tenant</w:t>
      </w:r>
    </w:p>
    <w:p>
      <w:pPr>
        <w:pStyle w:val="ListParagraph"/>
        <w:numPr>
          <w:ilvl w:val="0"/>
          <w:numId w:val="2"/>
        </w:numPr>
        <w:spacing w:after="60" w:before="60"/>
      </w:pPr>
      <w:r>
        <w:rPr>
          <w:rFonts w:ascii="Arial" w:cs="Arial" w:eastAsia="Arial" w:hAnsi="Arial"/>
          <w:b w:val="false"/>
          <w:bCs w:val="false"/>
          <w:color w:val="000000"/>
          <w:sz w:val="19"/>
          <w:szCs w:val="19"/>
        </w:rPr>
        <w:t xml:space="preserve">Suspending, reactivating, or terminating tenant accounts</w:t>
      </w:r>
    </w:p>
    <w:p>
      <w:pPr>
        <w:pStyle w:val="ListParagraph"/>
        <w:numPr>
          <w:ilvl w:val="0"/>
          <w:numId w:val="2"/>
        </w:numPr>
        <w:spacing w:after="60" w:before="60"/>
      </w:pPr>
      <w:r>
        <w:rPr>
          <w:rFonts w:ascii="Arial" w:cs="Arial" w:eastAsia="Arial" w:hAnsi="Arial"/>
          <w:b w:val="false"/>
          <w:bCs w:val="false"/>
          <w:color w:val="000000"/>
          <w:sz w:val="19"/>
          <w:szCs w:val="19"/>
        </w:rPr>
        <w:t xml:space="preserve">Impersonating a tenant account for support purposes (time-limited and fully logged)</w:t>
      </w:r>
    </w:p>
    <w:p>
      <w:pPr>
        <w:spacing w:after="80" w:before="80" w:line="276"/>
        <w:jc w:val="left"/>
      </w:pPr>
      <w:r>
        <w:rPr>
          <w:rFonts w:ascii="Arial" w:cs="Arial" w:eastAsia="Arial" w:hAnsi="Arial"/>
          <w:b w:val="false"/>
          <w:bCs w:val="false"/>
          <w:color w:val="000000"/>
          <w:sz w:val="20"/>
          <w:szCs w:val="20"/>
        </w:rPr>
        <w:t xml:space="preserve">Each client company operates in a completely separate workspace; no data is shared between tenants.</w:t>
      </w:r>
    </w:p>
    <w:p>
      <w:pPr>
        <w:pStyle w:val="Heading2"/>
        <w:spacing w:after="120" w:before="200"/>
      </w:pPr>
      <w:r>
        <w:rPr>
          <w:rFonts w:ascii="Arial" w:cs="Arial" w:eastAsia="Arial" w:hAnsi="Arial"/>
          <w:b/>
          <w:bCs/>
          <w:color w:val="1B3A5C"/>
          <w:sz w:val="24"/>
          <w:szCs w:val="24"/>
        </w:rPr>
        <w:t xml:space="preserve">Module 1 — Authentication, Roles &amp; Granular Permissions</w:t>
      </w:r>
    </w:p>
    <w:p>
      <w:pPr>
        <w:spacing w:after="80" w:before="80" w:line="276"/>
        <w:jc w:val="left"/>
      </w:pPr>
      <w:r>
        <w:rPr>
          <w:rFonts w:ascii="Arial" w:cs="Arial" w:eastAsia="Arial" w:hAnsi="Arial"/>
          <w:b w:val="false"/>
          <w:bCs w:val="false"/>
          <w:color w:val="000000"/>
          <w:sz w:val="20"/>
          <w:szCs w:val="20"/>
        </w:rPr>
        <w:t xml:space="preserve">Every user logs in to a role-specific portal. Critically, permissions are configurable per individual user — not just per role label. This means:</w:t>
      </w:r>
    </w:p>
    <w:p>
      <w:pPr>
        <w:pStyle w:val="ListParagraph"/>
        <w:numPr>
          <w:ilvl w:val="0"/>
          <w:numId w:val="2"/>
        </w:numPr>
        <w:spacing w:after="60" w:before="60"/>
      </w:pPr>
      <w:r>
        <w:rPr>
          <w:rFonts w:ascii="Arial" w:cs="Arial" w:eastAsia="Arial" w:hAnsi="Arial"/>
          <w:b w:val="false"/>
          <w:bCs w:val="false"/>
          <w:color w:val="000000"/>
          <w:sz w:val="19"/>
          <w:szCs w:val="19"/>
        </w:rPr>
        <w:t xml:space="preserve">One project manager can be granted access to 3 modules; another to 5 — both carry the 'Project Manager' title</w:t>
      </w:r>
    </w:p>
    <w:p>
      <w:pPr>
        <w:pStyle w:val="ListParagraph"/>
        <w:numPr>
          <w:ilvl w:val="0"/>
          <w:numId w:val="2"/>
        </w:numPr>
        <w:spacing w:after="60" w:before="60"/>
      </w:pPr>
      <w:r>
        <w:rPr>
          <w:rFonts w:ascii="Arial" w:cs="Arial" w:eastAsia="Arial" w:hAnsi="Arial"/>
          <w:b w:val="false"/>
          <w:bCs w:val="false"/>
          <w:color w:val="000000"/>
          <w:sz w:val="19"/>
          <w:szCs w:val="19"/>
        </w:rPr>
        <w:t xml:space="preserve">Company admin manages a permission matrix: a checkbox grid showing every user against every module and action (view / create / edit / delete / approve)</w:t>
      </w:r>
    </w:p>
    <w:p>
      <w:pPr>
        <w:pStyle w:val="ListParagraph"/>
        <w:numPr>
          <w:ilvl w:val="0"/>
          <w:numId w:val="2"/>
        </w:numPr>
        <w:spacing w:after="60" w:before="60"/>
      </w:pPr>
      <w:r>
        <w:rPr>
          <w:rFonts w:ascii="Arial" w:cs="Arial" w:eastAsia="Arial" w:hAnsi="Arial"/>
          <w:b w:val="false"/>
          <w:bCs w:val="false"/>
          <w:color w:val="000000"/>
          <w:sz w:val="19"/>
          <w:szCs w:val="19"/>
        </w:rPr>
        <w:t xml:space="preserve">Roles included: Super Admin, Company Admin, Project Manager, Designer, QAS/Engineer, Finance, Subcontractor, Client</w:t>
      </w:r>
    </w:p>
    <w:p>
      <w:pPr>
        <w:pStyle w:val="ListParagraph"/>
        <w:numPr>
          <w:ilvl w:val="0"/>
          <w:numId w:val="2"/>
        </w:numPr>
        <w:spacing w:after="60" w:before="60"/>
      </w:pPr>
      <w:r>
        <w:rPr>
          <w:rFonts w:ascii="Arial" w:cs="Arial" w:eastAsia="Arial" w:hAnsi="Arial"/>
          <w:b w:val="false"/>
          <w:bCs w:val="false"/>
          <w:color w:val="000000"/>
          <w:sz w:val="19"/>
          <w:szCs w:val="19"/>
        </w:rPr>
        <w:t xml:space="preserve">Invitation workflow sends a setup link valid for 48 hours; user sets their own password</w:t>
      </w:r>
    </w:p>
    <w:p>
      <w:pPr>
        <w:pStyle w:val="ListParagraph"/>
        <w:numPr>
          <w:ilvl w:val="0"/>
          <w:numId w:val="2"/>
        </w:numPr>
        <w:spacing w:after="60" w:before="60"/>
      </w:pPr>
      <w:r>
        <w:rPr>
          <w:rFonts w:ascii="Arial" w:cs="Arial" w:eastAsia="Arial" w:hAnsi="Arial"/>
          <w:b w:val="false"/>
          <w:bCs w:val="false"/>
          <w:color w:val="000000"/>
          <w:sz w:val="19"/>
          <w:szCs w:val="19"/>
        </w:rPr>
        <w:t xml:space="preserve">Session management and idle timeout are configurable per tenant</w:t>
      </w:r>
    </w:p>
    <w:p>
      <w:pPr>
        <w:pStyle w:val="Heading2"/>
        <w:spacing w:after="120" w:before="200"/>
      </w:pPr>
      <w:r>
        <w:rPr>
          <w:rFonts w:ascii="Arial" w:cs="Arial" w:eastAsia="Arial" w:hAnsi="Arial"/>
          <w:b/>
          <w:bCs/>
          <w:color w:val="1B3A5C"/>
          <w:sz w:val="24"/>
          <w:szCs w:val="24"/>
        </w:rPr>
        <w:t xml:space="preserve">Module 2 — CRM &amp; Lead Management</w:t>
      </w:r>
    </w:p>
    <w:p>
      <w:pPr>
        <w:spacing w:after="80" w:before="80" w:line="276"/>
        <w:jc w:val="left"/>
      </w:pPr>
      <w:r>
        <w:rPr>
          <w:rFonts w:ascii="Arial" w:cs="Arial" w:eastAsia="Arial" w:hAnsi="Arial"/>
          <w:b w:val="false"/>
          <w:bCs w:val="false"/>
          <w:color w:val="000000"/>
          <w:sz w:val="20"/>
          <w:szCs w:val="20"/>
        </w:rPr>
        <w:t xml:space="preserve">The sales journey begins here. Features include:</w:t>
      </w:r>
    </w:p>
    <w:p>
      <w:pPr>
        <w:pStyle w:val="ListParagraph"/>
        <w:numPr>
          <w:ilvl w:val="0"/>
          <w:numId w:val="2"/>
        </w:numPr>
        <w:spacing w:after="60" w:before="60"/>
      </w:pPr>
      <w:r>
        <w:rPr>
          <w:rFonts w:ascii="Arial" w:cs="Arial" w:eastAsia="Arial" w:hAnsi="Arial"/>
          <w:b w:val="false"/>
          <w:bCs w:val="false"/>
          <w:color w:val="000000"/>
          <w:sz w:val="19"/>
          <w:szCs w:val="19"/>
        </w:rPr>
        <w:t xml:space="preserve">Manual lead entry with source tracking (walk-in, referral, website, social media)</w:t>
      </w:r>
    </w:p>
    <w:p>
      <w:pPr>
        <w:pStyle w:val="ListParagraph"/>
        <w:numPr>
          <w:ilvl w:val="0"/>
          <w:numId w:val="2"/>
        </w:numPr>
        <w:spacing w:after="60" w:before="60"/>
      </w:pPr>
      <w:r>
        <w:rPr>
          <w:rFonts w:ascii="Arial" w:cs="Arial" w:eastAsia="Arial" w:hAnsi="Arial"/>
          <w:b w:val="false"/>
          <w:bCs w:val="false"/>
          <w:color w:val="000000"/>
          <w:sz w:val="19"/>
          <w:szCs w:val="19"/>
        </w:rPr>
        <w:t xml:space="preserve">Kanban pipeline board: New → Contacted → Qualified → Site Visit Scheduled → Won / Lost</w:t>
      </w:r>
    </w:p>
    <w:p>
      <w:pPr>
        <w:pStyle w:val="ListParagraph"/>
        <w:numPr>
          <w:ilvl w:val="0"/>
          <w:numId w:val="2"/>
        </w:numPr>
        <w:spacing w:after="60" w:before="60"/>
      </w:pPr>
      <w:r>
        <w:rPr>
          <w:rFonts w:ascii="Arial" w:cs="Arial" w:eastAsia="Arial" w:hAnsi="Arial"/>
          <w:b w:val="false"/>
          <w:bCs w:val="false"/>
          <w:color w:val="000000"/>
          <w:sz w:val="19"/>
          <w:szCs w:val="19"/>
        </w:rPr>
        <w:t xml:space="preserve">Status update with history log; lost leads require a reason</w:t>
      </w:r>
    </w:p>
    <w:p>
      <w:pPr>
        <w:pStyle w:val="ListParagraph"/>
        <w:numPr>
          <w:ilvl w:val="0"/>
          <w:numId w:val="2"/>
        </w:numPr>
        <w:spacing w:after="60" w:before="60"/>
      </w:pPr>
      <w:r>
        <w:rPr>
          <w:rFonts w:ascii="Arial" w:cs="Arial" w:eastAsia="Arial" w:hAnsi="Arial"/>
          <w:b w:val="false"/>
          <w:bCs w:val="false"/>
          <w:color w:val="000000"/>
          <w:sz w:val="19"/>
          <w:szCs w:val="19"/>
        </w:rPr>
        <w:t xml:space="preserve">Follow-up scheduling with calendar reminders for the assigned salesperson</w:t>
      </w:r>
    </w:p>
    <w:p>
      <w:pPr>
        <w:pStyle w:val="ListParagraph"/>
        <w:numPr>
          <w:ilvl w:val="0"/>
          <w:numId w:val="2"/>
        </w:numPr>
        <w:spacing w:after="60" w:before="60"/>
      </w:pPr>
      <w:r>
        <w:rPr>
          <w:rFonts w:ascii="Arial" w:cs="Arial" w:eastAsia="Arial" w:hAnsi="Arial"/>
          <w:b w:val="false"/>
          <w:bCs w:val="false"/>
          <w:color w:val="000000"/>
          <w:sz w:val="19"/>
          <w:szCs w:val="19"/>
        </w:rPr>
        <w:t xml:space="preserve">Appointment request sent to the client for a site visit</w:t>
      </w:r>
    </w:p>
    <w:p>
      <w:pPr>
        <w:pStyle w:val="ListParagraph"/>
        <w:numPr>
          <w:ilvl w:val="0"/>
          <w:numId w:val="2"/>
        </w:numPr>
        <w:spacing w:after="60" w:before="60"/>
      </w:pPr>
      <w:r>
        <w:rPr>
          <w:rFonts w:ascii="Arial" w:cs="Arial" w:eastAsia="Arial" w:hAnsi="Arial"/>
          <w:b w:val="false"/>
          <w:bCs w:val="false"/>
          <w:color w:val="000000"/>
          <w:sz w:val="19"/>
          <w:szCs w:val="19"/>
        </w:rPr>
        <w:t xml:space="preserve">Lead-to-client conversion triggered by site visit completion and first payment received</w:t>
      </w:r>
    </w:p>
    <w:p>
      <w:pPr>
        <w:pStyle w:val="ListParagraph"/>
        <w:numPr>
          <w:ilvl w:val="0"/>
          <w:numId w:val="2"/>
        </w:numPr>
        <w:spacing w:after="60" w:before="60"/>
      </w:pPr>
      <w:r>
        <w:rPr>
          <w:rFonts w:ascii="Arial" w:cs="Arial" w:eastAsia="Arial" w:hAnsi="Arial"/>
          <w:b w:val="false"/>
          <w:bCs w:val="false"/>
          <w:color w:val="000000"/>
          <w:sz w:val="19"/>
          <w:szCs w:val="19"/>
        </w:rPr>
        <w:t xml:space="preserve">CRM reports: conversion rates, source breakdown, pipeline performance</w:t>
      </w:r>
    </w:p>
    <w:p>
      <w:pPr>
        <w:pStyle w:val="Heading2"/>
        <w:spacing w:after="120" w:before="200"/>
      </w:pPr>
      <w:r>
        <w:rPr>
          <w:rFonts w:ascii="Arial" w:cs="Arial" w:eastAsia="Arial" w:hAnsi="Arial"/>
          <w:b/>
          <w:bCs/>
          <w:color w:val="1B3A5C"/>
          <w:sz w:val="24"/>
          <w:szCs w:val="24"/>
        </w:rPr>
        <w:t xml:space="preserve">Module 3 — Site Visit Module</w:t>
      </w:r>
    </w:p>
    <w:p>
      <w:pPr>
        <w:spacing w:after="80" w:before="80" w:line="276"/>
        <w:jc w:val="left"/>
      </w:pPr>
      <w:r>
        <w:rPr>
          <w:rFonts w:ascii="Arial" w:cs="Arial" w:eastAsia="Arial" w:hAnsi="Arial"/>
          <w:b w:val="false"/>
          <w:bCs w:val="false"/>
          <w:color w:val="000000"/>
          <w:sz w:val="20"/>
          <w:szCs w:val="20"/>
        </w:rPr>
        <w:t xml:space="preserve">Once a lead is qualified, the site visit is scheduled and managed within the platform:</w:t>
      </w:r>
    </w:p>
    <w:p>
      <w:pPr>
        <w:pStyle w:val="ListParagraph"/>
        <w:numPr>
          <w:ilvl w:val="0"/>
          <w:numId w:val="2"/>
        </w:numPr>
        <w:spacing w:after="60" w:before="60"/>
      </w:pPr>
      <w:r>
        <w:rPr>
          <w:rFonts w:ascii="Arial" w:cs="Arial" w:eastAsia="Arial" w:hAnsi="Arial"/>
          <w:b w:val="false"/>
          <w:bCs w:val="false"/>
          <w:color w:val="000000"/>
          <w:sz w:val="19"/>
          <w:szCs w:val="19"/>
        </w:rPr>
        <w:t xml:space="preserve">Admin creates qualifying checklist templates with yes/no, text, and rating question types</w:t>
      </w:r>
    </w:p>
    <w:p>
      <w:pPr>
        <w:pStyle w:val="ListParagraph"/>
        <w:numPr>
          <w:ilvl w:val="0"/>
          <w:numId w:val="2"/>
        </w:numPr>
        <w:spacing w:after="60" w:before="60"/>
      </w:pPr>
      <w:r>
        <w:rPr>
          <w:rFonts w:ascii="Arial" w:cs="Arial" w:eastAsia="Arial" w:hAnsi="Arial"/>
          <w:b w:val="false"/>
          <w:bCs w:val="false"/>
          <w:color w:val="000000"/>
          <w:sz w:val="19"/>
          <w:szCs w:val="19"/>
        </w:rPr>
        <w:t xml:space="preserve">Visits are scheduled with assigned staff, date/time, and a pinpoint map location</w:t>
      </w:r>
    </w:p>
    <w:p>
      <w:pPr>
        <w:pStyle w:val="ListParagraph"/>
        <w:numPr>
          <w:ilvl w:val="0"/>
          <w:numId w:val="2"/>
        </w:numPr>
        <w:spacing w:after="60" w:before="60"/>
      </w:pPr>
      <w:r>
        <w:rPr>
          <w:rFonts w:ascii="Arial" w:cs="Arial" w:eastAsia="Arial" w:hAnsi="Arial"/>
          <w:b w:val="false"/>
          <w:bCs w:val="false"/>
          <w:color w:val="000000"/>
          <w:sz w:val="19"/>
          <w:szCs w:val="19"/>
        </w:rPr>
        <w:t xml:space="preserve">Additional location detail fields: building name, floor, unit, access notes</w:t>
      </w:r>
    </w:p>
    <w:p>
      <w:pPr>
        <w:pStyle w:val="ListParagraph"/>
        <w:numPr>
          <w:ilvl w:val="0"/>
          <w:numId w:val="2"/>
        </w:numPr>
        <w:spacing w:after="60" w:before="60"/>
      </w:pPr>
      <w:r>
        <w:rPr>
          <w:rFonts w:ascii="Arial" w:cs="Arial" w:eastAsia="Arial" w:hAnsi="Arial"/>
          <w:b w:val="false"/>
          <w:bCs w:val="false"/>
          <w:color w:val="000000"/>
          <w:sz w:val="19"/>
          <w:szCs w:val="19"/>
        </w:rPr>
        <w:t xml:space="preserve">Site visit report submitted with checklist responses, notes, photos, and outcome (qualified / not qualified)</w:t>
      </w:r>
    </w:p>
    <w:p>
      <w:pPr>
        <w:pStyle w:val="ListParagraph"/>
        <w:numPr>
          <w:ilvl w:val="0"/>
          <w:numId w:val="2"/>
        </w:numPr>
        <w:spacing w:after="60" w:before="60"/>
      </w:pPr>
      <w:r>
        <w:rPr>
          <w:rFonts w:ascii="Arial" w:cs="Arial" w:eastAsia="Arial" w:hAnsi="Arial"/>
          <w:b w:val="false"/>
          <w:bCs w:val="false"/>
          <w:color w:val="000000"/>
          <w:sz w:val="19"/>
          <w:szCs w:val="19"/>
        </w:rPr>
        <w:t xml:space="preserve">Client receives an appointment confirmation notification</w:t>
      </w:r>
    </w:p>
    <w:p>
      <w:pPr>
        <w:pStyle w:val="Heading2"/>
        <w:spacing w:after="120" w:before="200"/>
      </w:pPr>
      <w:r>
        <w:rPr>
          <w:rFonts w:ascii="Arial" w:cs="Arial" w:eastAsia="Arial" w:hAnsi="Arial"/>
          <w:b/>
          <w:bCs/>
          <w:color w:val="1B3A5C"/>
          <w:sz w:val="24"/>
          <w:szCs w:val="24"/>
        </w:rPr>
        <w:t xml:space="preserve">Module 4 — Design Module</w:t>
      </w:r>
    </w:p>
    <w:p>
      <w:pPr>
        <w:spacing w:after="80" w:before="80" w:line="276"/>
        <w:jc w:val="left"/>
      </w:pPr>
      <w:r>
        <w:rPr>
          <w:rFonts w:ascii="Arial" w:cs="Arial" w:eastAsia="Arial" w:hAnsi="Arial"/>
          <w:b w:val="false"/>
          <w:bCs w:val="false"/>
          <w:color w:val="000000"/>
          <w:sz w:val="20"/>
          <w:szCs w:val="20"/>
        </w:rPr>
        <w:t xml:space="preserve">Applicable when design is part of the project scope. The design workflow covers:</w:t>
      </w:r>
    </w:p>
    <w:p>
      <w:pPr>
        <w:pStyle w:val="ListParagraph"/>
        <w:numPr>
          <w:ilvl w:val="0"/>
          <w:numId w:val="2"/>
        </w:numPr>
        <w:spacing w:after="60" w:before="60"/>
      </w:pPr>
      <w:r>
        <w:rPr>
          <w:rFonts w:ascii="Arial" w:cs="Arial" w:eastAsia="Arial" w:hAnsi="Arial"/>
          <w:b w:val="false"/>
          <w:bCs w:val="false"/>
          <w:color w:val="000000"/>
          <w:sz w:val="19"/>
          <w:szCs w:val="19"/>
        </w:rPr>
        <w:t xml:space="preserve">Design request creation specifying room types and special requirements</w:t>
      </w:r>
    </w:p>
    <w:p>
      <w:pPr>
        <w:pStyle w:val="ListParagraph"/>
        <w:numPr>
          <w:ilvl w:val="0"/>
          <w:numId w:val="2"/>
        </w:numPr>
        <w:spacing w:after="60" w:before="60"/>
      </w:pPr>
      <w:r>
        <w:rPr>
          <w:rFonts w:ascii="Arial" w:cs="Arial" w:eastAsia="Arial" w:hAnsi="Arial"/>
          <w:b w:val="false"/>
          <w:bCs w:val="false"/>
          <w:color w:val="000000"/>
          <w:sz w:val="19"/>
          <w:szCs w:val="19"/>
        </w:rPr>
        <w:t xml:space="preserve">Designer assignment by PM or admin with due date and priority</w:t>
      </w:r>
    </w:p>
    <w:p>
      <w:pPr>
        <w:pStyle w:val="ListParagraph"/>
        <w:numPr>
          <w:ilvl w:val="0"/>
          <w:numId w:val="2"/>
        </w:numPr>
        <w:spacing w:after="60" w:before="60"/>
      </w:pPr>
      <w:r>
        <w:rPr>
          <w:rFonts w:ascii="Arial" w:cs="Arial" w:eastAsia="Arial" w:hAnsi="Arial"/>
          <w:b w:val="false"/>
          <w:bCs w:val="false"/>
          <w:color w:val="000000"/>
          <w:sz w:val="19"/>
          <w:szCs w:val="19"/>
        </w:rPr>
        <w:t xml:space="preserve">Deliverable upload by type: floor plans, RCP, tile layout, door/window schedule, paint schedule, gypsum schedule, staircase drawings, renderings, and walkthroughs</w:t>
      </w:r>
    </w:p>
    <w:p>
      <w:pPr>
        <w:pStyle w:val="ListParagraph"/>
        <w:numPr>
          <w:ilvl w:val="0"/>
          <w:numId w:val="2"/>
        </w:numPr>
        <w:spacing w:after="60" w:before="60"/>
      </w:pPr>
      <w:r>
        <w:rPr>
          <w:rFonts w:ascii="Arial" w:cs="Arial" w:eastAsia="Arial" w:hAnsi="Arial"/>
          <w:b w:val="false"/>
          <w:bCs w:val="false"/>
          <w:color w:val="000000"/>
          <w:sz w:val="19"/>
          <w:szCs w:val="19"/>
        </w:rPr>
        <w:t xml:space="preserve">Version history maintained for every deliverable type</w:t>
      </w:r>
    </w:p>
    <w:p>
      <w:pPr>
        <w:pStyle w:val="ListParagraph"/>
        <w:numPr>
          <w:ilvl w:val="0"/>
          <w:numId w:val="2"/>
        </w:numPr>
        <w:spacing w:after="60" w:before="60"/>
      </w:pPr>
      <w:r>
        <w:rPr>
          <w:rFonts w:ascii="Arial" w:cs="Arial" w:eastAsia="Arial" w:hAnsi="Arial"/>
          <w:b w:val="false"/>
          <w:bCs w:val="false"/>
          <w:color w:val="000000"/>
          <w:sz w:val="19"/>
          <w:szCs w:val="19"/>
        </w:rPr>
        <w:t xml:space="preserve">Internal review step: designer submits, PM or admin approves before sharing with client</w:t>
      </w:r>
    </w:p>
    <w:p>
      <w:pPr>
        <w:pStyle w:val="ListParagraph"/>
        <w:numPr>
          <w:ilvl w:val="0"/>
          <w:numId w:val="2"/>
        </w:numPr>
        <w:spacing w:after="60" w:before="60"/>
      </w:pPr>
      <w:r>
        <w:rPr>
          <w:rFonts w:ascii="Arial" w:cs="Arial" w:eastAsia="Arial" w:hAnsi="Arial"/>
          <w:b w:val="false"/>
          <w:bCs w:val="false"/>
          <w:color w:val="000000"/>
          <w:sz w:val="19"/>
          <w:szCs w:val="19"/>
        </w:rPr>
        <w:t xml:space="preserve">Client approval workflow via portal: client approves or requests revision</w:t>
      </w:r>
    </w:p>
    <w:p>
      <w:pPr>
        <w:pStyle w:val="ListParagraph"/>
        <w:numPr>
          <w:ilvl w:val="0"/>
          <w:numId w:val="2"/>
        </w:numPr>
        <w:spacing w:after="60" w:before="60"/>
      </w:pPr>
      <w:r>
        <w:rPr>
          <w:rFonts w:ascii="Arial" w:cs="Arial" w:eastAsia="Arial" w:hAnsi="Arial"/>
          <w:b w:val="false"/>
          <w:bCs w:val="false"/>
          <w:color w:val="000000"/>
          <w:sz w:val="19"/>
          <w:szCs w:val="19"/>
        </w:rPr>
        <w:t xml:space="preserve">First 3 client-initiated revisions are free; a confirmation warning appears on the 4th revision notifying the client of additional charges</w:t>
      </w:r>
    </w:p>
    <w:p>
      <w:pPr>
        <w:pStyle w:val="ListParagraph"/>
        <w:numPr>
          <w:ilvl w:val="0"/>
          <w:numId w:val="2"/>
        </w:numPr>
        <w:spacing w:after="60" w:before="60"/>
      </w:pPr>
      <w:r>
        <w:rPr>
          <w:rFonts w:ascii="Arial" w:cs="Arial" w:eastAsia="Arial" w:hAnsi="Arial"/>
          <w:b w:val="false"/>
          <w:bCs w:val="false"/>
          <w:color w:val="000000"/>
          <w:sz w:val="19"/>
          <w:szCs w:val="19"/>
        </w:rPr>
        <w:t xml:space="preserve">Municipal and management approval tracking with reference numbers</w:t>
      </w:r>
    </w:p>
    <w:p>
      <w:pPr>
        <w:pStyle w:val="Heading2"/>
        <w:spacing w:after="120" w:before="200"/>
      </w:pPr>
      <w:r>
        <w:rPr>
          <w:rFonts w:ascii="Arial" w:cs="Arial" w:eastAsia="Arial" w:hAnsi="Arial"/>
          <w:b/>
          <w:bCs/>
          <w:color w:val="1B3A5C"/>
          <w:sz w:val="24"/>
          <w:szCs w:val="24"/>
        </w:rPr>
        <w:t xml:space="preserve">Module 5 — QAS &amp; BOQ Module</w:t>
      </w:r>
    </w:p>
    <w:p>
      <w:pPr>
        <w:spacing w:after="80" w:before="80" w:line="276"/>
        <w:jc w:val="left"/>
      </w:pPr>
      <w:r>
        <w:rPr>
          <w:rFonts w:ascii="Arial" w:cs="Arial" w:eastAsia="Arial" w:hAnsi="Arial"/>
          <w:b w:val="false"/>
          <w:bCs w:val="false"/>
          <w:color w:val="000000"/>
          <w:sz w:val="20"/>
          <w:szCs w:val="20"/>
        </w:rPr>
        <w:t xml:space="preserve">The BOQ (Bill of Quantities) is the financial backbone of each project:</w:t>
      </w:r>
    </w:p>
    <w:p>
      <w:pPr>
        <w:pStyle w:val="ListParagraph"/>
        <w:numPr>
          <w:ilvl w:val="0"/>
          <w:numId w:val="2"/>
        </w:numPr>
        <w:spacing w:after="60" w:before="60"/>
      </w:pPr>
      <w:r>
        <w:rPr>
          <w:rFonts w:ascii="Arial" w:cs="Arial" w:eastAsia="Arial" w:hAnsi="Arial"/>
          <w:b w:val="false"/>
          <w:bCs w:val="false"/>
          <w:color w:val="000000"/>
          <w:sz w:val="19"/>
          <w:szCs w:val="19"/>
        </w:rPr>
        <w:t xml:space="preserve">BOQ created from design deliverables or direct site survey; structured as sections and subsections</w:t>
      </w:r>
    </w:p>
    <w:p>
      <w:pPr>
        <w:pStyle w:val="ListParagraph"/>
        <w:numPr>
          <w:ilvl w:val="0"/>
          <w:numId w:val="2"/>
        </w:numPr>
        <w:spacing w:after="60" w:before="60"/>
      </w:pPr>
      <w:r>
        <w:rPr>
          <w:rFonts w:ascii="Arial" w:cs="Arial" w:eastAsia="Arial" w:hAnsi="Arial"/>
          <w:b w:val="false"/>
          <w:bCs w:val="false"/>
          <w:color w:val="000000"/>
          <w:sz w:val="19"/>
          <w:szCs w:val="19"/>
        </w:rPr>
        <w:t xml:space="preserve">Sub-QAS users create BOQ entries; QAS Lead reviews and approves</w:t>
      </w:r>
    </w:p>
    <w:p>
      <w:pPr>
        <w:pStyle w:val="ListParagraph"/>
        <w:numPr>
          <w:ilvl w:val="0"/>
          <w:numId w:val="2"/>
        </w:numPr>
        <w:spacing w:after="60" w:before="60"/>
      </w:pPr>
      <w:r>
        <w:rPr>
          <w:rFonts w:ascii="Arial" w:cs="Arial" w:eastAsia="Arial" w:hAnsi="Arial"/>
          <w:b w:val="false"/>
          <w:bCs w:val="false"/>
          <w:color w:val="000000"/>
          <w:sz w:val="19"/>
          <w:szCs w:val="19"/>
        </w:rPr>
        <w:t xml:space="preserve">Line items include: description, unit, quantity, unit rate, vendor quotation, labour cost, tax, and margin</w:t>
      </w:r>
    </w:p>
    <w:p>
      <w:pPr>
        <w:pStyle w:val="ListParagraph"/>
        <w:numPr>
          <w:ilvl w:val="0"/>
          <w:numId w:val="2"/>
        </w:numPr>
        <w:spacing w:after="60" w:before="60"/>
      </w:pPr>
      <w:r>
        <w:rPr>
          <w:rFonts w:ascii="Arial" w:cs="Arial" w:eastAsia="Arial" w:hAnsi="Arial"/>
          <w:b w:val="false"/>
          <w:bCs w:val="false"/>
          <w:color w:val="000000"/>
          <w:sz w:val="19"/>
          <w:szCs w:val="19"/>
        </w:rPr>
        <w:t xml:space="preserve">Margin is configurable and editable until client sign-off</w:t>
      </w:r>
    </w:p>
    <w:p>
      <w:pPr>
        <w:pStyle w:val="ListParagraph"/>
        <w:numPr>
          <w:ilvl w:val="0"/>
          <w:numId w:val="2"/>
        </w:numPr>
        <w:spacing w:after="60" w:before="60"/>
      </w:pPr>
      <w:r>
        <w:rPr>
          <w:rFonts w:ascii="Arial" w:cs="Arial" w:eastAsia="Arial" w:hAnsi="Arial"/>
          <w:b w:val="false"/>
          <w:bCs w:val="false"/>
          <w:color w:val="000000"/>
          <w:sz w:val="19"/>
          <w:szCs w:val="19"/>
        </w:rPr>
        <w:t xml:space="preserve">BOQ sections or subsections can be sent directly to subcontractors for quotation using the same BOQ template</w:t>
      </w:r>
    </w:p>
    <w:p>
      <w:pPr>
        <w:pStyle w:val="ListParagraph"/>
        <w:numPr>
          <w:ilvl w:val="0"/>
          <w:numId w:val="2"/>
        </w:numPr>
        <w:spacing w:after="60" w:before="60"/>
      </w:pPr>
      <w:r>
        <w:rPr>
          <w:rFonts w:ascii="Arial" w:cs="Arial" w:eastAsia="Arial" w:hAnsi="Arial"/>
          <w:b w:val="false"/>
          <w:bCs w:val="false"/>
          <w:color w:val="000000"/>
          <w:sz w:val="19"/>
          <w:szCs w:val="19"/>
        </w:rPr>
        <w:t xml:space="preserve">Subcontractor fills in their rates within the system; responses are compared side by side</w:t>
      </w:r>
    </w:p>
    <w:p>
      <w:pPr>
        <w:pStyle w:val="ListParagraph"/>
        <w:numPr>
          <w:ilvl w:val="0"/>
          <w:numId w:val="2"/>
        </w:numPr>
        <w:spacing w:after="60" w:before="60"/>
      </w:pPr>
      <w:r>
        <w:rPr>
          <w:rFonts w:ascii="Arial" w:cs="Arial" w:eastAsia="Arial" w:hAnsi="Arial"/>
          <w:b w:val="false"/>
          <w:bCs w:val="false"/>
          <w:color w:val="000000"/>
          <w:sz w:val="19"/>
          <w:szCs w:val="19"/>
        </w:rPr>
        <w:t xml:space="preserve">QAS calendar displays site visits and BOQ review deadlines</w:t>
      </w:r>
    </w:p>
    <w:p>
      <w:pPr>
        <w:pStyle w:val="Heading2"/>
        <w:spacing w:after="120" w:before="200"/>
      </w:pPr>
      <w:r>
        <w:rPr>
          <w:rFonts w:ascii="Arial" w:cs="Arial" w:eastAsia="Arial" w:hAnsi="Arial"/>
          <w:b/>
          <w:bCs/>
          <w:color w:val="1B3A5C"/>
          <w:sz w:val="24"/>
          <w:szCs w:val="24"/>
        </w:rPr>
        <w:t xml:space="preserve">Module 6 — Proposal &amp; Estimation Module</w:t>
      </w:r>
    </w:p>
    <w:p>
      <w:pPr>
        <w:spacing w:after="80" w:before="80" w:line="276"/>
        <w:jc w:val="left"/>
      </w:pPr>
      <w:r>
        <w:rPr>
          <w:rFonts w:ascii="Arial" w:cs="Arial" w:eastAsia="Arial" w:hAnsi="Arial"/>
          <w:b w:val="false"/>
          <w:bCs w:val="false"/>
          <w:color w:val="000000"/>
          <w:sz w:val="20"/>
          <w:szCs w:val="20"/>
        </w:rPr>
        <w:t xml:space="preserve">Once the BOQ is finalised, the proposal is generated:</w:t>
      </w:r>
    </w:p>
    <w:p>
      <w:pPr>
        <w:pStyle w:val="ListParagraph"/>
        <w:numPr>
          <w:ilvl w:val="0"/>
          <w:numId w:val="2"/>
        </w:numPr>
        <w:spacing w:after="60" w:before="60"/>
      </w:pPr>
      <w:r>
        <w:rPr>
          <w:rFonts w:ascii="Arial" w:cs="Arial" w:eastAsia="Arial" w:hAnsi="Arial"/>
          <w:b w:val="false"/>
          <w:bCs w:val="false"/>
          <w:color w:val="000000"/>
          <w:sz w:val="19"/>
          <w:szCs w:val="19"/>
        </w:rPr>
        <w:t xml:space="preserve">Estimation pulls BOQ line items automatically; PM adjusts margins, discounts, and tax</w:t>
      </w:r>
    </w:p>
    <w:p>
      <w:pPr>
        <w:pStyle w:val="ListParagraph"/>
        <w:numPr>
          <w:ilvl w:val="0"/>
          <w:numId w:val="2"/>
        </w:numPr>
        <w:spacing w:after="60" w:before="60"/>
      </w:pPr>
      <w:r>
        <w:rPr>
          <w:rFonts w:ascii="Arial" w:cs="Arial" w:eastAsia="Arial" w:hAnsi="Arial"/>
          <w:b w:val="false"/>
          <w:bCs w:val="false"/>
          <w:color w:val="000000"/>
          <w:sz w:val="19"/>
          <w:szCs w:val="19"/>
        </w:rPr>
        <w:t xml:space="preserve">AI-assisted cover letter and executive summary generated from project data — fully editable before sending</w:t>
      </w:r>
    </w:p>
    <w:p>
      <w:pPr>
        <w:pStyle w:val="ListParagraph"/>
        <w:numPr>
          <w:ilvl w:val="0"/>
          <w:numId w:val="2"/>
        </w:numPr>
        <w:spacing w:after="60" w:before="60"/>
      </w:pPr>
      <w:r>
        <w:rPr>
          <w:rFonts w:ascii="Arial" w:cs="Arial" w:eastAsia="Arial" w:hAnsi="Arial"/>
          <w:b w:val="false"/>
          <w:bCs w:val="false"/>
          <w:color w:val="000000"/>
          <w:sz w:val="19"/>
          <w:szCs w:val="19"/>
        </w:rPr>
        <w:t xml:space="preserve">Proposal versioning: each revision creates a new version; client always sees the current version</w:t>
      </w:r>
    </w:p>
    <w:p>
      <w:pPr>
        <w:pStyle w:val="ListParagraph"/>
        <w:numPr>
          <w:ilvl w:val="0"/>
          <w:numId w:val="2"/>
        </w:numPr>
        <w:spacing w:after="60" w:before="60"/>
      </w:pPr>
      <w:r>
        <w:rPr>
          <w:rFonts w:ascii="Arial" w:cs="Arial" w:eastAsia="Arial" w:hAnsi="Arial"/>
          <w:b w:val="false"/>
          <w:bCs w:val="false"/>
          <w:color w:val="000000"/>
          <w:sz w:val="19"/>
          <w:szCs w:val="19"/>
        </w:rPr>
        <w:t xml:space="preserve">Email submission with open and click tracking; follow-up schedule logged against the proposal</w:t>
      </w:r>
    </w:p>
    <w:p>
      <w:pPr>
        <w:pStyle w:val="ListParagraph"/>
        <w:numPr>
          <w:ilvl w:val="0"/>
          <w:numId w:val="2"/>
        </w:numPr>
        <w:spacing w:after="60" w:before="60"/>
      </w:pPr>
      <w:r>
        <w:rPr>
          <w:rFonts w:ascii="Arial" w:cs="Arial" w:eastAsia="Arial" w:hAnsi="Arial"/>
          <w:b w:val="false"/>
          <w:bCs w:val="false"/>
          <w:color w:val="000000"/>
          <w:sz w:val="19"/>
          <w:szCs w:val="19"/>
        </w:rPr>
        <w:t xml:space="preserve">Client portal approval: client approves (triggers project creation), rejects (moves to lost or revised quote), or requests revision</w:t>
      </w:r>
    </w:p>
    <w:p>
      <w:pPr>
        <w:pStyle w:val="ListParagraph"/>
        <w:numPr>
          <w:ilvl w:val="0"/>
          <w:numId w:val="2"/>
        </w:numPr>
        <w:spacing w:after="60" w:before="60"/>
      </w:pPr>
      <w:r>
        <w:rPr>
          <w:rFonts w:ascii="Arial" w:cs="Arial" w:eastAsia="Arial" w:hAnsi="Arial"/>
          <w:b w:val="false"/>
          <w:bCs w:val="false"/>
          <w:color w:val="000000"/>
          <w:sz w:val="19"/>
          <w:szCs w:val="19"/>
        </w:rPr>
        <w:t xml:space="preserve">Margins can differ per project; locked after client sign-off</w:t>
      </w:r>
    </w:p>
    <w:p>
      <w:pPr>
        <w:pStyle w:val="Heading2"/>
        <w:spacing w:after="120" w:before="200"/>
      </w:pPr>
      <w:r>
        <w:rPr>
          <w:rFonts w:ascii="Arial" w:cs="Arial" w:eastAsia="Arial" w:hAnsi="Arial"/>
          <w:b/>
          <w:bCs/>
          <w:color w:val="1B3A5C"/>
          <w:sz w:val="24"/>
          <w:szCs w:val="24"/>
        </w:rPr>
        <w:t xml:space="preserve">Module 7 — Project Creation &amp; Basic Client Portal</w:t>
      </w:r>
    </w:p>
    <w:p>
      <w:pPr>
        <w:spacing w:after="80" w:before="80" w:line="276"/>
        <w:jc w:val="left"/>
      </w:pPr>
      <w:r>
        <w:rPr>
          <w:rFonts w:ascii="Arial" w:cs="Arial" w:eastAsia="Arial" w:hAnsi="Arial"/>
          <w:b w:val="false"/>
          <w:bCs w:val="false"/>
          <w:color w:val="000000"/>
          <w:sz w:val="20"/>
          <w:szCs w:val="20"/>
        </w:rPr>
        <w:t xml:space="preserve">Approval of a proposal automatically creates a project:</w:t>
      </w:r>
    </w:p>
    <w:p>
      <w:pPr>
        <w:pStyle w:val="ListParagraph"/>
        <w:numPr>
          <w:ilvl w:val="0"/>
          <w:numId w:val="2"/>
        </w:numPr>
        <w:spacing w:after="60" w:before="60"/>
      </w:pPr>
      <w:r>
        <w:rPr>
          <w:rFonts w:ascii="Arial" w:cs="Arial" w:eastAsia="Arial" w:hAnsi="Arial"/>
          <w:b w:val="false"/>
          <w:bCs w:val="false"/>
          <w:color w:val="000000"/>
          <w:sz w:val="19"/>
          <w:szCs w:val="19"/>
        </w:rPr>
        <w:t xml:space="preserve">Project inherits all proposal data: client, BOQ, scope, team</w:t>
      </w:r>
    </w:p>
    <w:p>
      <w:pPr>
        <w:pStyle w:val="ListParagraph"/>
        <w:numPr>
          <w:ilvl w:val="0"/>
          <w:numId w:val="2"/>
        </w:numPr>
        <w:spacing w:after="60" w:before="60"/>
      </w:pPr>
      <w:r>
        <w:rPr>
          <w:rFonts w:ascii="Arial" w:cs="Arial" w:eastAsia="Arial" w:hAnsi="Arial"/>
          <w:b w:val="false"/>
          <w:bCs w:val="false"/>
          <w:color w:val="000000"/>
          <w:sz w:val="19"/>
          <w:szCs w:val="19"/>
        </w:rPr>
        <w:t xml:space="preserve">Unique project number assigned; PM is notified</w:t>
      </w:r>
    </w:p>
    <w:p>
      <w:pPr>
        <w:pStyle w:val="ListParagraph"/>
        <w:numPr>
          <w:ilvl w:val="0"/>
          <w:numId w:val="2"/>
        </w:numPr>
        <w:spacing w:after="60" w:before="60"/>
      </w:pPr>
      <w:r>
        <w:rPr>
          <w:rFonts w:ascii="Arial" w:cs="Arial" w:eastAsia="Arial" w:hAnsi="Arial"/>
          <w:b w:val="false"/>
          <w:bCs w:val="false"/>
          <w:color w:val="000000"/>
          <w:sz w:val="19"/>
          <w:szCs w:val="19"/>
        </w:rPr>
        <w:t xml:space="preserve">Client portal activated with project dashboard showing: active projects, progress %, recent updates, and pending approvals</w:t>
      </w:r>
    </w:p>
    <w:p>
      <w:pPr>
        <w:pStyle w:val="ListParagraph"/>
        <w:numPr>
          <w:ilvl w:val="0"/>
          <w:numId w:val="2"/>
        </w:numPr>
        <w:spacing w:after="60" w:before="60"/>
      </w:pPr>
      <w:r>
        <w:rPr>
          <w:rFonts w:ascii="Arial" w:cs="Arial" w:eastAsia="Arial" w:hAnsi="Arial"/>
          <w:b w:val="false"/>
          <w:bCs w:val="false"/>
          <w:color w:val="000000"/>
          <w:sz w:val="19"/>
          <w:szCs w:val="19"/>
        </w:rPr>
        <w:t xml:space="preserve">Client can view and download their documents (proposals, designs, BOQs) from the portal</w:t>
      </w:r>
    </w:p>
    <w:p>
      <w:pPr>
        <w:pStyle w:val="ListParagraph"/>
        <w:numPr>
          <w:ilvl w:val="0"/>
          <w:numId w:val="2"/>
        </w:numPr>
        <w:spacing w:after="60" w:before="60"/>
      </w:pPr>
      <w:r>
        <w:rPr>
          <w:rFonts w:ascii="Arial" w:cs="Arial" w:eastAsia="Arial" w:hAnsi="Arial"/>
          <w:b w:val="false"/>
          <w:bCs w:val="false"/>
          <w:color w:val="000000"/>
          <w:sz w:val="19"/>
          <w:szCs w:val="19"/>
        </w:rPr>
        <w:t xml:space="preserve">Approval items (design sign-offs, variation approvals) surface in a dedicated pending list</w:t>
      </w:r>
    </w:p>
    <w:p>
      <w:pPr>
        <w:pStyle w:val="Heading2"/>
        <w:spacing w:after="120" w:before="200"/>
      </w:pPr>
      <w:r>
        <w:rPr>
          <w:rFonts w:ascii="Arial" w:cs="Arial" w:eastAsia="Arial" w:hAnsi="Arial"/>
          <w:b/>
          <w:bCs/>
          <w:color w:val="1B3A5C"/>
          <w:sz w:val="24"/>
          <w:szCs w:val="24"/>
        </w:rPr>
        <w:t xml:space="preserve">Module 8 — Tasks &amp; Calendar</w:t>
      </w:r>
    </w:p>
    <w:p>
      <w:pPr>
        <w:spacing w:after="80" w:before="80" w:line="276"/>
        <w:jc w:val="left"/>
      </w:pPr>
      <w:r>
        <w:rPr>
          <w:rFonts w:ascii="Arial" w:cs="Arial" w:eastAsia="Arial" w:hAnsi="Arial"/>
          <w:b w:val="false"/>
          <w:bCs w:val="false"/>
          <w:color w:val="000000"/>
          <w:sz w:val="20"/>
          <w:szCs w:val="20"/>
        </w:rPr>
        <w:t xml:space="preserve">Task management for project teams:</w:t>
      </w:r>
    </w:p>
    <w:p>
      <w:pPr>
        <w:pStyle w:val="ListParagraph"/>
        <w:numPr>
          <w:ilvl w:val="0"/>
          <w:numId w:val="2"/>
        </w:numPr>
        <w:spacing w:after="60" w:before="60"/>
      </w:pPr>
      <w:r>
        <w:rPr>
          <w:rFonts w:ascii="Arial" w:cs="Arial" w:eastAsia="Arial" w:hAnsi="Arial"/>
          <w:b w:val="false"/>
          <w:bCs w:val="false"/>
          <w:color w:val="000000"/>
          <w:sz w:val="19"/>
          <w:szCs w:val="19"/>
        </w:rPr>
        <w:t xml:space="preserve">Tasks created with title, description, assignee, due date, priority, category, and attachments</w:t>
      </w:r>
    </w:p>
    <w:p>
      <w:pPr>
        <w:pStyle w:val="ListParagraph"/>
        <w:numPr>
          <w:ilvl w:val="0"/>
          <w:numId w:val="2"/>
        </w:numPr>
        <w:spacing w:after="60" w:before="60"/>
      </w:pPr>
      <w:r>
        <w:rPr>
          <w:rFonts w:ascii="Arial" w:cs="Arial" w:eastAsia="Arial" w:hAnsi="Arial"/>
          <w:b w:val="false"/>
          <w:bCs w:val="false"/>
          <w:color w:val="000000"/>
          <w:sz w:val="19"/>
          <w:szCs w:val="19"/>
        </w:rPr>
        <w:t xml:space="preserve">Status flow: Pending → In Progress → Completed / Blocked</w:t>
      </w:r>
    </w:p>
    <w:p>
      <w:pPr>
        <w:pStyle w:val="ListParagraph"/>
        <w:numPr>
          <w:ilvl w:val="0"/>
          <w:numId w:val="2"/>
        </w:numPr>
        <w:spacing w:after="60" w:before="60"/>
      </w:pPr>
      <w:r>
        <w:rPr>
          <w:rFonts w:ascii="Arial" w:cs="Arial" w:eastAsia="Arial" w:hAnsi="Arial"/>
          <w:b w:val="false"/>
          <w:bCs w:val="false"/>
          <w:color w:val="000000"/>
          <w:sz w:val="19"/>
          <w:szCs w:val="19"/>
        </w:rPr>
        <w:t xml:space="preserve">Views: My Tasks, Team Tasks, Pending, Completed, and Calendar (day/week/month)</w:t>
      </w:r>
    </w:p>
    <w:p>
      <w:pPr>
        <w:pStyle w:val="ListParagraph"/>
        <w:numPr>
          <w:ilvl w:val="0"/>
          <w:numId w:val="2"/>
        </w:numPr>
        <w:spacing w:after="60" w:before="60"/>
      </w:pPr>
      <w:r>
        <w:rPr>
          <w:rFonts w:ascii="Arial" w:cs="Arial" w:eastAsia="Arial" w:hAnsi="Arial"/>
          <w:b w:val="false"/>
          <w:bCs w:val="false"/>
          <w:color w:val="000000"/>
          <w:sz w:val="19"/>
          <w:szCs w:val="19"/>
        </w:rPr>
        <w:t xml:space="preserve">Overdue tasks highlighted and surfaced in PM view</w:t>
      </w:r>
    </w:p>
    <w:p>
      <w:pPr>
        <w:pStyle w:val="ListParagraph"/>
        <w:numPr>
          <w:ilvl w:val="0"/>
          <w:numId w:val="2"/>
        </w:numPr>
        <w:spacing w:after="60" w:before="60"/>
      </w:pPr>
      <w:r>
        <w:rPr>
          <w:rFonts w:ascii="Arial" w:cs="Arial" w:eastAsia="Arial" w:hAnsi="Arial"/>
          <w:b w:val="false"/>
          <w:bCs w:val="false"/>
          <w:color w:val="000000"/>
          <w:sz w:val="19"/>
          <w:szCs w:val="19"/>
        </w:rPr>
        <w:t xml:space="preserve">Task audit report for accountability tracking</w:t>
      </w:r>
    </w:p>
    <w:p>
      <w:pPr>
        <w:pStyle w:val="Heading2"/>
        <w:spacing w:after="120" w:before="200"/>
      </w:pPr>
      <w:r>
        <w:rPr>
          <w:rFonts w:ascii="Arial" w:cs="Arial" w:eastAsia="Arial" w:hAnsi="Arial"/>
          <w:b/>
          <w:bCs/>
          <w:color w:val="1B3A5C"/>
          <w:sz w:val="24"/>
          <w:szCs w:val="24"/>
        </w:rPr>
        <w:t xml:space="preserve">Module 9 — Communication Module</w:t>
      </w:r>
    </w:p>
    <w:p>
      <w:pPr>
        <w:spacing w:after="80" w:before="80" w:line="276"/>
        <w:jc w:val="left"/>
      </w:pPr>
      <w:r>
        <w:rPr>
          <w:rFonts w:ascii="Arial" w:cs="Arial" w:eastAsia="Arial" w:hAnsi="Arial"/>
          <w:b w:val="false"/>
          <w:bCs w:val="false"/>
          <w:color w:val="000000"/>
          <w:sz w:val="20"/>
          <w:szCs w:val="20"/>
        </w:rPr>
        <w:t xml:space="preserve">All project communication is centralised:</w:t>
      </w:r>
    </w:p>
    <w:p>
      <w:pPr>
        <w:pStyle w:val="ListParagraph"/>
        <w:numPr>
          <w:ilvl w:val="0"/>
          <w:numId w:val="2"/>
        </w:numPr>
        <w:spacing w:after="60" w:before="60"/>
      </w:pPr>
      <w:r>
        <w:rPr>
          <w:rFonts w:ascii="Arial" w:cs="Arial" w:eastAsia="Arial" w:hAnsi="Arial"/>
          <w:b w:val="false"/>
          <w:bCs w:val="false"/>
          <w:color w:val="000000"/>
          <w:sz w:val="19"/>
          <w:szCs w:val="19"/>
        </w:rPr>
        <w:t xml:space="preserve">Threaded project chat: all assigned users and a filtered view for clients</w:t>
      </w:r>
    </w:p>
    <w:p>
      <w:pPr>
        <w:pStyle w:val="ListParagraph"/>
        <w:numPr>
          <w:ilvl w:val="0"/>
          <w:numId w:val="2"/>
        </w:numPr>
        <w:spacing w:after="60" w:before="60"/>
      </w:pPr>
      <w:r>
        <w:rPr>
          <w:rFonts w:ascii="Arial" w:cs="Arial" w:eastAsia="Arial" w:hAnsi="Arial"/>
          <w:b w:val="false"/>
          <w:bCs w:val="false"/>
          <w:color w:val="000000"/>
          <w:sz w:val="19"/>
          <w:szCs w:val="19"/>
        </w:rPr>
        <w:t xml:space="preserve">Direct messaging between any two users with unread badge and search</w:t>
      </w:r>
    </w:p>
    <w:p>
      <w:pPr>
        <w:pStyle w:val="ListParagraph"/>
        <w:numPr>
          <w:ilvl w:val="0"/>
          <w:numId w:val="2"/>
        </w:numPr>
        <w:spacing w:after="60" w:before="60"/>
      </w:pPr>
      <w:r>
        <w:rPr>
          <w:rFonts w:ascii="Arial" w:cs="Arial" w:eastAsia="Arial" w:hAnsi="Arial"/>
          <w:b w:val="false"/>
          <w:bCs w:val="false"/>
          <w:color w:val="000000"/>
          <w:sz w:val="19"/>
          <w:szCs w:val="19"/>
        </w:rPr>
        <w:t xml:space="preserve">System email log: every automated email is tracked with delivery status; bounced emails are flagged</w:t>
      </w:r>
    </w:p>
    <w:p>
      <w:pPr>
        <w:pBdr>
          <w:bottom w:val="single" w:color="E8A020" w:sz="6" w:space="4"/>
        </w:pBdr>
        <w:spacing w:after="200" w:before="200"/>
      </w:pPr>
      <w:r>
        <w:rPr>
          <w:rFonts w:ascii="Arial" w:cs="Arial" w:eastAsia="Arial" w:hAnsi="Arial"/>
          <w:b w:val="false"/>
          <w:bCs w:val="false"/>
          <w:color w:val="000000"/>
          <w:sz w:val="20"/>
          <w:szCs w:val="20"/>
        </w:rPr>
        <w:t xml:space="preserve"/>
      </w:r>
    </w:p>
    <w:p>
      <w:pPr>
        <w:pStyle w:val="Heading1"/>
        <w:spacing w:after="120" w:before="320"/>
      </w:pPr>
      <w:r>
        <w:rPr>
          <w:rFonts w:ascii="Arial" w:cs="Arial" w:eastAsia="Arial" w:hAnsi="Arial"/>
          <w:b/>
          <w:bCs/>
          <w:color w:val="1B3A5C"/>
          <w:sz w:val="28"/>
          <w:szCs w:val="28"/>
        </w:rPr>
        <w:t xml:space="preserve">5.  Deliverables</w:t>
      </w:r>
    </w:p>
    <w:p>
      <w:pPr>
        <w:spacing w:after="120" w:before="80" w:line="276"/>
        <w:jc w:val="left"/>
      </w:pPr>
      <w:r>
        <w:rPr>
          <w:rFonts w:ascii="Arial" w:cs="Arial" w:eastAsia="Arial" w:hAnsi="Arial"/>
          <w:b w:val="false"/>
          <w:bCs w:val="false"/>
          <w:color w:val="000000"/>
          <w:sz w:val="20"/>
          <w:szCs w:val="20"/>
        </w:rPr>
        <w:t xml:space="preserve">The following deliverables will be provided upon successful completion of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200"/>
        <w:gridCol w:w="2800"/>
      </w:tblGrid>
      <w:tr>
        <w:trPr>
          <w:tblHeader/>
        </w:trPr>
        <w:tc>
          <w:tcPr>
            <w:tcW w:type="dxa" w:w="4360"/>
            <w:tcBorders>
              <w:top w:val="single" w:color="1B3A5C" w:sz="8"/>
              <w:left w:val="single" w:color="1B3A5C" w:sz="8"/>
              <w:bottom w:val="single" w:color="1B3A5C" w:sz="8"/>
              <w:right w:val="single" w:color="1B3A5C" w:sz="8"/>
            </w:tcBorders>
            <w:shd w:fill="1B3A5C" w:val="clear"/>
            <w:tcMar>
              <w:top w:type="dxa" w:w="100"/>
              <w:left w:type="dxa" w:w="140"/>
              <w:bottom w:type="dxa" w:w="100"/>
              <w:right w:type="dxa" w:w="140"/>
            </w:tcMar>
            <w:vAlign w:val="top"/>
          </w:tcPr>
          <w:p>
            <w:pPr>
              <w:spacing w:after="60" w:before="60" w:line="276"/>
              <w:jc w:val="left"/>
            </w:pPr>
            <w:r>
              <w:rPr>
                <w:rFonts w:ascii="Arial" w:cs="Arial" w:eastAsia="Arial" w:hAnsi="Arial"/>
                <w:b/>
                <w:bCs/>
                <w:color w:val="FFFFFF"/>
                <w:sz w:val="18"/>
                <w:szCs w:val="18"/>
              </w:rPr>
              <w:t xml:space="preserve">Deliverable</w:t>
            </w:r>
          </w:p>
        </w:tc>
        <w:tc>
          <w:tcPr>
            <w:tcW w:type="dxa" w:w="2200"/>
            <w:tcBorders>
              <w:top w:val="single" w:color="1B3A5C" w:sz="8"/>
              <w:left w:val="single" w:color="1B3A5C" w:sz="8"/>
              <w:bottom w:val="single" w:color="1B3A5C" w:sz="8"/>
              <w:right w:val="single" w:color="1B3A5C" w:sz="8"/>
            </w:tcBorders>
            <w:shd w:fill="1B3A5C" w:val="clear"/>
            <w:tcMar>
              <w:top w:type="dxa" w:w="100"/>
              <w:left w:type="dxa" w:w="140"/>
              <w:bottom w:type="dxa" w:w="100"/>
              <w:right w:type="dxa" w:w="140"/>
            </w:tcMar>
            <w:vAlign w:val="top"/>
          </w:tcPr>
          <w:p>
            <w:pPr>
              <w:spacing w:after="60" w:before="60" w:line="276"/>
              <w:jc w:val="left"/>
            </w:pPr>
            <w:r>
              <w:rPr>
                <w:rFonts w:ascii="Arial" w:cs="Arial" w:eastAsia="Arial" w:hAnsi="Arial"/>
                <w:b/>
                <w:bCs/>
                <w:color w:val="FFFFFF"/>
                <w:sz w:val="18"/>
                <w:szCs w:val="18"/>
              </w:rPr>
              <w:t xml:space="preserve">Format</w:t>
            </w:r>
          </w:p>
        </w:tc>
        <w:tc>
          <w:tcPr>
            <w:tcW w:type="dxa" w:w="2800"/>
            <w:tcBorders>
              <w:top w:val="single" w:color="1B3A5C" w:sz="8"/>
              <w:left w:val="single" w:color="1B3A5C" w:sz="8"/>
              <w:bottom w:val="single" w:color="1B3A5C" w:sz="8"/>
              <w:right w:val="single" w:color="1B3A5C" w:sz="8"/>
            </w:tcBorders>
            <w:shd w:fill="1B3A5C" w:val="clear"/>
            <w:tcMar>
              <w:top w:type="dxa" w:w="100"/>
              <w:left w:type="dxa" w:w="140"/>
              <w:bottom w:type="dxa" w:w="100"/>
              <w:right w:type="dxa" w:w="140"/>
            </w:tcMar>
            <w:vAlign w:val="top"/>
          </w:tcPr>
          <w:p>
            <w:pPr>
              <w:spacing w:after="60" w:before="60" w:line="276"/>
              <w:jc w:val="left"/>
            </w:pPr>
            <w:r>
              <w:rPr>
                <w:rFonts w:ascii="Arial" w:cs="Arial" w:eastAsia="Arial" w:hAnsi="Arial"/>
                <w:b/>
                <w:bCs/>
                <w:color w:val="FFFFFF"/>
                <w:sz w:val="18"/>
                <w:szCs w:val="18"/>
              </w:rPr>
              <w:t xml:space="preserve">Responsibility</w:t>
            </w:r>
          </w:p>
        </w:tc>
      </w:tr>
      <w:tr>
        <w:tc>
          <w:tcPr>
            <w:tcW w:type="dxa" w:w="436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Deployed web application (Phase 1 modules live)</w:t>
            </w:r>
          </w:p>
        </w:tc>
        <w:tc>
          <w:tcPr>
            <w:tcW w:type="dxa" w:w="220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Hosted URL</w:t>
            </w:r>
          </w:p>
        </w:tc>
        <w:tc>
          <w:tcPr>
            <w:tcW w:type="dxa" w:w="280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One Path</w:t>
            </w:r>
          </w:p>
        </w:tc>
      </w:tr>
      <w:tr>
        <w:tc>
          <w:tcPr>
            <w:tcW w:type="dxa" w:w="4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Super admin panel with tenant and subscription management</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Web application</w:t>
            </w:r>
          </w:p>
        </w:tc>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One Path</w:t>
            </w:r>
          </w:p>
        </w:tc>
      </w:tr>
      <w:tr>
        <w:tc>
          <w:tcPr>
            <w:tcW w:type="dxa" w:w="436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Role-based user portals (Admin, PM, Designer, QAS, Finance, Subcontractor, Client)</w:t>
            </w:r>
          </w:p>
        </w:tc>
        <w:tc>
          <w:tcPr>
            <w:tcW w:type="dxa" w:w="220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Web application</w:t>
            </w:r>
          </w:p>
        </w:tc>
        <w:tc>
          <w:tcPr>
            <w:tcW w:type="dxa" w:w="280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One Path</w:t>
            </w:r>
          </w:p>
        </w:tc>
      </w:tr>
      <w:tr>
        <w:tc>
          <w:tcPr>
            <w:tcW w:type="dxa" w:w="4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CRM &amp; Lead pipeline with full status workflow</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Web application</w:t>
            </w:r>
          </w:p>
        </w:tc>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One Path</w:t>
            </w:r>
          </w:p>
        </w:tc>
      </w:tr>
      <w:tr>
        <w:tc>
          <w:tcPr>
            <w:tcW w:type="dxa" w:w="436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Site visit module with checklist builder and location pinning</w:t>
            </w:r>
          </w:p>
        </w:tc>
        <w:tc>
          <w:tcPr>
            <w:tcW w:type="dxa" w:w="220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Web application</w:t>
            </w:r>
          </w:p>
        </w:tc>
        <w:tc>
          <w:tcPr>
            <w:tcW w:type="dxa" w:w="280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One Path</w:t>
            </w:r>
          </w:p>
        </w:tc>
      </w:tr>
      <w:tr>
        <w:tc>
          <w:tcPr>
            <w:tcW w:type="dxa" w:w="4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Design module with deliverable uploads, revision control, and client approval</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Web application</w:t>
            </w:r>
          </w:p>
        </w:tc>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One Path</w:t>
            </w:r>
          </w:p>
        </w:tc>
      </w:tr>
      <w:tr>
        <w:tc>
          <w:tcPr>
            <w:tcW w:type="dxa" w:w="436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BOQ builder with subcontractor RFQ response and comparison</w:t>
            </w:r>
          </w:p>
        </w:tc>
        <w:tc>
          <w:tcPr>
            <w:tcW w:type="dxa" w:w="220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Web application</w:t>
            </w:r>
          </w:p>
        </w:tc>
        <w:tc>
          <w:tcPr>
            <w:tcW w:type="dxa" w:w="280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One Path</w:t>
            </w:r>
          </w:p>
        </w:tc>
      </w:tr>
      <w:tr>
        <w:tc>
          <w:tcPr>
            <w:tcW w:type="dxa" w:w="4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Proposal &amp; Estimation module with AI cover letter and email tracking</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Web application</w:t>
            </w:r>
          </w:p>
        </w:tc>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One Path</w:t>
            </w:r>
          </w:p>
        </w:tc>
      </w:tr>
      <w:tr>
        <w:tc>
          <w:tcPr>
            <w:tcW w:type="dxa" w:w="436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Project creation and basic client portal</w:t>
            </w:r>
          </w:p>
        </w:tc>
        <w:tc>
          <w:tcPr>
            <w:tcW w:type="dxa" w:w="220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Web application</w:t>
            </w:r>
          </w:p>
        </w:tc>
        <w:tc>
          <w:tcPr>
            <w:tcW w:type="dxa" w:w="280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One Path</w:t>
            </w:r>
          </w:p>
        </w:tc>
      </w:tr>
      <w:tr>
        <w:tc>
          <w:tcPr>
            <w:tcW w:type="dxa" w:w="4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Task management with calendar view</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Web application</w:t>
            </w:r>
          </w:p>
        </w:tc>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One Path</w:t>
            </w:r>
          </w:p>
        </w:tc>
      </w:tr>
      <w:tr>
        <w:tc>
          <w:tcPr>
            <w:tcW w:type="dxa" w:w="436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In-app communication threads and email log</w:t>
            </w:r>
          </w:p>
        </w:tc>
        <w:tc>
          <w:tcPr>
            <w:tcW w:type="dxa" w:w="220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Web application</w:t>
            </w:r>
          </w:p>
        </w:tc>
        <w:tc>
          <w:tcPr>
            <w:tcW w:type="dxa" w:w="280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One Path</w:t>
            </w:r>
          </w:p>
        </w:tc>
      </w:tr>
      <w:tr>
        <w:tc>
          <w:tcPr>
            <w:tcW w:type="dxa" w:w="4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Source code repository (private)</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Git repository</w:t>
            </w:r>
          </w:p>
        </w:tc>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One Path</w:t>
            </w:r>
          </w:p>
        </w:tc>
      </w:tr>
      <w:tr>
        <w:tc>
          <w:tcPr>
            <w:tcW w:type="dxa" w:w="436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Technical documentation and API reference</w:t>
            </w:r>
          </w:p>
        </w:tc>
        <w:tc>
          <w:tcPr>
            <w:tcW w:type="dxa" w:w="220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PDF / Confluence</w:t>
            </w:r>
          </w:p>
        </w:tc>
        <w:tc>
          <w:tcPr>
            <w:tcW w:type="dxa" w:w="280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One Path</w:t>
            </w:r>
          </w:p>
        </w:tc>
      </w:tr>
      <w:tr>
        <w:tc>
          <w:tcPr>
            <w:tcW w:type="dxa" w:w="4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User acceptance testing (UAT) support — up to 10 business days</w:t>
            </w:r>
          </w:p>
        </w:tc>
        <w:tc>
          <w:tcPr>
            <w:tcW w:type="dxa" w:w="2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Sessions</w:t>
            </w:r>
          </w:p>
        </w:tc>
        <w:tc>
          <w:tcPr>
            <w:tcW w:type="dxa" w:w="28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One Path + Client</w:t>
            </w:r>
          </w:p>
        </w:tc>
      </w:tr>
      <w:tr>
        <w:tc>
          <w:tcPr>
            <w:tcW w:type="dxa" w:w="436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Bug-fix period post-UAT — 30 calendar days</w:t>
            </w:r>
          </w:p>
        </w:tc>
        <w:tc>
          <w:tcPr>
            <w:tcW w:type="dxa" w:w="220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Support</w:t>
            </w:r>
          </w:p>
        </w:tc>
        <w:tc>
          <w:tcPr>
            <w:tcW w:type="dxa" w:w="280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One Path</w:t>
            </w:r>
          </w:p>
        </w:tc>
      </w:tr>
    </w:tbl>
    <w:p>
      <w:pPr>
        <w:pBdr>
          <w:bottom w:val="single" w:color="E8A020" w:sz="6" w:space="4"/>
        </w:pBdr>
        <w:spacing w:after="200" w:before="200"/>
      </w:pPr>
      <w:r>
        <w:rPr>
          <w:rFonts w:ascii="Arial" w:cs="Arial" w:eastAsia="Arial" w:hAnsi="Arial"/>
          <w:b w:val="false"/>
          <w:bCs w:val="false"/>
          <w:color w:val="000000"/>
          <w:sz w:val="20"/>
          <w:szCs w:val="20"/>
        </w:rPr>
        <w:t xml:space="preserve"/>
      </w:r>
    </w:p>
    <w:p>
      <w:pPr>
        <w:pStyle w:val="Heading1"/>
        <w:spacing w:after="120" w:before="320"/>
      </w:pPr>
      <w:r>
        <w:rPr>
          <w:rFonts w:ascii="Arial" w:cs="Arial" w:eastAsia="Arial" w:hAnsi="Arial"/>
          <w:b/>
          <w:bCs/>
          <w:color w:val="1B3A5C"/>
          <w:sz w:val="28"/>
          <w:szCs w:val="28"/>
        </w:rPr>
        <w:t xml:space="preserve">6.  What Is Not in Scope — Phase 1</w:t>
      </w:r>
    </w:p>
    <w:p>
      <w:pPr>
        <w:spacing w:after="80" w:before="80" w:line="276"/>
        <w:jc w:val="left"/>
      </w:pPr>
      <w:r>
        <w:rPr>
          <w:rFonts w:ascii="Arial" w:cs="Arial" w:eastAsia="Arial" w:hAnsi="Arial"/>
          <w:b w:val="false"/>
          <w:bCs w:val="false"/>
          <w:color w:val="000000"/>
          <w:sz w:val="20"/>
          <w:szCs w:val="20"/>
        </w:rPr>
        <w:t xml:space="preserve">The following items are explicitly excluded from Phase 1 and will be addressed in subsequent phases or via separate agreements:</w:t>
      </w:r>
    </w:p>
    <w:p>
      <w:pPr>
        <w:pStyle w:val="ListParagraph"/>
        <w:numPr>
          <w:ilvl w:val="0"/>
          <w:numId w:val="2"/>
        </w:numPr>
        <w:spacing w:after="60" w:before="60"/>
      </w:pPr>
      <w:r>
        <w:rPr>
          <w:rFonts w:ascii="Arial" w:cs="Arial" w:eastAsia="Arial" w:hAnsi="Arial"/>
          <w:b w:val="false"/>
          <w:bCs w:val="false"/>
          <w:color w:val="000000"/>
          <w:sz w:val="19"/>
          <w:szCs w:val="19"/>
        </w:rPr>
        <w:t xml:space="preserve">Gantt chart, resource management, and scheduling (Phase 2)</w:t>
      </w:r>
    </w:p>
    <w:p>
      <w:pPr>
        <w:pStyle w:val="ListParagraph"/>
        <w:numPr>
          <w:ilvl w:val="0"/>
          <w:numId w:val="2"/>
        </w:numPr>
        <w:spacing w:after="60" w:before="60"/>
      </w:pPr>
      <w:r>
        <w:rPr>
          <w:rFonts w:ascii="Arial" w:cs="Arial" w:eastAsia="Arial" w:hAnsi="Arial"/>
          <w:b w:val="false"/>
          <w:bCs w:val="false"/>
          <w:color w:val="000000"/>
          <w:sz w:val="19"/>
          <w:szCs w:val="19"/>
        </w:rPr>
        <w:t xml:space="preserve">Subcontractor progress tracking and purchase orders (Phase 2)</w:t>
      </w:r>
    </w:p>
    <w:p>
      <w:pPr>
        <w:pStyle w:val="ListParagraph"/>
        <w:numPr>
          <w:ilvl w:val="0"/>
          <w:numId w:val="2"/>
        </w:numPr>
        <w:spacing w:after="60" w:before="60"/>
      </w:pPr>
      <w:r>
        <w:rPr>
          <w:rFonts w:ascii="Arial" w:cs="Arial" w:eastAsia="Arial" w:hAnsi="Arial"/>
          <w:b w:val="false"/>
          <w:bCs w:val="false"/>
          <w:color w:val="000000"/>
          <w:sz w:val="19"/>
          <w:szCs w:val="19"/>
        </w:rPr>
        <w:t xml:space="preserve">Snag management and document library (Phase 2)</w:t>
      </w:r>
    </w:p>
    <w:p>
      <w:pPr>
        <w:pStyle w:val="ListParagraph"/>
        <w:numPr>
          <w:ilvl w:val="0"/>
          <w:numId w:val="2"/>
        </w:numPr>
        <w:spacing w:after="60" w:before="60"/>
      </w:pPr>
      <w:r>
        <w:rPr>
          <w:rFonts w:ascii="Arial" w:cs="Arial" w:eastAsia="Arial" w:hAnsi="Arial"/>
          <w:b w:val="false"/>
          <w:bCs w:val="false"/>
          <w:color w:val="000000"/>
          <w:sz w:val="19"/>
          <w:szCs w:val="19"/>
        </w:rPr>
        <w:t xml:space="preserve">Milestone-based billing and payment request workflows (Phase 2)</w:t>
      </w:r>
    </w:p>
    <w:p>
      <w:pPr>
        <w:pStyle w:val="ListParagraph"/>
        <w:numPr>
          <w:ilvl w:val="0"/>
          <w:numId w:val="2"/>
        </w:numPr>
        <w:spacing w:after="60" w:before="60"/>
      </w:pPr>
      <w:r>
        <w:rPr>
          <w:rFonts w:ascii="Arial" w:cs="Arial" w:eastAsia="Arial" w:hAnsi="Arial"/>
          <w:b w:val="false"/>
          <w:bCs w:val="false"/>
          <w:color w:val="000000"/>
          <w:sz w:val="19"/>
          <w:szCs w:val="19"/>
        </w:rPr>
        <w:t xml:space="preserve">Variation / change request management (Phase 3)</w:t>
      </w:r>
    </w:p>
    <w:p>
      <w:pPr>
        <w:pStyle w:val="ListParagraph"/>
        <w:numPr>
          <w:ilvl w:val="0"/>
          <w:numId w:val="2"/>
        </w:numPr>
        <w:spacing w:after="60" w:before="60"/>
      </w:pPr>
      <w:r>
        <w:rPr>
          <w:rFonts w:ascii="Arial" w:cs="Arial" w:eastAsia="Arial" w:hAnsi="Arial"/>
          <w:b w:val="false"/>
          <w:bCs w:val="false"/>
          <w:color w:val="000000"/>
          <w:sz w:val="19"/>
          <w:szCs w:val="19"/>
        </w:rPr>
        <w:t xml:space="preserve">QuickBooks or other accounting system integration (Phase 3)</w:t>
      </w:r>
    </w:p>
    <w:p>
      <w:pPr>
        <w:pStyle w:val="ListParagraph"/>
        <w:numPr>
          <w:ilvl w:val="0"/>
          <w:numId w:val="2"/>
        </w:numPr>
        <w:spacing w:after="60" w:before="60"/>
      </w:pPr>
      <w:r>
        <w:rPr>
          <w:rFonts w:ascii="Arial" w:cs="Arial" w:eastAsia="Arial" w:hAnsi="Arial"/>
          <w:b w:val="false"/>
          <w:bCs w:val="false"/>
          <w:color w:val="000000"/>
          <w:sz w:val="19"/>
          <w:szCs w:val="19"/>
        </w:rPr>
        <w:t xml:space="preserve">Profit &amp; loss analysis and advanced financial reporting (Phase 3)</w:t>
      </w:r>
    </w:p>
    <w:p>
      <w:pPr>
        <w:pStyle w:val="ListParagraph"/>
        <w:numPr>
          <w:ilvl w:val="0"/>
          <w:numId w:val="2"/>
        </w:numPr>
        <w:spacing w:after="60" w:before="60"/>
      </w:pPr>
      <w:r>
        <w:rPr>
          <w:rFonts w:ascii="Arial" w:cs="Arial" w:eastAsia="Arial" w:hAnsi="Arial"/>
          <w:b w:val="false"/>
          <w:bCs w:val="false"/>
          <w:color w:val="000000"/>
          <w:sz w:val="19"/>
          <w:szCs w:val="19"/>
        </w:rPr>
        <w:t xml:space="preserve">Mobile native application (iOS / Android) — web-responsive only in Phase 1</w:t>
      </w:r>
    </w:p>
    <w:p>
      <w:pPr>
        <w:pStyle w:val="ListParagraph"/>
        <w:numPr>
          <w:ilvl w:val="0"/>
          <w:numId w:val="2"/>
        </w:numPr>
        <w:spacing w:after="60" w:before="60"/>
      </w:pPr>
      <w:r>
        <w:rPr>
          <w:rFonts w:ascii="Arial" w:cs="Arial" w:eastAsia="Arial" w:hAnsi="Arial"/>
          <w:b w:val="false"/>
          <w:bCs w:val="false"/>
          <w:color w:val="000000"/>
          <w:sz w:val="19"/>
          <w:szCs w:val="19"/>
        </w:rPr>
        <w:t xml:space="preserve">Third-party payment gateway integration for client invoice payment</w:t>
      </w:r>
    </w:p>
    <w:p>
      <w:pPr>
        <w:pStyle w:val="ListParagraph"/>
        <w:numPr>
          <w:ilvl w:val="0"/>
          <w:numId w:val="2"/>
        </w:numPr>
        <w:spacing w:after="60" w:before="60"/>
      </w:pPr>
      <w:r>
        <w:rPr>
          <w:rFonts w:ascii="Arial" w:cs="Arial" w:eastAsia="Arial" w:hAnsi="Arial"/>
          <w:b w:val="false"/>
          <w:bCs w:val="false"/>
          <w:color w:val="000000"/>
          <w:sz w:val="19"/>
          <w:szCs w:val="19"/>
        </w:rPr>
        <w:t xml:space="preserve">Languages other than English (Arabic localisation to be agreed separately)</w:t>
      </w:r>
    </w:p>
    <w:p>
      <w:pPr>
        <w:pBdr>
          <w:bottom w:val="single" w:color="E8A020" w:sz="6" w:space="4"/>
        </w:pBdr>
        <w:spacing w:after="200" w:before="200"/>
      </w:pPr>
      <w:r>
        <w:rPr>
          <w:rFonts w:ascii="Arial" w:cs="Arial" w:eastAsia="Arial" w:hAnsi="Arial"/>
          <w:b w:val="false"/>
          <w:bCs w:val="false"/>
          <w:color w:val="000000"/>
          <w:sz w:val="20"/>
          <w:szCs w:val="20"/>
        </w:rPr>
        <w:t xml:space="preserve"/>
      </w:r>
    </w:p>
    <w:p>
      <w:pPr>
        <w:pStyle w:val="Heading1"/>
        <w:spacing w:after="120" w:before="320"/>
      </w:pPr>
      <w:r>
        <w:rPr>
          <w:rFonts w:ascii="Arial" w:cs="Arial" w:eastAsia="Arial" w:hAnsi="Arial"/>
          <w:b/>
          <w:bCs/>
          <w:color w:val="1B3A5C"/>
          <w:sz w:val="28"/>
          <w:szCs w:val="28"/>
        </w:rPr>
        <w:t xml:space="preserve">7.  Assumptions &amp; Client Obligations</w:t>
      </w:r>
    </w:p>
    <w:p>
      <w:pPr>
        <w:spacing w:after="120" w:before="80" w:line="276"/>
        <w:jc w:val="left"/>
      </w:pPr>
      <w:r>
        <w:rPr>
          <w:rFonts w:ascii="Arial" w:cs="Arial" w:eastAsia="Arial" w:hAnsi="Arial"/>
          <w:b w:val="false"/>
          <w:bCs w:val="false"/>
          <w:color w:val="000000"/>
          <w:sz w:val="20"/>
          <w:szCs w:val="20"/>
        </w:rPr>
        <w:t xml:space="preserve">One Path's delivery of Phase 1 is conditional on the following assumptions. If any assumption proves incorrect or if the client's obligations below are not met, One Path reserves the right to adjust the timeline and/or cost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DDDDD" w:sz="4"/>
              <w:left w:val="single" w:color="DDDDDD" w:sz="4"/>
              <w:bottom w:val="single" w:color="DDDDDD" w:sz="4"/>
              <w:right w:val="single" w:color="DDDDDD" w:sz="4"/>
            </w:tcBorders>
            <w:shd w:fill="EAF1F8"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1</w:t>
            </w:r>
          </w:p>
        </w:tc>
        <w:tc>
          <w:tcPr>
            <w:tcW w:type="dxa" w:w="864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The client will provide timely feedback and approvals during UAT within the agreed windows.</w:t>
            </w:r>
          </w:p>
        </w:tc>
      </w:tr>
      <w:tr>
        <w:tc>
          <w:tcPr>
            <w:tcW w:type="dxa" w:w="720"/>
            <w:tcBorders>
              <w:top w:val="single" w:color="DDDDDD" w:sz="4"/>
              <w:left w:val="single" w:color="DDDDDD" w:sz="4"/>
              <w:bottom w:val="single" w:color="DDDDDD" w:sz="4"/>
              <w:right w:val="single" w:color="DDDDDD" w:sz="4"/>
            </w:tcBorders>
            <w:shd w:fill="EAF1F8"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2</w:t>
            </w:r>
          </w:p>
        </w:tc>
        <w:tc>
          <w:tcPr>
            <w:tcW w:type="dxa" w:w="864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Access to required third-party credentials (email SMTP, map API key) will be provided by the client before development of dependent modules begins.</w:t>
            </w:r>
          </w:p>
        </w:tc>
      </w:tr>
      <w:tr>
        <w:tc>
          <w:tcPr>
            <w:tcW w:type="dxa" w:w="720"/>
            <w:tcBorders>
              <w:top w:val="single" w:color="DDDDDD" w:sz="4"/>
              <w:left w:val="single" w:color="DDDDDD" w:sz="4"/>
              <w:bottom w:val="single" w:color="DDDDDD" w:sz="4"/>
              <w:right w:val="single" w:color="DDDDDD" w:sz="4"/>
            </w:tcBorders>
            <w:shd w:fill="EAF1F8"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3</w:t>
            </w:r>
          </w:p>
        </w:tc>
        <w:tc>
          <w:tcPr>
            <w:tcW w:type="dxa" w:w="864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Content (company logo, brand colours, terms and conditions text) will be supplied by the client within 5 business days of project kick-off.</w:t>
            </w:r>
          </w:p>
        </w:tc>
      </w:tr>
      <w:tr>
        <w:tc>
          <w:tcPr>
            <w:tcW w:type="dxa" w:w="720"/>
            <w:tcBorders>
              <w:top w:val="single" w:color="DDDDDD" w:sz="4"/>
              <w:left w:val="single" w:color="DDDDDD" w:sz="4"/>
              <w:bottom w:val="single" w:color="DDDDDD" w:sz="4"/>
              <w:right w:val="single" w:color="DDDDDD" w:sz="4"/>
            </w:tcBorders>
            <w:shd w:fill="EAF1F8"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4</w:t>
            </w:r>
          </w:p>
        </w:tc>
        <w:tc>
          <w:tcPr>
            <w:tcW w:type="dxa" w:w="864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Phase 1 scope is as described in this document. Any additional features or changes to described functionality will be assessed as change requests and may affect timeline and cost.</w:t>
            </w:r>
          </w:p>
        </w:tc>
      </w:tr>
      <w:tr>
        <w:tc>
          <w:tcPr>
            <w:tcW w:type="dxa" w:w="720"/>
            <w:tcBorders>
              <w:top w:val="single" w:color="DDDDDD" w:sz="4"/>
              <w:left w:val="single" w:color="DDDDDD" w:sz="4"/>
              <w:bottom w:val="single" w:color="DDDDDD" w:sz="4"/>
              <w:right w:val="single" w:color="DDDDDD" w:sz="4"/>
            </w:tcBorders>
            <w:shd w:fill="EAF1F8"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5</w:t>
            </w:r>
          </w:p>
        </w:tc>
        <w:tc>
          <w:tcPr>
            <w:tcW w:type="dxa" w:w="864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The subscription and billing engine for tenants (Stripe / payment gateway integration) is not in scope for Phase 1 unless explicitly agreed in writing.</w:t>
            </w:r>
          </w:p>
        </w:tc>
      </w:tr>
      <w:tr>
        <w:tc>
          <w:tcPr>
            <w:tcW w:type="dxa" w:w="720"/>
            <w:tcBorders>
              <w:top w:val="single" w:color="DDDDDD" w:sz="4"/>
              <w:left w:val="single" w:color="DDDDDD" w:sz="4"/>
              <w:bottom w:val="single" w:color="DDDDDD" w:sz="4"/>
              <w:right w:val="single" w:color="DDDDDD" w:sz="4"/>
            </w:tcBorders>
            <w:shd w:fill="EAF1F8"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6</w:t>
            </w:r>
          </w:p>
        </w:tc>
        <w:tc>
          <w:tcPr>
            <w:tcW w:type="dxa" w:w="864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The client will nominate a single point of contact with authority to provide approvals and sign off on deliverables.</w:t>
            </w:r>
          </w:p>
        </w:tc>
      </w:tr>
      <w:tr>
        <w:tc>
          <w:tcPr>
            <w:tcW w:type="dxa" w:w="720"/>
            <w:tcBorders>
              <w:top w:val="single" w:color="DDDDDD" w:sz="4"/>
              <w:left w:val="single" w:color="DDDDDD" w:sz="4"/>
              <w:bottom w:val="single" w:color="DDDDDD" w:sz="4"/>
              <w:right w:val="single" w:color="DDDDDD" w:sz="4"/>
            </w:tcBorders>
            <w:shd w:fill="EAF1F8"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7</w:t>
            </w:r>
          </w:p>
        </w:tc>
        <w:tc>
          <w:tcPr>
            <w:tcW w:type="dxa" w:w="864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Hosting infrastructure costs (cloud server, domain, SSL) are not included in the development fee and will be agreed separately.</w:t>
            </w:r>
          </w:p>
        </w:tc>
      </w:tr>
      <w:tr>
        <w:tc>
          <w:tcPr>
            <w:tcW w:type="dxa" w:w="720"/>
            <w:tcBorders>
              <w:top w:val="single" w:color="DDDDDD" w:sz="4"/>
              <w:left w:val="single" w:color="DDDDDD" w:sz="4"/>
              <w:bottom w:val="single" w:color="DDDDDD" w:sz="4"/>
              <w:right w:val="single" w:color="DDDDDD" w:sz="4"/>
            </w:tcBorders>
            <w:shd w:fill="EAF1F8"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8</w:t>
            </w:r>
          </w:p>
        </w:tc>
        <w:tc>
          <w:tcPr>
            <w:tcW w:type="dxa" w:w="864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The AI-assisted proposal cover letter feature uses the OpenAI API; API usage costs are billed at cost to the client or a fixed allowance is agreed in advance.</w:t>
            </w:r>
          </w:p>
        </w:tc>
      </w:tr>
      <w:tr>
        <w:tc>
          <w:tcPr>
            <w:tcW w:type="dxa" w:w="720"/>
            <w:tcBorders>
              <w:top w:val="single" w:color="DDDDDD" w:sz="4"/>
              <w:left w:val="single" w:color="DDDDDD" w:sz="4"/>
              <w:bottom w:val="single" w:color="DDDDDD" w:sz="4"/>
              <w:right w:val="single" w:color="DDDDDD" w:sz="4"/>
            </w:tcBorders>
            <w:shd w:fill="EAF1F8"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9</w:t>
            </w:r>
          </w:p>
        </w:tc>
        <w:tc>
          <w:tcPr>
            <w:tcW w:type="dxa" w:w="864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Languages and localisations beyond English (and Arabic if agreed) are out of scope for Phase 1.</w:t>
            </w:r>
          </w:p>
        </w:tc>
      </w:tr>
      <w:tr>
        <w:tc>
          <w:tcPr>
            <w:tcW w:type="dxa" w:w="720"/>
            <w:tcBorders>
              <w:top w:val="single" w:color="DDDDDD" w:sz="4"/>
              <w:left w:val="single" w:color="DDDDDD" w:sz="4"/>
              <w:bottom w:val="single" w:color="DDDDDD" w:sz="4"/>
              <w:right w:val="single" w:color="DDDDDD" w:sz="4"/>
            </w:tcBorders>
            <w:shd w:fill="EAF1F8" w:val="clear"/>
            <w:tcMar>
              <w:top w:type="dxa" w:w="100"/>
              <w:left w:type="dxa" w:w="140"/>
              <w:bottom w:type="dxa" w:w="100"/>
              <w:right w:type="dxa" w:w="140"/>
            </w:tcMar>
            <w:vAlign w:val="top"/>
          </w:tcPr>
          <w:p>
            <w:pPr>
              <w:spacing w:after="60" w:before="60" w:line="276"/>
              <w:jc w:val="left"/>
            </w:pPr>
            <w:r>
              <w:rPr>
                <w:rFonts w:ascii="Arial" w:cs="Arial" w:eastAsia="Arial" w:hAnsi="Arial"/>
                <w:b/>
                <w:bCs/>
                <w:color w:val="1B3A5C"/>
                <w:sz w:val="19"/>
                <w:szCs w:val="19"/>
              </w:rPr>
              <w:t xml:space="preserve">10</w:t>
            </w:r>
          </w:p>
        </w:tc>
        <w:tc>
          <w:tcPr>
            <w:tcW w:type="dxa" w:w="8640"/>
            <w:tcBorders>
              <w:top w:val="single" w:color="DDDDDD" w:sz="4"/>
              <w:left w:val="single" w:color="DDDDDD" w:sz="4"/>
              <w:bottom w:val="single" w:color="DDDDDD" w:sz="4"/>
              <w:right w:val="single" w:color="DDDDDD" w:sz="4"/>
            </w:tcBorders>
            <w:shd w:fill="F5F7FA" w:val="clear"/>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222222"/>
                <w:sz w:val="19"/>
                <w:szCs w:val="19"/>
              </w:rPr>
              <w:t xml:space="preserve">Integrations with third-party accounting packages (e.g. QuickBooks) are scoped in Phase 3 and are not part of this sign-off.</w:t>
            </w:r>
          </w:p>
        </w:tc>
      </w:tr>
    </w:tbl>
    <w:p>
      <w:pPr>
        <w:pBdr>
          <w:bottom w:val="single" w:color="E8A020" w:sz="6" w:space="4"/>
        </w:pBdr>
        <w:spacing w:after="200" w:before="200"/>
      </w:pPr>
      <w:r>
        <w:rPr>
          <w:rFonts w:ascii="Arial" w:cs="Arial" w:eastAsia="Arial" w:hAnsi="Arial"/>
          <w:b w:val="false"/>
          <w:bCs w:val="false"/>
          <w:color w:val="000000"/>
          <w:sz w:val="20"/>
          <w:szCs w:val="20"/>
        </w:rPr>
        <w:t xml:space="preserve"/>
      </w:r>
    </w:p>
    <w:p>
      <w:pPr>
        <w:pStyle w:val="Heading1"/>
        <w:spacing w:after="120" w:before="320"/>
      </w:pPr>
      <w:r>
        <w:rPr>
          <w:rFonts w:ascii="Arial" w:cs="Arial" w:eastAsia="Arial" w:hAnsi="Arial"/>
          <w:b/>
          <w:bCs/>
          <w:color w:val="1B3A5C"/>
          <w:sz w:val="28"/>
          <w:szCs w:val="28"/>
        </w:rPr>
        <w:t xml:space="preserve">8.  Change Management</w:t>
      </w:r>
    </w:p>
    <w:p>
      <w:pPr>
        <w:spacing w:after="80" w:before="80" w:line="276"/>
        <w:jc w:val="left"/>
      </w:pPr>
      <w:r>
        <w:rPr>
          <w:rFonts w:ascii="Arial" w:cs="Arial" w:eastAsia="Arial" w:hAnsi="Arial"/>
          <w:b w:val="false"/>
          <w:bCs w:val="false"/>
          <w:color w:val="000000"/>
          <w:sz w:val="20"/>
          <w:szCs w:val="20"/>
        </w:rPr>
        <w:t xml:space="preserve">Any request to add, remove, or materially alter a feature described in this document after sign-off will be treated as a change request. One Path will provide a written impact assessment covering additional cost and timeline before any change is actioned. No change will be implemented without written client approval.</w:t>
      </w:r>
    </w:p>
    <w:p>
      <w:pPr>
        <w:pBdr>
          <w:bottom w:val="single" w:color="E8A020" w:sz="6" w:space="4"/>
        </w:pBdr>
        <w:spacing w:after="200" w:before="200"/>
      </w:pPr>
      <w:r>
        <w:rPr>
          <w:rFonts w:ascii="Arial" w:cs="Arial" w:eastAsia="Arial" w:hAnsi="Arial"/>
          <w:b w:val="false"/>
          <w:bCs w:val="false"/>
          <w:color w:val="000000"/>
          <w:sz w:val="20"/>
          <w:szCs w:val="20"/>
        </w:rPr>
        <w:t xml:space="preserve"/>
      </w:r>
    </w:p>
    <w:p>
      <w:pPr>
        <w:pStyle w:val="Heading1"/>
        <w:spacing w:after="120" w:before="320"/>
      </w:pPr>
      <w:r>
        <w:rPr>
          <w:rFonts w:ascii="Arial" w:cs="Arial" w:eastAsia="Arial" w:hAnsi="Arial"/>
          <w:b/>
          <w:bCs/>
          <w:color w:val="1B3A5C"/>
          <w:sz w:val="28"/>
          <w:szCs w:val="28"/>
        </w:rPr>
        <w:t xml:space="preserve">9.  Acceptance Criteria</w:t>
      </w:r>
    </w:p>
    <w:p>
      <w:pPr>
        <w:spacing w:after="80" w:before="80" w:line="276"/>
        <w:jc w:val="left"/>
      </w:pPr>
      <w:r>
        <w:rPr>
          <w:rFonts w:ascii="Arial" w:cs="Arial" w:eastAsia="Arial" w:hAnsi="Arial"/>
          <w:b w:val="false"/>
          <w:bCs w:val="false"/>
          <w:color w:val="000000"/>
          <w:sz w:val="20"/>
          <w:szCs w:val="20"/>
        </w:rPr>
        <w:t xml:space="preserve">Phase 1 is considered complete and accepted when all of the following are true:</w:t>
      </w:r>
    </w:p>
    <w:p>
      <w:pPr>
        <w:pStyle w:val="ListParagraph"/>
        <w:numPr>
          <w:ilvl w:val="0"/>
          <w:numId w:val="3"/>
        </w:numPr>
        <w:spacing w:after="60" w:before="60"/>
      </w:pPr>
      <w:r>
        <w:rPr>
          <w:rFonts w:ascii="Arial" w:cs="Arial" w:eastAsia="Arial" w:hAnsi="Arial"/>
          <w:b w:val="false"/>
          <w:bCs w:val="false"/>
          <w:color w:val="000000"/>
          <w:sz w:val="19"/>
          <w:szCs w:val="19"/>
        </w:rPr>
        <w:t xml:space="preserve">All modules listed in Section 3 are deployed and accessible in the production environment.</w:t>
      </w:r>
    </w:p>
    <w:p>
      <w:pPr>
        <w:pStyle w:val="ListParagraph"/>
        <w:numPr>
          <w:ilvl w:val="0"/>
          <w:numId w:val="3"/>
        </w:numPr>
        <w:spacing w:after="60" w:before="60"/>
      </w:pPr>
      <w:r>
        <w:rPr>
          <w:rFonts w:ascii="Arial" w:cs="Arial" w:eastAsia="Arial" w:hAnsi="Arial"/>
          <w:b w:val="false"/>
          <w:bCs w:val="false"/>
          <w:color w:val="000000"/>
          <w:sz w:val="19"/>
          <w:szCs w:val="19"/>
        </w:rPr>
        <w:t xml:space="preserve">The client's nominated UAT team has tested the platform against the agreed test scenarios and raised no outstanding critical or high-severity defects.</w:t>
      </w:r>
    </w:p>
    <w:p>
      <w:pPr>
        <w:pStyle w:val="ListParagraph"/>
        <w:numPr>
          <w:ilvl w:val="0"/>
          <w:numId w:val="3"/>
        </w:numPr>
        <w:spacing w:after="60" w:before="60"/>
      </w:pPr>
      <w:r>
        <w:rPr>
          <w:rFonts w:ascii="Arial" w:cs="Arial" w:eastAsia="Arial" w:hAnsi="Arial"/>
          <w:b w:val="false"/>
          <w:bCs w:val="false"/>
          <w:color w:val="000000"/>
          <w:sz w:val="19"/>
          <w:szCs w:val="19"/>
        </w:rPr>
        <w:t xml:space="preserve">All critical and high-severity defects raised during UAT have been resolved and verified by the client.</w:t>
      </w:r>
    </w:p>
    <w:p>
      <w:pPr>
        <w:pStyle w:val="ListParagraph"/>
        <w:numPr>
          <w:ilvl w:val="0"/>
          <w:numId w:val="3"/>
        </w:numPr>
        <w:spacing w:after="60" w:before="60"/>
      </w:pPr>
      <w:r>
        <w:rPr>
          <w:rFonts w:ascii="Arial" w:cs="Arial" w:eastAsia="Arial" w:hAnsi="Arial"/>
          <w:b w:val="false"/>
          <w:bCs w:val="false"/>
          <w:color w:val="000000"/>
          <w:sz w:val="19"/>
          <w:szCs w:val="19"/>
        </w:rPr>
        <w:t xml:space="preserve">The client has confirmed acceptance in writing (email or signed document) following the UAT sign-off period.</w:t>
      </w:r>
    </w:p>
    <w:p>
      <w:pPr>
        <w:pStyle w:val="ListParagraph"/>
        <w:numPr>
          <w:ilvl w:val="0"/>
          <w:numId w:val="3"/>
        </w:numPr>
        <w:spacing w:after="60" w:before="60"/>
      </w:pPr>
      <w:r>
        <w:rPr>
          <w:rFonts w:ascii="Arial" w:cs="Arial" w:eastAsia="Arial" w:hAnsi="Arial"/>
          <w:b w:val="false"/>
          <w:bCs w:val="false"/>
          <w:color w:val="000000"/>
          <w:sz w:val="19"/>
          <w:szCs w:val="19"/>
        </w:rPr>
        <w:t xml:space="preserve">Outstanding invoices for Phase 1 have been settled in accordance with the agreed payment schedule.</w:t>
      </w:r>
    </w:p>
    <w:p>
      <w:pPr>
        <w:pBdr>
          <w:bottom w:val="single" w:color="E8A020" w:sz="6" w:space="4"/>
        </w:pBdr>
        <w:spacing w:after="200" w:before="200"/>
      </w:pPr>
      <w:r>
        <w:rPr>
          <w:rFonts w:ascii="Arial" w:cs="Arial" w:eastAsia="Arial" w:hAnsi="Arial"/>
          <w:b w:val="false"/>
          <w:bCs w:val="false"/>
          <w:color w:val="000000"/>
          <w:sz w:val="20"/>
          <w:szCs w:val="20"/>
        </w:rPr>
        <w:t xml:space="preserve"/>
      </w:r>
    </w:p>
    <w:p>
      <w:r>
        <w:br w:type="page"/>
      </w:r>
    </w:p>
    <w:p>
      <w:pPr>
        <w:pStyle w:val="Heading1"/>
        <w:spacing w:after="120" w:before="320"/>
      </w:pPr>
      <w:r>
        <w:rPr>
          <w:rFonts w:ascii="Arial" w:cs="Arial" w:eastAsia="Arial" w:hAnsi="Arial"/>
          <w:b/>
          <w:bCs/>
          <w:color w:val="1B3A5C"/>
          <w:sz w:val="28"/>
          <w:szCs w:val="28"/>
        </w:rPr>
        <w:t xml:space="preserve">10.  Client Sign-Off</w:t>
      </w:r>
    </w:p>
    <w:p>
      <w:pPr>
        <w:spacing w:after="200" w:before="80" w:line="276"/>
        <w:jc w:val="left"/>
      </w:pPr>
      <w:r>
        <w:rPr>
          <w:rFonts w:ascii="Arial" w:cs="Arial" w:eastAsia="Arial" w:hAnsi="Arial"/>
          <w:b w:val="false"/>
          <w:bCs w:val="false"/>
          <w:color w:val="000000"/>
          <w:sz w:val="20"/>
          <w:szCs w:val="20"/>
        </w:rPr>
        <w:t xml:space="preserve">By signing this document, both parties confirm that the scope, deliverables, exclusions, and assumptions described herein are agreed and understood. The client authorises One Path to proceed with Phase 1 development on this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1B3A5C" w:sz="8"/>
              <w:left w:val="single" w:color="1B3A5C" w:sz="8"/>
              <w:bottom w:val="single" w:color="1B3A5C" w:sz="8"/>
              <w:right w:val="single" w:color="1B3A5C" w:sz="8"/>
            </w:tcBorders>
            <w:shd w:fill="1B3A5C" w:val="clear"/>
            <w:tcMar>
              <w:top w:type="dxa" w:w="100"/>
              <w:left w:type="dxa" w:w="140"/>
              <w:bottom w:type="dxa" w:w="100"/>
              <w:right w:type="dxa" w:w="140"/>
            </w:tcMar>
            <w:vAlign w:val="top"/>
          </w:tcPr>
          <w:p>
            <w:pPr>
              <w:spacing w:after="80" w:before="80" w:line="276"/>
              <w:jc w:val="left"/>
            </w:pPr>
            <w:r>
              <w:rPr>
                <w:rFonts w:ascii="Arial" w:cs="Arial" w:eastAsia="Arial" w:hAnsi="Arial"/>
                <w:b/>
                <w:bCs/>
                <w:color w:val="FFFFFF"/>
                <w:sz w:val="20"/>
                <w:szCs w:val="20"/>
              </w:rPr>
              <w:t xml:space="preserve">CLIENT AUTHORISATION</w:t>
            </w:r>
          </w:p>
        </w:tc>
      </w:tr>
      <w:tr>
        <w:tc>
          <w:tcPr>
            <w:tcW w:type="dxa" w:w="4680"/>
            <w:tcBorders>
              <w:top w:val="nil" w:color="FFFFFF" w:sz="0"/>
              <w:left w:val="nil" w:color="FFFFFF" w:sz="0"/>
              <w:bottom w:val="nil" w:color="FFFFFF" w:sz="0"/>
              <w:right w:val="nil" w:color="FFFFFF" w:sz="0"/>
            </w:tcBorders>
            <w:shd w:fill="F5F7FA" w:val="clear"/>
            <w:tcMar>
              <w:top w:type="dxa" w:w="100"/>
              <w:left w:type="dxa" w:w="140"/>
              <w:bottom w:type="dxa" w:w="100"/>
              <w:right w:type="dxa" w:w="140"/>
            </w:tcMar>
            <w:vAlign w:val="top"/>
          </w:tcPr>
          <w:p>
            <w:pPr>
              <w:spacing w:after="180" w:before="40" w:line="276"/>
              <w:jc w:val="left"/>
            </w:pPr>
            <w:r>
              <w:rPr>
                <w:rFonts w:ascii="Arial" w:cs="Arial" w:eastAsia="Arial" w:hAnsi="Arial"/>
                <w:b/>
                <w:bCs/>
                <w:color w:val="1B3A5C"/>
                <w:sz w:val="19"/>
                <w:szCs w:val="19"/>
              </w:rPr>
              <w:t xml:space="preserve">Full Name</w:t>
            </w:r>
          </w:p>
        </w:tc>
        <w:tc>
          <w:tcPr>
            <w:tcW w:type="dxa" w:w="4680"/>
            <w:tcBorders>
              <w:top w:val="nil" w:color="FFFFFF" w:sz="0"/>
              <w:left w:val="nil" w:color="FFFFFF" w:sz="0"/>
              <w:bottom w:val="nil" w:color="FFFFFF" w:sz="0"/>
              <w:right w:val="nil" w:color="FFFFFF" w:sz="0"/>
            </w:tcBorders>
            <w:tcMar>
              <w:top w:type="dxa" w:w="100"/>
              <w:left w:type="dxa" w:w="140"/>
              <w:bottom w:type="dxa" w:w="100"/>
              <w:right w:type="dxa" w:w="140"/>
            </w:tcMar>
            <w:vAlign w:val="top"/>
          </w:tcPr>
          <w:p>
            <w:pPr>
              <w:spacing w:after="0" w:before="40" w:line="276"/>
              <w:jc w:val="left"/>
            </w:pPr>
            <w:r>
              <w:rPr>
                <w:rFonts w:ascii="Arial" w:cs="Arial" w:eastAsia="Arial" w:hAnsi="Arial"/>
                <w:b w:val="false"/>
                <w:bCs w:val="false"/>
                <w:color w:val="000000"/>
                <w:sz w:val="19"/>
                <w:szCs w:val="19"/>
              </w:rPr>
              <w:t xml:space="preserve"/>
            </w:r>
          </w:p>
          <w:p>
            <w:pPr>
              <w:spacing w:after="60" w:before="0" w:line="276"/>
              <w:jc w:val="left"/>
            </w:pPr>
            <w:r>
              <w:rPr>
                <w:rFonts w:ascii="Arial" w:cs="Arial" w:eastAsia="Arial" w:hAnsi="Arial"/>
                <w:b w:val="false"/>
                <w:bCs w:val="false"/>
                <w:color w:val="000000"/>
                <w:sz w:val="20"/>
                <w:szCs w:val="20"/>
              </w:rPr>
              <w:t xml:space="preserve"/>
            </w:r>
          </w:p>
          <w:p>
            <w:pPr>
              <w:pBdr>
                <w:bottom w:val="single" w:color="1B3A5C" w:sz="4" w:space="1"/>
              </w:pBdr>
              <w:spacing w:after="60" w:before="0"/>
            </w:pPr>
            <w:r>
              <w:rPr>
                <w:rFonts w:ascii="Arial" w:cs="Arial" w:eastAsia="Arial" w:hAnsi="Arial"/>
                <w:b w:val="false"/>
                <w:bCs w:val="false"/>
                <w:color w:val="000000"/>
                <w:sz w:val="19"/>
                <w:szCs w:val="19"/>
              </w:rPr>
              <w:t xml:space="preserve"/>
            </w:r>
          </w:p>
        </w:tc>
      </w:tr>
      <w:tr>
        <w:tc>
          <w:tcPr>
            <w:tcW w:type="dxa" w:w="4680"/>
            <w:tcBorders>
              <w:top w:val="nil" w:color="FFFFFF" w:sz="0"/>
              <w:left w:val="nil" w:color="FFFFFF" w:sz="0"/>
              <w:bottom w:val="nil" w:color="FFFFFF" w:sz="0"/>
              <w:right w:val="nil" w:color="FFFFFF" w:sz="0"/>
            </w:tcBorders>
            <w:shd w:fill="F5F7FA" w:val="clear"/>
            <w:tcMar>
              <w:top w:type="dxa" w:w="100"/>
              <w:left w:type="dxa" w:w="140"/>
              <w:bottom w:type="dxa" w:w="100"/>
              <w:right w:type="dxa" w:w="140"/>
            </w:tcMar>
            <w:vAlign w:val="top"/>
          </w:tcPr>
          <w:p>
            <w:pPr>
              <w:spacing w:after="180" w:before="40" w:line="276"/>
              <w:jc w:val="left"/>
            </w:pPr>
            <w:r>
              <w:rPr>
                <w:rFonts w:ascii="Arial" w:cs="Arial" w:eastAsia="Arial" w:hAnsi="Arial"/>
                <w:b/>
                <w:bCs/>
                <w:color w:val="1B3A5C"/>
                <w:sz w:val="19"/>
                <w:szCs w:val="19"/>
              </w:rPr>
              <w:t xml:space="preserve">Title / Position</w:t>
            </w:r>
          </w:p>
        </w:tc>
        <w:tc>
          <w:tcPr>
            <w:tcW w:type="dxa" w:w="4680"/>
            <w:tcBorders>
              <w:top w:val="nil" w:color="FFFFFF" w:sz="0"/>
              <w:left w:val="nil" w:color="FFFFFF" w:sz="0"/>
              <w:bottom w:val="nil" w:color="FFFFFF" w:sz="0"/>
              <w:right w:val="nil" w:color="FFFFFF" w:sz="0"/>
            </w:tcBorders>
            <w:tcMar>
              <w:top w:type="dxa" w:w="100"/>
              <w:left w:type="dxa" w:w="140"/>
              <w:bottom w:type="dxa" w:w="100"/>
              <w:right w:type="dxa" w:w="140"/>
            </w:tcMar>
            <w:vAlign w:val="top"/>
          </w:tcPr>
          <w:p>
            <w:pPr>
              <w:spacing w:after="0" w:before="40" w:line="276"/>
              <w:jc w:val="left"/>
            </w:pPr>
            <w:r>
              <w:rPr>
                <w:rFonts w:ascii="Arial" w:cs="Arial" w:eastAsia="Arial" w:hAnsi="Arial"/>
                <w:b w:val="false"/>
                <w:bCs w:val="false"/>
                <w:color w:val="000000"/>
                <w:sz w:val="19"/>
                <w:szCs w:val="19"/>
              </w:rPr>
              <w:t xml:space="preserve"/>
            </w:r>
          </w:p>
          <w:p>
            <w:pPr>
              <w:spacing w:after="60" w:before="0" w:line="276"/>
              <w:jc w:val="left"/>
            </w:pPr>
            <w:r>
              <w:rPr>
                <w:rFonts w:ascii="Arial" w:cs="Arial" w:eastAsia="Arial" w:hAnsi="Arial"/>
                <w:b w:val="false"/>
                <w:bCs w:val="false"/>
                <w:color w:val="000000"/>
                <w:sz w:val="20"/>
                <w:szCs w:val="20"/>
              </w:rPr>
              <w:t xml:space="preserve"/>
            </w:r>
          </w:p>
          <w:p>
            <w:pPr>
              <w:pBdr>
                <w:bottom w:val="single" w:color="1B3A5C" w:sz="4" w:space="1"/>
              </w:pBdr>
              <w:spacing w:after="60" w:before="0"/>
            </w:pPr>
            <w:r>
              <w:rPr>
                <w:rFonts w:ascii="Arial" w:cs="Arial" w:eastAsia="Arial" w:hAnsi="Arial"/>
                <w:b w:val="false"/>
                <w:bCs w:val="false"/>
                <w:color w:val="000000"/>
                <w:sz w:val="19"/>
                <w:szCs w:val="19"/>
              </w:rPr>
              <w:t xml:space="preserve"/>
            </w:r>
          </w:p>
        </w:tc>
      </w:tr>
      <w:tr>
        <w:tc>
          <w:tcPr>
            <w:tcW w:type="dxa" w:w="4680"/>
            <w:tcBorders>
              <w:top w:val="nil" w:color="FFFFFF" w:sz="0"/>
              <w:left w:val="nil" w:color="FFFFFF" w:sz="0"/>
              <w:bottom w:val="nil" w:color="FFFFFF" w:sz="0"/>
              <w:right w:val="nil" w:color="FFFFFF" w:sz="0"/>
            </w:tcBorders>
            <w:shd w:fill="F5F7FA" w:val="clear"/>
            <w:tcMar>
              <w:top w:type="dxa" w:w="100"/>
              <w:left w:type="dxa" w:w="140"/>
              <w:bottom w:type="dxa" w:w="100"/>
              <w:right w:type="dxa" w:w="140"/>
            </w:tcMar>
            <w:vAlign w:val="top"/>
          </w:tcPr>
          <w:p>
            <w:pPr>
              <w:spacing w:after="180" w:before="40" w:line="276"/>
              <w:jc w:val="left"/>
            </w:pPr>
            <w:r>
              <w:rPr>
                <w:rFonts w:ascii="Arial" w:cs="Arial" w:eastAsia="Arial" w:hAnsi="Arial"/>
                <w:b/>
                <w:bCs/>
                <w:color w:val="1B3A5C"/>
                <w:sz w:val="19"/>
                <w:szCs w:val="19"/>
              </w:rPr>
              <w:t xml:space="preserve">Company</w:t>
            </w:r>
          </w:p>
        </w:tc>
        <w:tc>
          <w:tcPr>
            <w:tcW w:type="dxa" w:w="4680"/>
            <w:tcBorders>
              <w:top w:val="nil" w:color="FFFFFF" w:sz="0"/>
              <w:left w:val="nil" w:color="FFFFFF" w:sz="0"/>
              <w:bottom w:val="nil" w:color="FFFFFF" w:sz="0"/>
              <w:right w:val="nil" w:color="FFFFFF" w:sz="0"/>
            </w:tcBorders>
            <w:tcMar>
              <w:top w:type="dxa" w:w="100"/>
              <w:left w:type="dxa" w:w="140"/>
              <w:bottom w:type="dxa" w:w="100"/>
              <w:right w:type="dxa" w:w="140"/>
            </w:tcMar>
            <w:vAlign w:val="top"/>
          </w:tcPr>
          <w:p>
            <w:pPr>
              <w:spacing w:after="0" w:before="40" w:line="276"/>
              <w:jc w:val="left"/>
            </w:pPr>
            <w:r>
              <w:rPr>
                <w:rFonts w:ascii="Arial" w:cs="Arial" w:eastAsia="Arial" w:hAnsi="Arial"/>
                <w:b w:val="false"/>
                <w:bCs w:val="false"/>
                <w:color w:val="000000"/>
                <w:sz w:val="19"/>
                <w:szCs w:val="19"/>
              </w:rPr>
              <w:t xml:space="preserve"/>
            </w:r>
          </w:p>
          <w:p>
            <w:pPr>
              <w:spacing w:after="60" w:before="0" w:line="276"/>
              <w:jc w:val="left"/>
            </w:pPr>
            <w:r>
              <w:rPr>
                <w:rFonts w:ascii="Arial" w:cs="Arial" w:eastAsia="Arial" w:hAnsi="Arial"/>
                <w:b w:val="false"/>
                <w:bCs w:val="false"/>
                <w:color w:val="000000"/>
                <w:sz w:val="20"/>
                <w:szCs w:val="20"/>
              </w:rPr>
              <w:t xml:space="preserve"/>
            </w:r>
          </w:p>
          <w:p>
            <w:pPr>
              <w:pBdr>
                <w:bottom w:val="single" w:color="1B3A5C" w:sz="4" w:space="1"/>
              </w:pBdr>
              <w:spacing w:after="60" w:before="0"/>
            </w:pPr>
            <w:r>
              <w:rPr>
                <w:rFonts w:ascii="Arial" w:cs="Arial" w:eastAsia="Arial" w:hAnsi="Arial"/>
                <w:b w:val="false"/>
                <w:bCs w:val="false"/>
                <w:color w:val="000000"/>
                <w:sz w:val="19"/>
                <w:szCs w:val="19"/>
              </w:rPr>
              <w:t xml:space="preserve"/>
            </w:r>
          </w:p>
        </w:tc>
      </w:tr>
      <w:tr>
        <w:tc>
          <w:tcPr>
            <w:tcW w:type="dxa" w:w="4680"/>
            <w:tcBorders>
              <w:top w:val="nil" w:color="FFFFFF" w:sz="0"/>
              <w:left w:val="nil" w:color="FFFFFF" w:sz="0"/>
              <w:bottom w:val="nil" w:color="FFFFFF" w:sz="0"/>
              <w:right w:val="nil" w:color="FFFFFF" w:sz="0"/>
            </w:tcBorders>
            <w:shd w:fill="F5F7FA" w:val="clear"/>
            <w:tcMar>
              <w:top w:type="dxa" w:w="100"/>
              <w:left w:type="dxa" w:w="140"/>
              <w:bottom w:type="dxa" w:w="100"/>
              <w:right w:type="dxa" w:w="140"/>
            </w:tcMar>
            <w:vAlign w:val="top"/>
          </w:tcPr>
          <w:p>
            <w:pPr>
              <w:spacing w:after="180" w:before="40" w:line="276"/>
              <w:jc w:val="left"/>
            </w:pPr>
            <w:r>
              <w:rPr>
                <w:rFonts w:ascii="Arial" w:cs="Arial" w:eastAsia="Arial" w:hAnsi="Arial"/>
                <w:b/>
                <w:bCs/>
                <w:color w:val="1B3A5C"/>
                <w:sz w:val="19"/>
                <w:szCs w:val="19"/>
              </w:rPr>
              <w:t xml:space="preserve">Date</w:t>
            </w:r>
          </w:p>
        </w:tc>
        <w:tc>
          <w:tcPr>
            <w:tcW w:type="dxa" w:w="4680"/>
            <w:tcBorders>
              <w:top w:val="nil" w:color="FFFFFF" w:sz="0"/>
              <w:left w:val="nil" w:color="FFFFFF" w:sz="0"/>
              <w:bottom w:val="nil" w:color="FFFFFF" w:sz="0"/>
              <w:right w:val="nil" w:color="FFFFFF" w:sz="0"/>
            </w:tcBorders>
            <w:tcMar>
              <w:top w:type="dxa" w:w="100"/>
              <w:left w:type="dxa" w:w="140"/>
              <w:bottom w:type="dxa" w:w="100"/>
              <w:right w:type="dxa" w:w="140"/>
            </w:tcMar>
            <w:vAlign w:val="top"/>
          </w:tcPr>
          <w:p>
            <w:pPr>
              <w:spacing w:after="0" w:before="40" w:line="276"/>
              <w:jc w:val="left"/>
            </w:pPr>
            <w:r>
              <w:rPr>
                <w:rFonts w:ascii="Arial" w:cs="Arial" w:eastAsia="Arial" w:hAnsi="Arial"/>
                <w:b w:val="false"/>
                <w:bCs w:val="false"/>
                <w:color w:val="000000"/>
                <w:sz w:val="19"/>
                <w:szCs w:val="19"/>
              </w:rPr>
              <w:t xml:space="preserve"/>
            </w:r>
          </w:p>
          <w:p>
            <w:pPr>
              <w:spacing w:after="60" w:before="0" w:line="276"/>
              <w:jc w:val="left"/>
            </w:pPr>
            <w:r>
              <w:rPr>
                <w:rFonts w:ascii="Arial" w:cs="Arial" w:eastAsia="Arial" w:hAnsi="Arial"/>
                <w:b w:val="false"/>
                <w:bCs w:val="false"/>
                <w:color w:val="000000"/>
                <w:sz w:val="20"/>
                <w:szCs w:val="20"/>
              </w:rPr>
              <w:t xml:space="preserve"/>
            </w:r>
          </w:p>
          <w:p>
            <w:pPr>
              <w:pBdr>
                <w:bottom w:val="single" w:color="1B3A5C" w:sz="4" w:space="1"/>
              </w:pBdr>
              <w:spacing w:after="60" w:before="0"/>
            </w:pPr>
            <w:r>
              <w:rPr>
                <w:rFonts w:ascii="Arial" w:cs="Arial" w:eastAsia="Arial" w:hAnsi="Arial"/>
                <w:b w:val="false"/>
                <w:bCs w:val="false"/>
                <w:color w:val="000000"/>
                <w:sz w:val="19"/>
                <w:szCs w:val="19"/>
              </w:rPr>
              <w:t xml:space="preserve"/>
            </w:r>
          </w:p>
        </w:tc>
      </w:tr>
      <w:tr>
        <w:tc>
          <w:tcPr>
            <w:tcW w:type="dxa" w:w="4680"/>
            <w:tcBorders>
              <w:top w:val="nil" w:color="FFFFFF" w:sz="0"/>
              <w:left w:val="nil" w:color="FFFFFF" w:sz="0"/>
              <w:bottom w:val="nil" w:color="FFFFFF" w:sz="0"/>
              <w:right w:val="nil" w:color="FFFFFF" w:sz="0"/>
            </w:tcBorders>
            <w:shd w:fill="F5F7FA" w:val="clear"/>
            <w:tcMar>
              <w:top w:type="dxa" w:w="100"/>
              <w:left w:type="dxa" w:w="140"/>
              <w:bottom w:type="dxa" w:w="100"/>
              <w:right w:type="dxa" w:w="140"/>
            </w:tcMar>
            <w:vAlign w:val="top"/>
          </w:tcPr>
          <w:p>
            <w:pPr>
              <w:spacing w:after="180" w:before="40" w:line="276"/>
              <w:jc w:val="left"/>
            </w:pPr>
            <w:r>
              <w:rPr>
                <w:rFonts w:ascii="Arial" w:cs="Arial" w:eastAsia="Arial" w:hAnsi="Arial"/>
                <w:b/>
                <w:bCs/>
                <w:color w:val="1B3A5C"/>
                <w:sz w:val="19"/>
                <w:szCs w:val="19"/>
              </w:rPr>
              <w:t xml:space="preserve">Signature</w:t>
            </w:r>
          </w:p>
        </w:tc>
        <w:tc>
          <w:tcPr>
            <w:tcW w:type="dxa" w:w="4680"/>
            <w:tcBorders>
              <w:top w:val="nil" w:color="FFFFFF" w:sz="0"/>
              <w:left w:val="nil" w:color="FFFFFF" w:sz="0"/>
              <w:bottom w:val="nil" w:color="FFFFFF" w:sz="0"/>
              <w:right w:val="nil" w:color="FFFFFF" w:sz="0"/>
            </w:tcBorders>
            <w:tcMar>
              <w:top w:type="dxa" w:w="100"/>
              <w:left w:type="dxa" w:w="140"/>
              <w:bottom w:type="dxa" w:w="100"/>
              <w:right w:type="dxa" w:w="140"/>
            </w:tcMar>
            <w:vAlign w:val="top"/>
          </w:tcPr>
          <w:p>
            <w:pPr>
              <w:spacing w:after="0" w:before="40" w:line="276"/>
              <w:jc w:val="left"/>
            </w:pPr>
            <w:r>
              <w:rPr>
                <w:rFonts w:ascii="Arial" w:cs="Arial" w:eastAsia="Arial" w:hAnsi="Arial"/>
                <w:b w:val="false"/>
                <w:bCs w:val="false"/>
                <w:color w:val="000000"/>
                <w:sz w:val="19"/>
                <w:szCs w:val="19"/>
              </w:rPr>
              <w:t xml:space="preserve"/>
            </w:r>
          </w:p>
          <w:p>
            <w:pPr>
              <w:spacing w:after="60" w:before="0" w:line="276"/>
              <w:jc w:val="left"/>
            </w:pPr>
            <w:r>
              <w:rPr>
                <w:rFonts w:ascii="Arial" w:cs="Arial" w:eastAsia="Arial" w:hAnsi="Arial"/>
                <w:b w:val="false"/>
                <w:bCs w:val="false"/>
                <w:color w:val="000000"/>
                <w:sz w:val="20"/>
                <w:szCs w:val="20"/>
              </w:rPr>
              <w:t xml:space="preserve"/>
            </w:r>
          </w:p>
          <w:p>
            <w:pPr>
              <w:pBdr>
                <w:bottom w:val="single" w:color="1B3A5C" w:sz="4" w:space="1"/>
              </w:pBdr>
              <w:spacing w:after="60" w:before="0"/>
            </w:pPr>
            <w:r>
              <w:rPr>
                <w:rFonts w:ascii="Arial" w:cs="Arial" w:eastAsia="Arial" w:hAnsi="Arial"/>
                <w:b w:val="false"/>
                <w:bCs w:val="false"/>
                <w:color w:val="000000"/>
                <w:sz w:val="19"/>
                <w:szCs w:val="19"/>
              </w:rPr>
              <w:t xml:space="preserve"/>
            </w:r>
          </w:p>
        </w:tc>
      </w:tr>
      <w:tr>
        <w:tc>
          <w:tcPr>
            <w:tcW w:type="dxa" w:w="9360"/>
            <w:gridSpan w:val="2"/>
            <w:tcBorders>
              <w:top w:val="nil" w:color="FFFFFF" w:sz="0"/>
              <w:left w:val="nil" w:color="FFFFFF" w:sz="0"/>
              <w:bottom w:val="nil" w:color="FFFFFF" w:sz="0"/>
              <w:right w:val="nil" w:color="FFFFFF" w:sz="0"/>
            </w:tcBorders>
            <w:tcMar>
              <w:top w:type="dxa" w:w="100"/>
              <w:left w:type="dxa" w:w="140"/>
              <w:bottom w:type="dxa" w:w="100"/>
              <w:right w:type="dxa" w:w="140"/>
            </w:tcMar>
            <w:vAlign w:val="top"/>
          </w:tcPr>
          <w:p>
            <w:pPr>
              <w:spacing w:after="60" w:before="60" w:line="276"/>
              <w:jc w:val="left"/>
            </w:pPr>
            <w:r>
              <w:rPr>
                <w:rFonts w:ascii="Arial" w:cs="Arial" w:eastAsia="Arial" w:hAnsi="Arial"/>
                <w:b w:val="false"/>
                <w:bCs w:val="false"/>
                <w:color w:val="000000"/>
                <w:sz w:val="20"/>
                <w:szCs w:val="20"/>
              </w:rPr>
              <w:t xml:space="preserve"/>
            </w:r>
          </w:p>
        </w:tc>
      </w:tr>
      <w:tr>
        <w:tc>
          <w:tcPr>
            <w:tcW w:type="dxa" w:w="9360"/>
            <w:gridSpan w:val="2"/>
            <w:tcBorders>
              <w:top w:val="single" w:color="2E5F8A" w:sz="8"/>
              <w:left w:val="single" w:color="2E5F8A" w:sz="8"/>
              <w:bottom w:val="single" w:color="2E5F8A" w:sz="8"/>
              <w:right w:val="single" w:color="2E5F8A" w:sz="8"/>
            </w:tcBorders>
            <w:shd w:fill="2E5F8A" w:val="clear"/>
            <w:tcMar>
              <w:top w:type="dxa" w:w="100"/>
              <w:left w:type="dxa" w:w="140"/>
              <w:bottom w:type="dxa" w:w="100"/>
              <w:right w:type="dxa" w:w="140"/>
            </w:tcMar>
            <w:vAlign w:val="top"/>
          </w:tcPr>
          <w:p>
            <w:pPr>
              <w:spacing w:after="80" w:before="80" w:line="276"/>
              <w:jc w:val="left"/>
            </w:pPr>
            <w:r>
              <w:rPr>
                <w:rFonts w:ascii="Arial" w:cs="Arial" w:eastAsia="Arial" w:hAnsi="Arial"/>
                <w:b/>
                <w:bCs/>
                <w:color w:val="FFFFFF"/>
                <w:sz w:val="20"/>
                <w:szCs w:val="20"/>
              </w:rPr>
              <w:t xml:space="preserve">ONE PATH — AUTHORISED SIGNATORY</w:t>
            </w:r>
          </w:p>
        </w:tc>
      </w:tr>
      <w:tr>
        <w:tc>
          <w:tcPr>
            <w:tcW w:type="dxa" w:w="4680"/>
            <w:tcBorders>
              <w:top w:val="nil" w:color="FFFFFF" w:sz="0"/>
              <w:left w:val="nil" w:color="FFFFFF" w:sz="0"/>
              <w:bottom w:val="nil" w:color="FFFFFF" w:sz="0"/>
              <w:right w:val="nil" w:color="FFFFFF" w:sz="0"/>
            </w:tcBorders>
            <w:shd w:fill="F5F7FA" w:val="clear"/>
            <w:tcMar>
              <w:top w:type="dxa" w:w="100"/>
              <w:left w:type="dxa" w:w="140"/>
              <w:bottom w:type="dxa" w:w="100"/>
              <w:right w:type="dxa" w:w="140"/>
            </w:tcMar>
            <w:vAlign w:val="top"/>
          </w:tcPr>
          <w:p>
            <w:pPr>
              <w:spacing w:after="180" w:before="40" w:line="276"/>
              <w:jc w:val="left"/>
            </w:pPr>
            <w:r>
              <w:rPr>
                <w:rFonts w:ascii="Arial" w:cs="Arial" w:eastAsia="Arial" w:hAnsi="Arial"/>
                <w:b/>
                <w:bCs/>
                <w:color w:val="1B3A5C"/>
                <w:sz w:val="19"/>
                <w:szCs w:val="19"/>
              </w:rPr>
              <w:t xml:space="preserve">Full Name</w:t>
            </w:r>
          </w:p>
        </w:tc>
        <w:tc>
          <w:tcPr>
            <w:tcW w:type="dxa" w:w="4680"/>
            <w:tcBorders>
              <w:top w:val="nil" w:color="FFFFFF" w:sz="0"/>
              <w:left w:val="nil" w:color="FFFFFF" w:sz="0"/>
              <w:bottom w:val="nil" w:color="FFFFFF" w:sz="0"/>
              <w:right w:val="nil" w:color="FFFFFF" w:sz="0"/>
            </w:tcBorders>
            <w:tcMar>
              <w:top w:type="dxa" w:w="100"/>
              <w:left w:type="dxa" w:w="140"/>
              <w:bottom w:type="dxa" w:w="100"/>
              <w:right w:type="dxa" w:w="140"/>
            </w:tcMar>
            <w:vAlign w:val="top"/>
          </w:tcPr>
          <w:p>
            <w:pPr>
              <w:spacing w:after="0" w:before="40" w:line="276"/>
              <w:jc w:val="left"/>
            </w:pPr>
            <w:r>
              <w:rPr>
                <w:rFonts w:ascii="Arial" w:cs="Arial" w:eastAsia="Arial" w:hAnsi="Arial"/>
                <w:b w:val="false"/>
                <w:bCs w:val="false"/>
                <w:color w:val="000000"/>
                <w:sz w:val="19"/>
                <w:szCs w:val="19"/>
              </w:rPr>
              <w:t xml:space="preserve"/>
            </w:r>
          </w:p>
          <w:p>
            <w:pPr>
              <w:spacing w:after="60" w:before="0" w:line="276"/>
              <w:jc w:val="left"/>
            </w:pPr>
            <w:r>
              <w:rPr>
                <w:rFonts w:ascii="Arial" w:cs="Arial" w:eastAsia="Arial" w:hAnsi="Arial"/>
                <w:b w:val="false"/>
                <w:bCs w:val="false"/>
                <w:color w:val="000000"/>
                <w:sz w:val="20"/>
                <w:szCs w:val="20"/>
              </w:rPr>
              <w:t xml:space="preserve"/>
            </w:r>
          </w:p>
          <w:p>
            <w:pPr>
              <w:pBdr>
                <w:bottom w:val="single" w:color="1B3A5C" w:sz="4" w:space="1"/>
              </w:pBdr>
              <w:spacing w:after="60" w:before="0"/>
            </w:pPr>
            <w:r>
              <w:rPr>
                <w:rFonts w:ascii="Arial" w:cs="Arial" w:eastAsia="Arial" w:hAnsi="Arial"/>
                <w:b w:val="false"/>
                <w:bCs w:val="false"/>
                <w:color w:val="000000"/>
                <w:sz w:val="19"/>
                <w:szCs w:val="19"/>
              </w:rPr>
              <w:t xml:space="preserve"/>
            </w:r>
          </w:p>
        </w:tc>
      </w:tr>
      <w:tr>
        <w:tc>
          <w:tcPr>
            <w:tcW w:type="dxa" w:w="4680"/>
            <w:tcBorders>
              <w:top w:val="nil" w:color="FFFFFF" w:sz="0"/>
              <w:left w:val="nil" w:color="FFFFFF" w:sz="0"/>
              <w:bottom w:val="nil" w:color="FFFFFF" w:sz="0"/>
              <w:right w:val="nil" w:color="FFFFFF" w:sz="0"/>
            </w:tcBorders>
            <w:shd w:fill="F5F7FA" w:val="clear"/>
            <w:tcMar>
              <w:top w:type="dxa" w:w="100"/>
              <w:left w:type="dxa" w:w="140"/>
              <w:bottom w:type="dxa" w:w="100"/>
              <w:right w:type="dxa" w:w="140"/>
            </w:tcMar>
            <w:vAlign w:val="top"/>
          </w:tcPr>
          <w:p>
            <w:pPr>
              <w:spacing w:after="180" w:before="40" w:line="276"/>
              <w:jc w:val="left"/>
            </w:pPr>
            <w:r>
              <w:rPr>
                <w:rFonts w:ascii="Arial" w:cs="Arial" w:eastAsia="Arial" w:hAnsi="Arial"/>
                <w:b/>
                <w:bCs/>
                <w:color w:val="1B3A5C"/>
                <w:sz w:val="19"/>
                <w:szCs w:val="19"/>
              </w:rPr>
              <w:t xml:space="preserve">Title / Position</w:t>
            </w:r>
          </w:p>
        </w:tc>
        <w:tc>
          <w:tcPr>
            <w:tcW w:type="dxa" w:w="4680"/>
            <w:tcBorders>
              <w:top w:val="nil" w:color="FFFFFF" w:sz="0"/>
              <w:left w:val="nil" w:color="FFFFFF" w:sz="0"/>
              <w:bottom w:val="nil" w:color="FFFFFF" w:sz="0"/>
              <w:right w:val="nil" w:color="FFFFFF" w:sz="0"/>
            </w:tcBorders>
            <w:tcMar>
              <w:top w:type="dxa" w:w="100"/>
              <w:left w:type="dxa" w:w="140"/>
              <w:bottom w:type="dxa" w:w="100"/>
              <w:right w:type="dxa" w:w="140"/>
            </w:tcMar>
            <w:vAlign w:val="top"/>
          </w:tcPr>
          <w:p>
            <w:pPr>
              <w:spacing w:after="0" w:before="40" w:line="276"/>
              <w:jc w:val="left"/>
            </w:pPr>
            <w:r>
              <w:rPr>
                <w:rFonts w:ascii="Arial" w:cs="Arial" w:eastAsia="Arial" w:hAnsi="Arial"/>
                <w:b w:val="false"/>
                <w:bCs w:val="false"/>
                <w:color w:val="000000"/>
                <w:sz w:val="19"/>
                <w:szCs w:val="19"/>
              </w:rPr>
              <w:t xml:space="preserve"/>
            </w:r>
          </w:p>
          <w:p>
            <w:pPr>
              <w:spacing w:after="60" w:before="0" w:line="276"/>
              <w:jc w:val="left"/>
            </w:pPr>
            <w:r>
              <w:rPr>
                <w:rFonts w:ascii="Arial" w:cs="Arial" w:eastAsia="Arial" w:hAnsi="Arial"/>
                <w:b w:val="false"/>
                <w:bCs w:val="false"/>
                <w:color w:val="000000"/>
                <w:sz w:val="20"/>
                <w:szCs w:val="20"/>
              </w:rPr>
              <w:t xml:space="preserve"/>
            </w:r>
          </w:p>
          <w:p>
            <w:pPr>
              <w:pBdr>
                <w:bottom w:val="single" w:color="1B3A5C" w:sz="4" w:space="1"/>
              </w:pBdr>
              <w:spacing w:after="60" w:before="0"/>
            </w:pPr>
            <w:r>
              <w:rPr>
                <w:rFonts w:ascii="Arial" w:cs="Arial" w:eastAsia="Arial" w:hAnsi="Arial"/>
                <w:b w:val="false"/>
                <w:bCs w:val="false"/>
                <w:color w:val="000000"/>
                <w:sz w:val="19"/>
                <w:szCs w:val="19"/>
              </w:rPr>
              <w:t xml:space="preserve"/>
            </w:r>
          </w:p>
        </w:tc>
      </w:tr>
      <w:tr>
        <w:tc>
          <w:tcPr>
            <w:tcW w:type="dxa" w:w="4680"/>
            <w:tcBorders>
              <w:top w:val="nil" w:color="FFFFFF" w:sz="0"/>
              <w:left w:val="nil" w:color="FFFFFF" w:sz="0"/>
              <w:bottom w:val="nil" w:color="FFFFFF" w:sz="0"/>
              <w:right w:val="nil" w:color="FFFFFF" w:sz="0"/>
            </w:tcBorders>
            <w:shd w:fill="F5F7FA" w:val="clear"/>
            <w:tcMar>
              <w:top w:type="dxa" w:w="100"/>
              <w:left w:type="dxa" w:w="140"/>
              <w:bottom w:type="dxa" w:w="100"/>
              <w:right w:type="dxa" w:w="140"/>
            </w:tcMar>
            <w:vAlign w:val="top"/>
          </w:tcPr>
          <w:p>
            <w:pPr>
              <w:spacing w:after="180" w:before="40" w:line="276"/>
              <w:jc w:val="left"/>
            </w:pPr>
            <w:r>
              <w:rPr>
                <w:rFonts w:ascii="Arial" w:cs="Arial" w:eastAsia="Arial" w:hAnsi="Arial"/>
                <w:b/>
                <w:bCs/>
                <w:color w:val="1B3A5C"/>
                <w:sz w:val="19"/>
                <w:szCs w:val="19"/>
              </w:rPr>
              <w:t xml:space="preserve">Date</w:t>
            </w:r>
          </w:p>
        </w:tc>
        <w:tc>
          <w:tcPr>
            <w:tcW w:type="dxa" w:w="4680"/>
            <w:tcBorders>
              <w:top w:val="nil" w:color="FFFFFF" w:sz="0"/>
              <w:left w:val="nil" w:color="FFFFFF" w:sz="0"/>
              <w:bottom w:val="nil" w:color="FFFFFF" w:sz="0"/>
              <w:right w:val="nil" w:color="FFFFFF" w:sz="0"/>
            </w:tcBorders>
            <w:tcMar>
              <w:top w:type="dxa" w:w="100"/>
              <w:left w:type="dxa" w:w="140"/>
              <w:bottom w:type="dxa" w:w="100"/>
              <w:right w:type="dxa" w:w="140"/>
            </w:tcMar>
            <w:vAlign w:val="top"/>
          </w:tcPr>
          <w:p>
            <w:pPr>
              <w:spacing w:after="0" w:before="40" w:line="276"/>
              <w:jc w:val="left"/>
            </w:pPr>
            <w:r>
              <w:rPr>
                <w:rFonts w:ascii="Arial" w:cs="Arial" w:eastAsia="Arial" w:hAnsi="Arial"/>
                <w:b w:val="false"/>
                <w:bCs w:val="false"/>
                <w:color w:val="000000"/>
                <w:sz w:val="19"/>
                <w:szCs w:val="19"/>
              </w:rPr>
              <w:t xml:space="preserve"/>
            </w:r>
          </w:p>
          <w:p>
            <w:pPr>
              <w:spacing w:after="60" w:before="0" w:line="276"/>
              <w:jc w:val="left"/>
            </w:pPr>
            <w:r>
              <w:rPr>
                <w:rFonts w:ascii="Arial" w:cs="Arial" w:eastAsia="Arial" w:hAnsi="Arial"/>
                <w:b w:val="false"/>
                <w:bCs w:val="false"/>
                <w:color w:val="000000"/>
                <w:sz w:val="20"/>
                <w:szCs w:val="20"/>
              </w:rPr>
              <w:t xml:space="preserve"/>
            </w:r>
          </w:p>
          <w:p>
            <w:pPr>
              <w:pBdr>
                <w:bottom w:val="single" w:color="1B3A5C" w:sz="4" w:space="1"/>
              </w:pBdr>
              <w:spacing w:after="60" w:before="0"/>
            </w:pPr>
            <w:r>
              <w:rPr>
                <w:rFonts w:ascii="Arial" w:cs="Arial" w:eastAsia="Arial" w:hAnsi="Arial"/>
                <w:b w:val="false"/>
                <w:bCs w:val="false"/>
                <w:color w:val="000000"/>
                <w:sz w:val="19"/>
                <w:szCs w:val="19"/>
              </w:rPr>
              <w:t xml:space="preserve"/>
            </w:r>
          </w:p>
        </w:tc>
      </w:tr>
      <w:tr>
        <w:tc>
          <w:tcPr>
            <w:tcW w:type="dxa" w:w="4680"/>
            <w:tcBorders>
              <w:top w:val="nil" w:color="FFFFFF" w:sz="0"/>
              <w:left w:val="nil" w:color="FFFFFF" w:sz="0"/>
              <w:bottom w:val="nil" w:color="FFFFFF" w:sz="0"/>
              <w:right w:val="nil" w:color="FFFFFF" w:sz="0"/>
            </w:tcBorders>
            <w:shd w:fill="F5F7FA" w:val="clear"/>
            <w:tcMar>
              <w:top w:type="dxa" w:w="100"/>
              <w:left w:type="dxa" w:w="140"/>
              <w:bottom w:type="dxa" w:w="100"/>
              <w:right w:type="dxa" w:w="140"/>
            </w:tcMar>
            <w:vAlign w:val="top"/>
          </w:tcPr>
          <w:p>
            <w:pPr>
              <w:spacing w:after="180" w:before="40" w:line="276"/>
              <w:jc w:val="left"/>
            </w:pPr>
            <w:r>
              <w:rPr>
                <w:rFonts w:ascii="Arial" w:cs="Arial" w:eastAsia="Arial" w:hAnsi="Arial"/>
                <w:b/>
                <w:bCs/>
                <w:color w:val="1B3A5C"/>
                <w:sz w:val="19"/>
                <w:szCs w:val="19"/>
              </w:rPr>
              <w:t xml:space="preserve">Signature</w:t>
            </w:r>
          </w:p>
        </w:tc>
        <w:tc>
          <w:tcPr>
            <w:tcW w:type="dxa" w:w="4680"/>
            <w:tcBorders>
              <w:top w:val="nil" w:color="FFFFFF" w:sz="0"/>
              <w:left w:val="nil" w:color="FFFFFF" w:sz="0"/>
              <w:bottom w:val="nil" w:color="FFFFFF" w:sz="0"/>
              <w:right w:val="nil" w:color="FFFFFF" w:sz="0"/>
            </w:tcBorders>
            <w:tcMar>
              <w:top w:type="dxa" w:w="100"/>
              <w:left w:type="dxa" w:w="140"/>
              <w:bottom w:type="dxa" w:w="100"/>
              <w:right w:type="dxa" w:w="140"/>
            </w:tcMar>
            <w:vAlign w:val="top"/>
          </w:tcPr>
          <w:p>
            <w:pPr>
              <w:spacing w:after="0" w:before="40" w:line="276"/>
              <w:jc w:val="left"/>
            </w:pPr>
            <w:r>
              <w:rPr>
                <w:rFonts w:ascii="Arial" w:cs="Arial" w:eastAsia="Arial" w:hAnsi="Arial"/>
                <w:b w:val="false"/>
                <w:bCs w:val="false"/>
                <w:color w:val="000000"/>
                <w:sz w:val="19"/>
                <w:szCs w:val="19"/>
              </w:rPr>
              <w:t xml:space="preserve"/>
            </w:r>
          </w:p>
          <w:p>
            <w:pPr>
              <w:spacing w:after="60" w:before="0" w:line="276"/>
              <w:jc w:val="left"/>
            </w:pPr>
            <w:r>
              <w:rPr>
                <w:rFonts w:ascii="Arial" w:cs="Arial" w:eastAsia="Arial" w:hAnsi="Arial"/>
                <w:b w:val="false"/>
                <w:bCs w:val="false"/>
                <w:color w:val="000000"/>
                <w:sz w:val="20"/>
                <w:szCs w:val="20"/>
              </w:rPr>
              <w:t xml:space="preserve"/>
            </w:r>
          </w:p>
          <w:p>
            <w:pPr>
              <w:pBdr>
                <w:bottom w:val="single" w:color="1B3A5C" w:sz="4" w:space="1"/>
              </w:pBdr>
              <w:spacing w:after="60" w:before="0"/>
            </w:pPr>
            <w:r>
              <w:rPr>
                <w:rFonts w:ascii="Arial" w:cs="Arial" w:eastAsia="Arial" w:hAnsi="Arial"/>
                <w:b w:val="false"/>
                <w:bCs w:val="false"/>
                <w:color w:val="000000"/>
                <w:sz w:val="19"/>
                <w:szCs w:val="19"/>
              </w:rPr>
              <w:t xml:space="preserve"/>
            </w:r>
          </w:p>
        </w:tc>
      </w:tr>
    </w:tbl>
    <w:p>
      <w:pPr>
        <w:spacing w:after="0" w:before="240" w:line="276"/>
        <w:jc w:val="left"/>
      </w:pPr>
      <w:r>
        <w:rPr>
          <w:rFonts w:ascii="Arial" w:cs="Arial" w:eastAsia="Arial" w:hAnsi="Arial"/>
          <w:b w:val="false"/>
          <w:bCs w:val="false"/>
          <w:color w:val="000000"/>
          <w:sz w:val="20"/>
          <w:szCs w:val="20"/>
        </w:rPr>
        <w:t xml:space="preserve"/>
      </w:r>
    </w:p>
    <w:p>
      <w:pPr>
        <w:spacing w:after="120" w:before="120" w:line="276"/>
        <w:jc w:val="center"/>
      </w:pPr>
      <w:r>
        <w:rPr>
          <w:rFonts w:ascii="Arial" w:cs="Arial" w:eastAsia="Arial" w:hAnsi="Arial"/>
          <w:b w:val="false"/>
          <w:bCs w:val="false"/>
          <w:color w:val="555555"/>
          <w:sz w:val="18"/>
          <w:szCs w:val="18"/>
        </w:rPr>
        <w:t xml:space="preserve">This document should be signed and returned to One Path before development commences. A countersigned copy will be provided to the client for their records.</w:t>
      </w:r>
    </w:p>
    <w:p>
      <w:pPr>
        <w:pBdr>
          <w:bottom w:val="single" w:color="E8A020" w:sz="36" w:space="0"/>
        </w:pBdr>
        <w:spacing w:after="0" w:before="200"/>
      </w:pPr>
      <w:r>
        <w:rPr>
          <w:rFonts w:ascii="Arial" w:cs="Arial" w:eastAsia="Arial" w:hAnsi="Arial"/>
          <w:b w:val="false"/>
          <w:bCs w:val="false"/>
          <w:color w:val="000000"/>
          <w:sz w:val="20"/>
          <w:szCs w:val="20"/>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tabs>
        <w:tab w:val="right" w:pos="9360"/>
      </w:tabs>
      <w:spacing w:after="0" w:before="120"/>
    </w:pPr>
    <w:r>
      <w:rPr>
        <w:rFonts w:ascii="Arial" w:cs="Arial" w:eastAsia="Arial" w:hAnsi="Arial"/>
        <w:color w:val="555555"/>
        <w:sz w:val="16"/>
        <w:szCs w:val="16"/>
      </w:rPr>
      <w:t xml:space="preserve">© 2026 One Path. All rights reserved.</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360"/>
      </w:tabs>
      <w:spacing w:after="120" w:before="0"/>
    </w:pPr>
    <w:r>
      <w:rPr>
        <w:rFonts w:ascii="Arial" w:cs="Arial" w:eastAsia="Arial" w:hAnsi="Arial"/>
        <w:color w:val="555555"/>
        <w:sz w:val="16"/>
        <w:szCs w:val="16"/>
      </w:rPr>
      <w:t xml:space="preserve">One Path  |  Fit-outs ERP  —  Phase 1 Scope &amp; Client Sign-Off</w:t>
    </w:r>
    <w:r>
      <w:rPr>
        <w:rFonts w:ascii="Arial" w:cs="Arial" w:eastAsia="Arial" w:hAnsi="Arial"/>
        <w:sz w:val="16"/>
        <w:szCs w:val="16"/>
      </w:rPr>
      <w:t xml:space="preserve">	</w:t>
    </w:r>
    <w:r>
      <w:rPr>
        <w:rFonts w:ascii="Arial" w:cs="Arial" w:eastAsia="Arial" w:hAnsi="Arial"/>
        <w:b/>
        <w:bCs/>
        <w:color w:val="E8A02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3A5C"/>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2026-05-20T07:54:06.948Z</dcterms:created>
  <dcterms:modified xsi:type="dcterms:W3CDTF">2026-05-20T07:54:06.949Z</dcterms:modified>
</cp:coreProperties>
</file>

<file path=docProps/custom.xml><?xml version="1.0" encoding="utf-8"?>
<Properties xmlns="http://schemas.openxmlformats.org/officeDocument/2006/custom-properties" xmlns:vt="http://schemas.openxmlformats.org/officeDocument/2006/docPropsVTypes"/>
</file>