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I
STATION QUALITY CONTROL, COMPLETENESS AND RELATIVE HOMOGENEITY (SNHT AND PETTITT, Α = 0.05)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0"/>
        <w:gridCol w:w="1317"/>
        <w:gridCol w:w="977"/>
        <w:gridCol w:w="1004"/>
        <w:gridCol w:w="1033"/>
        <w:gridCol w:w="2073"/>
        <w:gridCol w:w="2268"/>
        <w:gridCol w:w="2838"/>
        <w:gridCol w:w="2073"/>
        <w:gridCol w:w="1282"/>
        <w:gridCol w:w="1139"/>
        <w:gridCol w:w="1388"/>
        <w:gridCol w:w="1362"/>
        <w:gridCol w:w="945"/>
        <w:gridCol w:w="1348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Station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Role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Lat (°N)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Lon (°E)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Elev. (m)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compl. 1985–2014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ET0 compl. 1985–2014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Obs. humidity/wind 1985–2014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compl. 1981–2024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Homog. ET0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Homog. 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Homog. Tmax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Homog. Tmin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Used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Evaluated for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Akhnoor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km outside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32.88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74.73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Arizal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1,615.00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Badgam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Balakot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Baramulla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Bhimber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Handwara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Kakul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Karnah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2,799.00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Kohat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Kotli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Landikotal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Langet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Malam Jabba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2,691.00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Mandi Bahauddin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Mianwali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Mirpur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Muzaffar Abad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Muzaffarabad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Muzaffarbad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Nowshera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Poonch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Rajpuri(Rampur)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Risalpur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Saidu Sharif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Sargodha (WMO41593)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Sargodha (WMO41594)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Sialkot (WMO41599)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Sialkot (WMO41600)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Sialkot (WMO69287)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Sopore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Sri Ranbirsingh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km outside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Chaklala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inside plateau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+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P, Tmin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(PMD)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inside plateau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+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P, Tmin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inside plateau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+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Tmin, ET0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Murree (PMD)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inside plateau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+ ET0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Peshawar Intl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km outside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doubtful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suspect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+ ET0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ET0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Relative tests on station/reference ratios (P, ET0) or differences (Tmax, Tmin) against two references: CHIRPS and ERA5-Land at the station point, and TerraClimate at the station cell. Suspect: both tests reject against both references (not used for that variable); homogeneous: no rejection against either reference; doubtful: otherwise. Evaluated for: variables used in the GCM station KGE, the ET0 skill and the station vs gridded comparison (station in the domain, |elevation − cell mean| ≤ 500 m, not suspect; ET0 also needs ≥ 70% observed humidity/wind). Sources: NOAA GSOD and GHCN-Daily; Islamabad (PMD) and Murree (PMD): PMD daily P, Tmax and Tmin 1961–2010 (GSOD after 2010), dew point and wind from GSOD (Murree, completed by quantile-mapped ERA5-Land) and from Chaklala (Islamabad). Completeness counts months complete after short-gap filling.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2026-10-23T21:36:58Z</dcterms:modified>
  <cp:category/>
</cp:coreProperties>
</file>