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III
GCM EVALUATION METRICS (1985–2014) AND COMPROMISE-PROGRAMMING RANKS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0"/>
        <w:gridCol w:w="1797"/>
        <w:gridCol w:w="771"/>
        <w:gridCol w:w="962"/>
        <w:gridCol w:w="864"/>
        <w:gridCol w:w="1140"/>
        <w:gridCol w:w="1006"/>
        <w:gridCol w:w="1113"/>
        <w:gridCol w:w="979"/>
        <w:gridCol w:w="1344"/>
        <w:gridCol w:w="1211"/>
        <w:gridCol w:w="1682"/>
        <w:gridCol w:w="1549"/>
        <w:gridCol w:w="1335"/>
        <w:gridCol w:w="1309"/>
      </w:tblGrid>
      <w:tr>
        <w:trPr>
          <w:trHeight w:val="551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rank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p_top10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weight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KGE_ET0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KGE_pr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PCC_ET0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PCC_pr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nRMSD_ET0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nRMSD_pr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KGE_station_ET0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KGE_station_pr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KGE_tasmax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KGE_tasmin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MIROC6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GISS-E2-1-G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NorESM2-MM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CNRM-CM6-1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ACCESS-ESM1-5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CMCC-ESM2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CNRM-ESM2-1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INM-CM4-8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NorESM2-LM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GFDL-CM4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TaiESM1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EC-Earth3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MPI-ESM1-2-HR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GFDL-ESM4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EC-Earth3-Veg-LR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MIROC-ES2L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IPSL-CM6A-LR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UKESM1-0-LL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MPI-ESM1-2-LR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MRI-ESM2-0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FGOALS-g3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HadGEM3-GC31-LL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INM-CM5-0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ACCESS-CM2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KACE-1-0-G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KIOST-ESM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0.959</w:t>
            </w:r>
          </w:p>
        </w:tc>
      </w:tr>
      <w:tr>
        <w:trPr>
          <w:trHeight w:val="54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CanESM5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0.948</w:t>
            </w:r>
          </w:p>
        </w:tc>
      </w:tr>
      <w:tr>
        <w:trPr>
          <w:trHeight w:val="360" w:hRule="auto"/>
        </w:trPr>
        <w:tc>
          <w:tcPr>
            <w:gridSpan w:val="1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KGE on the space–time monthly climatology; PCC: spatial pattern correlation of the annual mean; nRMSD: RMSD/σ_obs; KGE_station: annual-cycle KGE at station cells. L: compromise-programming distance (p = 2, entropy weights over 16 criteria); rank: selection order by bootstrap P(top 10) (Table S2b). Weights are given to the ten retained models. Full metrics: 06_gcm_eval/gcm_metrics.csv.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2026-10-23T21:37:20Z</dcterms:modified>
  <cp:category/>
</cp:coreProperties>
</file>