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IV
PROJECTED CHANGES IN DROUGHT CHARACTERISTICS (SPEI-3, RUN THEORY, THRESHOLD −1) RELATIVE TO 1985–2014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1"/>
        <w:gridCol w:w="1737"/>
        <w:gridCol w:w="1611"/>
        <w:gridCol w:w="1584"/>
        <w:gridCol w:w="1584"/>
        <w:gridCol w:w="1797"/>
        <w:gridCol w:w="1557"/>
        <w:gridCol w:w="1557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frequency (%-pt)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events/decade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D (months)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I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P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ET0 (%)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2025–2050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 [-8.8, 6.5]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 [-2.66, 1.26]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 [-0.75, 0.85]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 [-0.91, 2.08]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 [-0.051, 0.244]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 [6.0, 28.6]†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 [-0.2, 2.8]†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2051–2075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 [-7.5, 16.3]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 [-2.94, 6.61]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[-0.59, 1.04]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 [-0.58, 2.57]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0.162 [0.022, 0.295]†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 [0.9, 36.8]†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 [2.8, 7.9]†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2076–2100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 [-0.9, 20.9]†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 [-0.08, 5.31]†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 [-0.44, 1.39]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 [-0.19, 3.27]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 [0.008, 0.283]†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 [3.3, 47.1]†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 [6.0, 9.8]†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2025–2050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 [-9.0, 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 [-2.47, 2.09]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 [-0.93,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 [-1.07,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 [0.010, 0.225]†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 [9.1, 39.9]†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 [1.0, 4.1]†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2051–2075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 [-2.2, 14.5]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 [-1.82, 4.67]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 [-0.39,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 [-0.32, 2.27]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 [0.058, 0.341]†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 [8.8, 61.6]†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 [5.7, 9.6]†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2076–2100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 [0.2, 23.4]†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 [-2.58, 5.45]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 [-0.34, 1.27]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 [0.02, 3.74]†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 [0.153, 0.536]†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31.5 [12.4, 76.3]†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 [10.1, 16.2]†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+1.5 °C GWL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 [-5.5, 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 [-2.18, 2.06]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 [-0.78, 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 [-0.94,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 [-0.046, 0.217]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 [8.4, 28.2]†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 [-0.1, 3.4]†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+2.0 °C GWL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 [-7.0, 10.7]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 [-1.96, 3.03]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 [-0.54,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 [-0.39, 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 [0.033, 0.198]†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 [9.3, 42.1]†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 [1.6, 6.9]†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+3.0 °C GWL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 [-1.7, 14.3]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 [-2.40, 3.33]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 [-0.59, 1.19]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 [-0.71, 2.80]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 [0.040, 0.324]†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25.1 [8.3, 66.8]†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 [5.4, 9.3]†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Skill-weighted mean of the 10 retained models [10th, 90th percentile across models]. † robust: ≥80% sign agreement and Wilcoxon p &lt; 0.05. GWL windows: Hauser et al. 20-year windows (1850–1900 reference), both SSPs pooled per model. Baseline (model mean): frequency 17.5%, D 2.37 months, S 3.37.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2026-10-23T21:37:48Z</dcterms:modified>
  <cp:category/>
</cp:coreProperties>
</file>