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VI
GRADED EXPOSURE OF RAINFED CROPS TO SPEI-3 DROUGHT, BY DISTRICT: CHANGE IN FREQUENCY-WEIGHTED EXPOSURE (%) AND SHARE OF WHEAT AREA WHERE DROUGHT FREQUENCY REACHES ≥1.5× ITS BASELINE (%)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66"/>
        <w:gridCol w:w="1717"/>
        <w:gridCol w:w="2038"/>
        <w:gridCol w:w="2206"/>
        <w:gridCol w:w="2269"/>
        <w:gridCol w:w="2206"/>
        <w:gridCol w:w="2269"/>
        <w:gridCol w:w="2482"/>
        <w:gridCol w:w="2544"/>
        <w:gridCol w:w="2482"/>
        <w:gridCol w:w="2544"/>
        <w:gridCol w:w="2109"/>
        <w:gridCol w:w="2171"/>
        <w:gridCol w:w="2109"/>
        <w:gridCol w:w="2171"/>
      </w:tblGrid>
      <w:tr>
        <w:trPr>
          <w:trHeight w:val="551" w:hRule="auto"/>
          <w:tblHeader/>
        </w:trPr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district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Rainfed wheat (ha)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Rainfed groundnut (ha)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dE_wheat_pct_ssp245_far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dE_wheat_pct_ssp245_mid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dE_wheat_pct_ssp585_far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dE_wheat_pct_ssp585_mid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share_wheat_ge15_ssp245_far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share_wheat_ge15_ssp245_mid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share_wheat_ge15_ssp585_far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share_wheat_ge15_ssp585_mid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dE_gnut_pct_ssp245_far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dE_gnut_pct_ssp245_mid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dE_gnut_pct_ssp585_far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dE_gnut_pct_ssp585_mid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Attock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182,513.0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45,324.0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64.1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39.6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76.2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43.1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63.5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39.2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75.0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42.1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Chakwal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148,520.0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65,445.0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53.3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Islamabad (ICT)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28,598.0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Jhelum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69,201.0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1,119.0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58.8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Rawalpindi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162,684.0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4,060.0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31.4</w:t>
            </w:r>
          </w:p>
        </w:tc>
      </w:tr>
      <w:tr>
        <w:trPr>
          <w:trHeight w:val="546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Potohar (all units)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591,515.0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115,948.0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61.8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37.8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70.9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42.6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94.4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93.2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66.4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40.5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79.8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48.2</w:t>
            </w:r>
          </w:p>
        </w:tc>
      </w:tr>
      <w:tr>
        <w:trPr>
          <w:trHeight w:val="360" w:hRule="auto"/>
        </w:trPr>
        <w:tc>
          <w:tcPr>
            <w:gridSpan w:val="1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Frequency-weighted exposure = Σ rainfed area × drought frequency (SPEI-3 ≤ −1), relative to the 1985–2014 baseline exposure; skill-weighted ensemble frequencies per 0.25° cell. Classes are multiples of each cell's baseline frequency. Crop areas: Crop Reporting Service Punjab un-irrigated area (mean 2021-22 to 2023-24), allocated within districts by SPAM2010 and WorldCover 2021. Binary hotspot exposure: Table S3.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2026-10-23T21:38:02Z</dcterms:modified>
  <cp:category/>
</cp:coreProperties>
</file>