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VII
SENSITIVITY OF THE PROJECTED FAR-FUTURE (2076–2100) CHANGE IN DROUGHT FREQUENCY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12"/>
        <w:gridCol w:w="1011"/>
        <w:gridCol w:w="1582"/>
        <w:gridCol w:w="2452"/>
        <w:gridCol w:w="900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freq far (%-pt)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 range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Robust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Reference: SPEI-3, PM ET0, threshold −1, baseline 1985–2014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 to 24.6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Reference: SPEI-3, PM ET0, threshold −1, baseline 1985–2014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 to 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SPEI-3 with PM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 to 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SPEI-3 with PM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 to 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SPEI-3 with Hargreaves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 to 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SPEI-3 with Hargreaves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 to 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 −1.5 (instead of −1)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 to 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 −1.5 (instead of −1)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 to 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Alternative baseline 1981–2010 (calibration and 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 to 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Alternative baseline 1981–2010 (calibration and 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-9.3 to 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QDM (NEX-GDDP-CMIP6 as published)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 to 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QDM (NEX-GDDP-CMIP6 as published)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 to 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QDM with standardised ±1-month pooled windows (S1)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 to 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QDM with standardised ±1-month pooled windows (S1)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 to 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QDM with unstandardised ±1-month pooled windows (S2, v2.1)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 to 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QDM with unstandardised ±1-month pooled windows (S2, v2.1)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 to 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QDM to TerraClimate (instead of ERA5-Land) PM 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 to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QDM to TerraClimate (instead of ERA5-Land) PM 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-7.3 to 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 chain: ISIMIP3b (5 GCMs) vs NEX-GDDP+QDM (same GCMs), SSP5-8.5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NEX+QDM: 7.5 (-10.5 to 23.6)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Skill-weighted mean over the 10 retained models unless stated. Robust as in Table IV. ISIMIP3b provides no SSP2-4.5; its five GCMs (GFDL-ESM4, IPSL-CM6A-LR, MPI-ESM1-2-HR, MRI-ESM2-0, UKESM1-0-LL) are compared with the same GCMs from NEX-GDDP-CMIP6 + QDM (unweighted means).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2026-10-23T21:38:15Z</dcterms:modified>
  <cp:category/>
</cp:coreProperties>
</file>