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
QDM VALIDATION: DETRENDED SPLIT SAMPLE, ODD/EVEN-YEAR CROSS-VALIDATION AND PSEUDO-REALITY (RAW VS QDM)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97"/>
        <w:gridCol w:w="971"/>
        <w:gridCol w:w="1442"/>
        <w:gridCol w:w="1317"/>
        <w:gridCol w:w="1442"/>
        <w:gridCol w:w="1317"/>
        <w:gridCol w:w="1095"/>
        <w:gridCol w:w="971"/>
        <w:gridCol w:w="1789"/>
        <w:gridCol w:w="1664"/>
      </w:tblGrid>
      <w:tr>
        <w:trPr>
          <w:trHeight w:val="551" w:hRule="auto"/>
          <w:tblHeader/>
        </w:trPr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scheme_group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q50_abs_QDM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q50_abs_raw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q90_abs_QDM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q90_abs_raw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KS_QDM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KS_raw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drought_bias_QDM</w:t>
            </w:r>
          </w:p>
        </w:tc>
        <w:tc>
          <w:tcPr>
            <w:tcBorders>
              <w:bottom w:val="single" w:sz="4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drought_bias_raw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detrended split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16.96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5.22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detrended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6.59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detrended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detrended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detrended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detrended split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odd/even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odd/even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6.85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odd/even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odd/even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106.72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odd/even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odd/even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pseudo-reality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hurs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pseudo-reality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190.51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6.46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pseudo-reality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rsds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pseudo-reality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sfcWind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pseudo-reality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546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pseudo-reality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tasmin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0.42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10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 absolute quantile bias (% for P, Rs, wind; °C or %-points otherwise), mean Kolmogorov–Smirnov distance and P drought-frequency bias (%-points; SPI-3 ≤ −1 equivalent), averaged over the retained models, every third 0.25° cell and calendar months.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2026-10-23T21:37:36Z</dcterms:modified>
  <cp:category/>
</cp:coreProperties>
</file>