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S2b
GCM RANK STABILITY: MOVING-BLOCK BOOTSTRAP OVER 1985–2014 (1000 REPLICATES, 5-YEAR BLOCKS)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6"/>
        <w:gridCol w:w="1797"/>
        <w:gridCol w:w="2028"/>
        <w:gridCol w:w="1589"/>
        <w:gridCol w:w="1171"/>
        <w:gridCol w:w="1673"/>
        <w:gridCol w:w="1037"/>
        <w:gridCol w:w="970"/>
        <w:gridCol w:w="1695"/>
        <w:gridCol w:w="1491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Selection order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 (entropy, full sample)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Full-sample rank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Mean rank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90% rank interval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P(top 10)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Selected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P(top 10), CRITIC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P(top 10), equal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MIROC6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1–12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GISS-E2-1-G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3–13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NorESM2-MM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1–13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CNRM-CM6-1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1–16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ACCESS-ESM1-5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2–16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CMCC-ESM2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1–21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CNRM-ESM2-1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INM-CM4-8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NorESM2-LM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GFDL-CM4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4–18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TaiESM1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3–20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EC-Earth3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2–24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MPI-ESM1-2-HR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2–25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GFDL-ESM4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5–24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EC-Earth3-Veg-LR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5–24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MIROC-ES2L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5–26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IPSL-CM6A-LR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7–25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UKESM1-0-LL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8–23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MPI-ESM1-2-LR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8–26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MRI-ESM2-0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8–27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FGOALS-g3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9–24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HadGEM3-GC31-LL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11–24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INM-CM5-0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11.95–26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ACCESS-CM2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15–26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KACE-1-0-G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16–26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KIOST-ESM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17–27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CanESM5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26.400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24–27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Entropy-weighted compromise programming (primary); in each replicate the climatologies, 16 metrics, normalisation, weights and ranks are recomputed. Selection: the ten highest P(top 10), ties by mean rank (pre-registered).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2026-10-23T21:37:18Z</dcterms:modified>
  <cp:category/>
</cp:coreProperties>
</file>