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
BINARY EXPOSURE (SECONDARY MEASURE): RAINFED WHEAT AND GROUNDNUT AREA (HA) INSIDE CELLS WITH A ROBUST INCREASE IN SPEI-3 DROUGHT FREQUENCY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2"/>
        <w:gridCol w:w="1717"/>
        <w:gridCol w:w="2038"/>
        <w:gridCol w:w="1384"/>
        <w:gridCol w:w="1957"/>
        <w:gridCol w:w="2020"/>
        <w:gridCol w:w="1957"/>
        <w:gridCol w:w="2020"/>
        <w:gridCol w:w="1860"/>
        <w:gridCol w:w="1922"/>
        <w:gridCol w:w="1860"/>
        <w:gridCol w:w="1922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Rainfed wheat (ha)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Rainfed groundnut (ha)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Cropland (ha)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wheat_exp_ssp245_far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wheat_exp_ssp245_mid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wheat_exp_ssp585_far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wheat_exp_ssp585_mid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gnut_exp_ssp245_far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gnut_exp_ssp245_mid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gnut_exp_ssp585_far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gnut_exp_ssp585_mid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182,513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45,324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273,698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161,332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182,513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41,480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45,324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263,579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131,133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162,684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182,419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129,524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138,434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Exposed = area inside 0.25° cells with a robust increase (≥80% sign agreement and Benjamini–Hochberg-adjusted Wilcoxon p &lt; 0.05 across the cells of each map). Crop areas as in Table 6.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2026-10-23T21:37:59Z</dcterms:modified>
  <cp:category/>
</cp:coreProperties>
</file>