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S4
DISTRICT-MEAN CHANGE IN SPEI-3 DROUGHT FREQUENCY (%-POINTS) RELATIVE TO 1985–2014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2"/>
        <w:gridCol w:w="1148"/>
        <w:gridCol w:w="1211"/>
        <w:gridCol w:w="1255"/>
        <w:gridCol w:w="1148"/>
        <w:gridCol w:w="1211"/>
        <w:gridCol w:w="1255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ssp245_near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ssp585_mid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ssp585_near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11.4†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13.5†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Skill-weighted mean over the retained models of the area-weighted cell changes. † robust: ≥80% sign agreement and Benjamini–Hochberg-adjusted Wilcoxon signed-rank p &lt; 0.05 (adjusted across the five units for each scenario and period) on the unweighted model changes.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2026-10-23T21:37:51Z</dcterms:modified>
  <cp:category/>
</cp:coreProperties>
</file>