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S5
AGREEMENT OF REGIONAL SPI-K AND SPEI-K WITH STANDARDISED ESA CCI SOIL-MOISTURE ANOMALIES (TABLE II VALIDATION OF AGRICULTURAL DROUGHT)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3"/>
        <w:gridCol w:w="1086"/>
        <w:gridCol w:w="771"/>
        <w:gridCol w:w="846"/>
        <w:gridCol w:w="1415"/>
        <w:gridCol w:w="953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index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n_months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r_all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r_rabi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drought_agree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hit_rate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SPI-1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SPI-3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SPI-6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SPI-12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SPEI-12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C3S/ESA CCI SM COMBINED v202505, monthly, standardised per calendar month over 1985–2014; months with &lt; 50% of the region observed excluded. Rabi: November–April. Drought: index ≤ −1 and SM anomaly ≤ −1.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2026-10-23T21:38:07Z</dcterms:modified>
  <cp:category/>
</cp:coreProperties>
</file>