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S6
SENSITIVITY OF THE KEY FAR-FUTURE (2076–2100) RESULTS TO THE GCM SET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17"/>
        <w:gridCol w:w="1011"/>
        <w:gridCol w:w="993"/>
        <w:gridCol w:w="1982"/>
        <w:gridCol w:w="1200"/>
        <w:gridCol w:w="1395"/>
        <w:gridCol w:w="2619"/>
        <w:gridCol w:w="3311"/>
      </w:tblGrid>
      <w:tr>
        <w:trPr>
          <w:trHeight w:val="551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 set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Scenario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 GCMs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Δ frequency far (%-pt)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Δ P far (%)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Δ ET0 far (%)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T_AND 25-yr: baseline / far (yr)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Δ frequency-weighted wheat exposure (%)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 (v3.1 selection)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10.0†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50.1 / 9.5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 (v3.1 selection)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11.1†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50.1 / 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70.9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v3 primary (before the v3.1 code fixes)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8.9†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65.8 / 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v3 primary (before the v3.1 code fixes)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65.8 / 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66.1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v2.2 primary (open-data stations only)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84.5 / 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v2.2 primary (open-data stations only)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11.6†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84.5 / 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old 10 (v2.1 primary)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10.7†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99.6 / 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65.4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old 10 (v2.1 primary)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12.8†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99.6 / 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 without models with a source discontinuity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55.1 / 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 without models with a source discontinuity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9.1†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55.1 / 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old (TerraClimate reference, v2)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72.8 / 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old (TerraClimate reference, v2)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10.7†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72.8 / 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69.3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models with scenario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95.4 / 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52.4</w:t>
            </w:r>
          </w:p>
        </w:tc>
      </w:tr>
      <w:tr>
        <w:trPr>
          <w:trHeight w:val="54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models with scenario data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9.9†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95.4 / 11.5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64.8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Weights ∝ 1/L2 of the current ranking within each set. † robust (≥80% sign agreement and Wilcoxon p &lt; 0.05). T_AND: pooled-ensemble Bernstein copula of the primary 25-yr reference event.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2026-10-23T21:38:25Z</dcterms:modified>
  <cp:category/>
</cp:coreProperties>
</file>