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S7
GLOFAS-ERA5 V4.0 DISCHARGE AGAINST WAPDA GAUGES (MONTHLY)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42"/>
        <w:gridCol w:w="1131"/>
        <w:gridCol w:w="1703"/>
        <w:gridCol w:w="1810"/>
        <w:gridCol w:w="1011"/>
        <w:gridCol w:w="753"/>
        <w:gridCol w:w="997"/>
        <w:gridCol w:w="766"/>
        <w:gridCol w:w="1028"/>
        <w:gridCol w:w="1634"/>
        <w:gridCol w:w="1563"/>
      </w:tblGrid>
      <w:tr>
        <w:trPr>
          <w:trHeight w:val="551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Gauge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Period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Gauge mean (m³/s)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GloFAS mean (m³/s)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Bias (%)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 (Q)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 (log Q)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KGE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 (SRI-3)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POD (SRI-3 ≤ −1)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CSI (SRI-3 ≤ −1)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Dhok Pathan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1981–2003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44.09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48.59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10.21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</w:t>
            </w:r>
          </w:p>
        </w:tc>
      </w:tr>
      <w:tr>
        <w:trPr>
          <w:trHeight w:val="54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Chirah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1981–2003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6.77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33.67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</w:t>
            </w:r>
          </w:p>
        </w:tc>
      </w:tr>
      <w:tr>
        <w:trPr>
          <w:trHeight w:val="360" w:hRule="auto"/>
        </w:trPr>
        <w:tc>
          <w:tcPr>
            <w:gridSpan w:val="11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Gauge SRI-3 calibrated on 1985–2003, GloFAS SRI-3 on 1985–2014; SRI-3 scores over 1985–2003. Source: SWHP, WAPDA.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2026-10-23T21:37:02Z</dcterms:modified>
  <cp:category/>
</cp:coreProperties>
</file>