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S8
UNCERTAINTY OF THE CHANGE IN FREQUENCY-WEIGHTED RAINFED-WHEAT EXPOSURE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66"/>
        <w:gridCol w:w="1011"/>
        <w:gridCol w:w="864"/>
        <w:gridCol w:w="3026"/>
        <w:gridCol w:w="2202"/>
        <w:gridCol w:w="1971"/>
        <w:gridCol w:w="3019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District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Scenario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Period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Δ wheat exposure, weighted mean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 range p10–p90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Bootstrap 95% CI (%)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Models with an increase (weighted %)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-6.3 to 129.2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 to 99.8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-28.4 to 113.6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 to 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 to 154.0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36.3 to 116.2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Attock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-17.2 to 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 to 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 to 137.4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 to 103.8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-32.5 to 107.8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 to 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 to 161.4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 to 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Chakwal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-12.0 to 108.1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 to 79.1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-9.6 to 92.1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 to 75.3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-39.8 to 111.7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 to 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-5.8 to 103.4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 to 73.6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Islamabad (ICT)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-14.0 to 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 to 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 to 113.9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to 87.6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-24.3 to 115.0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 to 65.0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 to 144.4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to 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Jhelum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 to 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 to 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 to 104.9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 to 83.7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-34.3 to 120.5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 to 65.3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-5.6 to 120.5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 to 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Rawalpindi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-10.9 to 81.4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 to 56.2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(all units)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-5.3 to 120.9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30.6 to 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(all units)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SSP2-4.5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-31.1 to 113.5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 to 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(all units)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 to 143.2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38.8 to 104.2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92.7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Potohar (all units)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SSP5-8.5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-12.3 to 92.9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 to 65.5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73.6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Per-GCM exposure change from each model's own cell drought frequencies (SPEI-3 ≤ −1) and the same crop areas as Table 6; weights ∝ 1/L. Model range: weighted 10th–90th percentiles; CI: 1000 model-level bootstrap resamples. The Table 6 value pools the ensemble cell frequencies first, so it can differ slightly from the weighted mean of the per-model changes.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2026-10-23T21:38:01Z</dcterms:modified>
  <cp:category/>
</cp:coreProperties>
</file>