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11-10-2026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1"/>
                <w:sz w:val="22"/>
                <w:szCs w:val="22"/>
              </w:rPr>
              <w:t xml:space="preserve">SWUID2026235621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>
              <w:rPr>
                <w:rFonts w:ascii="Calibri" w:cs="Calibri" w:eastAsia="Calibri" w:hAnsi="Calibri"/>
                <w:b w:val="1"/>
                <w:sz w:val="22"/>
                <w:szCs w:val="22"/>
              </w:rPr>
              <w:t xml:space="preserve">iMovies - Cinema Booking Platform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Functional Requirements – iMovies Cinema Booking Platform</w:t>
      </w:r>
    </w:p>
    <w:tbl>
      <w:tblPr>
        <w:tblStyle w:val="Table2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3543"/>
        <w:gridCol w:w="4820"/>
        <w:tblGridChange w:id="0">
          <w:tblGrid>
            <w:gridCol w:w="988"/>
            <w:gridCol w:w="3543"/>
            <w:gridCol w:w="48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Authentication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Sign up, Login, Password Reset</w:t>
            </w:r>
          </w:p>
          <w:tbl>
            <w:tblPr>
              <w:tblStyle w:val="Table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369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695"/>
              <w:tblGridChange w:id="0">
                <w:tblGrid>
                  <w:gridCol w:w="369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OAuth login using Google / GitHub</w:t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Movie Discovery &amp; Exploration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88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885"/>
              <w:tblGridChange w:id="0">
                <w:tblGrid>
                  <w:gridCol w:w="288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Browse movies by city, genre, language, and search query</w:t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View verified IMDb ratings and official HD YouTube trailers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Hero spotlight carousel with auto-advance and swipe gestures</w:t>
            </w:r>
          </w:p>
        </w:tc>
      </w:tr>
      <w:tr>
        <w:trPr>
          <w:cantSplit w:val="0"/>
          <w:trHeight w:val="1739.076334635416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330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305"/>
              <w:tblGridChange w:id="0">
                <w:tblGrid>
                  <w:gridCol w:w="330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spacing w:after="160" w:line="259" w:lineRule="auto"/>
                    <w:rPr>
                      <w:rFonts w:ascii="Calibri" w:cs="Calibri" w:eastAsia="Calibri" w:hAnsi="Calibri"/>
                      <w:b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Interactive Seat Selection &amp; Booking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Real-time interactive SVG seat matrix with live seat locking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Instant booking confirmation with digital ticket ID generation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AI Cinema Oracle &amp; Admin Controls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AI-driven mood recommendation engine and admin theater/showtime dashboard</w:t>
            </w:r>
          </w:p>
        </w:tc>
      </w:tr>
    </w:tbl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solution.</w:t>
      </w:r>
    </w:p>
    <w:tbl>
      <w:tblPr>
        <w:tblStyle w:val="Table10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"/>
        <w:gridCol w:w="1876"/>
        <w:gridCol w:w="6390"/>
        <w:tblGridChange w:id="0">
          <w:tblGrid>
            <w:gridCol w:w="750"/>
            <w:gridCol w:w="1876"/>
            <w:gridCol w:w="6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 No.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Modern dark-mode glassmorphism UI with responsive design across mobile and desktop devices.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61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180"/>
              <w:tblGridChange w:id="0">
                <w:tblGrid>
                  <w:gridCol w:w="618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Bcrypt password hashing, JWT stateless authentication, CORS protection, and rate limiting.</w:t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61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180"/>
              <w:tblGridChange w:id="0">
                <w:tblGrid>
                  <w:gridCol w:w="618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Atomic seat reservation preventing double-booking; sub-50ms WebSocket latency for live seat updates.</w:t>
                  </w:r>
                </w:p>
              </w:tc>
            </w:tr>
          </w:tbl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Fast API response times under 200ms; continuous 24/7 health monitoring via Better Stack.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61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180"/>
              <w:tblGridChange w:id="0">
                <w:tblGrid>
                  <w:gridCol w:w="618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The system should maintain 99.9% uptime across all services.</w:t>
                  </w:r>
                </w:p>
              </w:tc>
            </w:tr>
          </w:tbl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23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30"/>
              <w:tblGridChange w:id="0">
                <w:tblGrid>
                  <w:gridCol w:w="230"/>
                </w:tblGrid>
              </w:tblGridChange>
            </w:tblGrid>
            <w:tr>
              <w:trPr>
                <w:cantSplit w:val="0"/>
                <w:trHeight w:val="23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0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618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6180"/>
              <w:tblGridChange w:id="0">
                <w:tblGrid>
                  <w:gridCol w:w="618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spacing w:after="160" w:line="259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Should support high concurrency and rapid feature scaling through microservices.</w:t>
                  </w:r>
                </w:p>
              </w:tc>
            </w:tr>
          </w:tbl>
          <w:p w:rsidR="00000000" w:rsidDel="00000000" w:rsidP="00000000" w:rsidRDefault="00000000" w:rsidRPr="00000000" w14:paraId="00000062">
            <w:pPr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QAKFbORe2qDGx7EsTgx28tMuAw==">CgMxLjA4AHIhMS1oQ2ZVNjhCZEEzUHQzRDk4SllUalZFRWx2UTMtQVg0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