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100"/>
        <w:jc w:val="center"/>
      </w:pPr>
      <w:r>
        <w:rPr>
          <w:rFonts w:ascii="Times New Roman" w:hAnsi="Times New Roman" w:eastAsia="Times New Roman"/>
          <w:b/>
          <w:i w:val="0"/>
          <w:sz w:val="28"/>
        </w:rPr>
        <w:t>Medical and Surgical Management of Recurrent Pregnancy Loss: An Evidence-Based Approach</w:t>
      </w:r>
    </w:p>
    <w:p>
      <w:pPr>
        <w:keepNext/>
        <w:spacing w:after="200"/>
        <w:jc w:val="left"/>
      </w:pPr>
      <w:r>
        <w:rPr>
          <w:rFonts w:ascii="Times New Roman" w:hAnsi="Times New Roman" w:eastAsia="Times New Roman"/>
          <w:b/>
          <w:sz w:val="24"/>
        </w:rPr>
        <w:t xml:space="preserve">Author: </w:t>
      </w:r>
      <w:r>
        <w:rPr>
          <w:rFonts w:ascii="Times New Roman" w:hAnsi="Times New Roman" w:eastAsia="Times New Roman"/>
          <w:sz w:val="24"/>
        </w:rPr>
        <w:t>Myser Ahmad Lone</w:t>
      </w:r>
    </w:p>
    <w:p>
      <w:pPr>
        <w:keepNext/>
        <w:spacing w:after="160"/>
        <w:jc w:val="center"/>
      </w:pPr>
      <w:r>
        <w:rPr>
          <w:rFonts w:ascii="Times New Roman" w:hAnsi="Times New Roman" w:eastAsia="Times New Roman"/>
          <w:b/>
          <w:i/>
          <w:sz w:val="24"/>
        </w:rPr>
        <w:t>Abstract</w:t>
      </w:r>
    </w:p>
    <w:p>
      <w:pPr>
        <w:spacing w:line="276" w:lineRule="auto" w:after="160"/>
        <w:ind w:firstLine="0"/>
        <w:jc w:val="both"/>
      </w:pPr>
      <w:r>
        <w:rPr>
          <w:rFonts w:ascii="Times New Roman" w:hAnsi="Times New Roman" w:eastAsia="Times New Roman"/>
          <w:sz w:val="24"/>
        </w:rPr>
        <w:t>Recurrent pregnancy loss (RPL) is a multifactorial reproductive disorder that requires treatment based on the identified aetiology rather than routine empirical therapy. This review examines contemporary medical and surgical strategies within an individualized framework. Medical management includes progesterone supplementation in appropriately selected women, correction of thyroid and glycaemic abnormalities, and combined low-dose aspirin and heparin for confirmed antiphospholipid syndrome. Anticoagulant therapy for inherited thrombophilia or unexplained RPL remains inadequately supported and should be used cautiously. Immunomodulatory interventions, including corticosteroids, intravenous immunoglobulin, and intralipid therapy, are evaluated with respect to efficacy, safety, cost, and requirements for specialist supervision.</w:t>
      </w:r>
    </w:p>
    <w:p>
      <w:pPr>
        <w:spacing w:line="276" w:lineRule="auto" w:after="200"/>
        <w:ind w:firstLine="0"/>
        <w:jc w:val="both"/>
      </w:pPr>
      <w:r>
        <w:rPr>
          <w:rFonts w:ascii="Times New Roman" w:hAnsi="Times New Roman" w:eastAsia="Times New Roman"/>
          <w:sz w:val="24"/>
        </w:rPr>
        <w:t>Surgical management depends on the clinical relevance of the identified anatomical abnormality. Hysteroscopic correction may be considered for selected patients with a uterine septum, intrauterine adhesions, cavity-distorting submucosal fibroids, or endometrial polyps. Cervical cerclage may be appropriate for history-indicated, ultrasound-indicated, or examination-indicated cervical insufficiency, with careful attention to timing and procedural risk. Effective management integrates reproductive history, diagnostic findings, prior pregnancy patterns, and patient preferences. Preconception optimization, counselling, shared decision-making, and early pregnancy surveillance remain essential, especially when no definitive cause is established. Appropriate treatment selection can minimize unnecessary intervention while supporting safe, evidence-informed reproductive care.</w:t>
      </w:r>
    </w:p>
    <w:p>
      <w:pPr>
        <w:spacing w:before="40" w:after="0"/>
        <w:jc w:val="both"/>
      </w:pPr>
      <w:r>
        <w:rPr>
          <w:rFonts w:ascii="Times New Roman" w:hAnsi="Times New Roman" w:eastAsia="Times New Roman"/>
          <w:b/>
          <w:i/>
          <w:sz w:val="24"/>
        </w:rPr>
        <w:t xml:space="preserve">Keywords: </w:t>
      </w:r>
      <w:r>
        <w:rPr>
          <w:rFonts w:ascii="Times New Roman" w:hAnsi="Times New Roman" w:eastAsia="Times New Roman"/>
          <w:b w:val="0"/>
          <w:i/>
          <w:sz w:val="24"/>
        </w:rPr>
        <w:t>Recurrent pregnancy loss; recurrent miscarriage; progesterone; antiphospholipid syndrome; immunomodulation; hysteroscopy; cervical cerclage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Medical and Surgical Management of Recurrent Pregnancy Loss: An Evidence-Based Approach</dc:title>
  <dc:subject>Abstract on the medical and surgical management of recurrent pregnancy loss</dc:subject>
  <dc:creator>Myser Ahmad Lone</dc:creator>
  <cp:keywords>Recurrent pregnancy loss; recurrent miscarriage; progesterone; antiphospholipid syndrome; immunomodulation; hysteroscopy; cervical cerclage</cp:keywords>
  <dc:description>Original academic abstract prepared for submission.</dc:description>
  <cp:lastModifiedBy>Myser Ahmad Lone</cp:lastModifiedBy>
  <cp:revision>1</cp:revision>
  <dcterms:created xsi:type="dcterms:W3CDTF">2013-12-23T23:15:00Z</dcterms:created>
  <dcterms:modified xsi:type="dcterms:W3CDTF">2013-12-23T23:15:00Z</dcterms:modified>
  <cp:category/>
</cp:coreProperties>
</file>