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1200" w:lineRule="exact"/>
      </w:pPr>
    </w:p>
    <w:p>
      <w:pPr>
        <w:spacing w:after="200" w:line="720" w:lineRule="exact"/>
        <w:jc w:val="center"/>
      </w:pPr>
      <w:r>
        <w:rPr>
          <w:rFonts w:ascii="Comic Sans MS" w:hAnsi="Comic Sans MS" w:cs="Comic Sans MS" w:eastAsia="Comic Sans MS"/>
          <w:b/>
          <w:i w:val="0"/>
          <w:color w:val="FF0000"/>
          <w:sz w:val="48"/>
        </w:rPr>
        <w:t>CAREWELL PHARMACY</w:t>
      </w:r>
    </w:p>
    <w:p>
      <w:pPr>
        <w:spacing w:after="480" w:line="540" w:lineRule="exact"/>
        <w:jc w:val="center"/>
      </w:pPr>
      <w:r>
        <w:rPr>
          <w:rFonts w:ascii="Comic Sans MS" w:hAnsi="Comic Sans MS" w:cs="Comic Sans MS" w:eastAsia="Comic Sans MS"/>
          <w:b/>
          <w:i w:val="0"/>
          <w:color w:val="000000"/>
          <w:sz w:val="36"/>
        </w:rPr>
        <w:t>M Pharmacy Notes</w:t>
      </w:r>
    </w:p>
    <w:p>
      <w:pPr>
        <w:spacing w:after="120" w:line="540" w:lineRule="exact"/>
        <w:jc w:val="center"/>
      </w:pPr>
      <w:r>
        <w:rPr>
          <w:rFonts w:ascii="Comic Sans MS" w:hAnsi="Comic Sans MS" w:cs="Comic Sans MS" w:eastAsia="Comic Sans MS"/>
          <w:b/>
          <w:i w:val="0"/>
          <w:color w:val="FF0000"/>
          <w:sz w:val="36"/>
        </w:rPr>
        <w:t>Pharmaceutical Formulation and Development</w:t>
      </w:r>
    </w:p>
    <w:p>
      <w:pPr>
        <w:spacing w:after="200" w:line="540" w:lineRule="exact"/>
        <w:jc w:val="center"/>
      </w:pPr>
      <w:r>
        <w:rPr>
          <w:rFonts w:ascii="Comic Sans MS" w:hAnsi="Comic Sans MS" w:cs="Comic Sans MS" w:eastAsia="Comic Sans MS"/>
          <w:b/>
          <w:i w:val="0"/>
          <w:color w:val="000000"/>
          <w:sz w:val="36"/>
        </w:rPr>
        <w:t>(MPT103T)</w:t>
      </w:r>
    </w:p>
    <w:p>
      <w:pPr>
        <w:spacing w:after="0" w:line="1800" w:lineRule="exact"/>
      </w:pPr>
    </w:p>
    <w:p>
      <w:pPr>
        <w:spacing w:after="200" w:line="540" w:lineRule="exact"/>
        <w:jc w:val="center"/>
      </w:pPr>
      <w:r>
        <w:rPr>
          <w:rFonts w:ascii="Comic Sans MS" w:hAnsi="Comic Sans MS" w:cs="Comic Sans MS" w:eastAsia="Comic Sans MS"/>
          <w:b/>
          <w:i w:val="0"/>
          <w:color w:val="000000"/>
          <w:sz w:val="36"/>
        </w:rPr>
        <w:t>Connect With Us</w:t>
      </w:r>
    </w:p>
    <w:p>
      <w:pPr>
        <w:spacing w:after="80"/>
        <w:jc w:val="center"/>
      </w:pPr>
      <w:r>
        <w:rPr>
          <w:rFonts w:ascii="Comic Sans MS" w:hAnsi="Comic Sans MS" w:cs="Comic Sans MS" w:eastAsia="Comic Sans MS"/>
          <w:b w:val="0"/>
          <w:i w:val="0"/>
          <w:color w:val="000000"/>
          <w:sz w:val="28"/>
        </w:rPr>
        <w:t>Website - www.carewellpharmacy.in</w:t>
      </w:r>
    </w:p>
    <w:p>
      <w:pPr>
        <w:spacing w:after="80"/>
        <w:jc w:val="center"/>
      </w:pPr>
      <w:r>
        <w:rPr>
          <w:rFonts w:ascii="Comic Sans MS" w:hAnsi="Comic Sans MS" w:cs="Comic Sans MS" w:eastAsia="Comic Sans MS"/>
          <w:b w:val="0"/>
          <w:i w:val="0"/>
          <w:color w:val="000000"/>
          <w:sz w:val="28"/>
        </w:rPr>
        <w:t>Telegram - Carewell Pharmacy</w:t>
      </w:r>
    </w:p>
    <w:p>
      <w:r>
        <w:br w:type="page"/>
      </w:r>
    </w:p>
    <w:p>
      <w:pPr>
        <w:keepNext/>
        <w:spacing w:before="200" w:after="120" w:line="540" w:lineRule="exact"/>
        <w:jc w:val="both"/>
      </w:pPr>
      <w:r>
        <w:rPr>
          <w:rFonts w:ascii="Comic Sans MS" w:hAnsi="Comic Sans MS" w:cs="Comic Sans MS" w:eastAsia="Comic Sans MS"/>
          <w:b/>
          <w:i w:val="0"/>
          <w:color w:val="FF0000"/>
          <w:sz w:val="36"/>
        </w:rPr>
        <w:t>Syllabus</w:t>
      </w:r>
    </w:p>
    <w:p>
      <w:pPr>
        <w:spacing w:after="160"/>
        <w:jc w:val="both"/>
      </w:pPr>
      <w:r>
        <w:rPr>
          <w:rFonts w:ascii="Comic Sans MS" w:hAnsi="Comic Sans MS" w:cs="Comic Sans MS" w:eastAsia="Comic Sans MS"/>
          <w:b/>
          <w:i w:val="0"/>
          <w:color w:val="000000"/>
          <w:sz w:val="28"/>
        </w:rPr>
        <w:t>M. Pharmacy - Pharmaceutical Technology - Semester I</w:t>
      </w:r>
    </w:p>
    <w:p>
      <w:pPr>
        <w:spacing w:after="160"/>
        <w:jc w:val="both"/>
      </w:pPr>
      <w:r>
        <w:rPr>
          <w:rFonts w:ascii="Comic Sans MS" w:hAnsi="Comic Sans MS" w:cs="Comic Sans MS" w:eastAsia="Comic Sans MS"/>
          <w:b/>
          <w:i w:val="0"/>
          <w:color w:val="000000"/>
          <w:sz w:val="28"/>
        </w:rPr>
        <w:t>Subject Name:</w:t>
      </w:r>
      <w:r>
        <w:rPr>
          <w:rFonts w:ascii="Comic Sans MS" w:hAnsi="Comic Sans MS" w:cs="Comic Sans MS" w:eastAsia="Comic Sans MS"/>
          <w:b w:val="0"/>
          <w:i w:val="0"/>
          <w:color w:val="000000"/>
          <w:sz w:val="28"/>
        </w:rPr>
        <w:t xml:space="preserve"> Pharmaceutical Formulation and Development</w:t>
      </w:r>
    </w:p>
    <w:p>
      <w:pPr>
        <w:spacing w:after="160"/>
        <w:jc w:val="both"/>
      </w:pPr>
      <w:r>
        <w:rPr>
          <w:rFonts w:ascii="Comic Sans MS" w:hAnsi="Comic Sans MS" w:cs="Comic Sans MS" w:eastAsia="Comic Sans MS"/>
          <w:b/>
          <w:i w:val="0"/>
          <w:color w:val="000000"/>
          <w:sz w:val="28"/>
        </w:rPr>
        <w:t>Subject Code:</w:t>
      </w:r>
      <w:r>
        <w:rPr>
          <w:rFonts w:ascii="Comic Sans MS" w:hAnsi="Comic Sans MS" w:cs="Comic Sans MS" w:eastAsia="Comic Sans MS"/>
          <w:b w:val="0"/>
          <w:i w:val="0"/>
          <w:color w:val="000000"/>
          <w:sz w:val="28"/>
        </w:rPr>
        <w:t xml:space="preserve"> MPT103T</w:t>
      </w:r>
    </w:p>
    <w:p>
      <w:pPr>
        <w:spacing w:after="160"/>
        <w:jc w:val="both"/>
      </w:pPr>
      <w:r>
        <w:rPr>
          <w:rFonts w:ascii="Comic Sans MS" w:hAnsi="Comic Sans MS" w:cs="Comic Sans MS" w:eastAsia="Comic Sans MS"/>
          <w:b/>
          <w:i w:val="0"/>
          <w:color w:val="000000"/>
          <w:sz w:val="28"/>
        </w:rPr>
        <w:t>Total:</w:t>
      </w:r>
      <w:r>
        <w:rPr>
          <w:rFonts w:ascii="Comic Sans MS" w:hAnsi="Comic Sans MS" w:cs="Comic Sans MS" w:eastAsia="Comic Sans MS"/>
          <w:b w:val="0"/>
          <w:i w:val="0"/>
          <w:color w:val="000000"/>
          <w:sz w:val="28"/>
        </w:rPr>
        <w:t xml:space="preserve"> 60 Hours</w:t>
      </w:r>
    </w:p>
    <w:p>
      <w:pPr>
        <w:spacing w:after="0" w:line="160" w:lineRule="exact"/>
      </w:pPr>
    </w:p>
    <w:p>
      <w:pPr>
        <w:keepNext/>
        <w:spacing w:before="160" w:after="40"/>
      </w:pPr>
      <w:r>
        <w:rPr>
          <w:rFonts w:ascii="Comic Sans MS" w:hAnsi="Comic Sans MS" w:cs="Comic Sans MS" w:eastAsia="Comic Sans MS"/>
          <w:b/>
          <w:i w:val="0"/>
          <w:color w:val="000000"/>
          <w:sz w:val="28"/>
        </w:rPr>
        <w:t>Scope</w:t>
      </w:r>
    </w:p>
    <w:p>
      <w:pPr>
        <w:spacing w:after="160"/>
        <w:jc w:val="both"/>
      </w:pPr>
      <w:r>
        <w:rPr>
          <w:rFonts w:ascii="Comic Sans MS" w:hAnsi="Comic Sans MS" w:cs="Comic Sans MS" w:eastAsia="Comic Sans MS"/>
          <w:b w:val="0"/>
          <w:i w:val="0"/>
          <w:color w:val="000000"/>
          <w:sz w:val="28"/>
        </w:rPr>
        <w:t>Course designed to impart advanced knowledge and skills required to learn various aspects and concepts at pharmaceutical formulation development.</w:t>
      </w:r>
    </w:p>
    <w:p>
      <w:pPr>
        <w:keepNext/>
        <w:spacing w:before="160" w:after="40"/>
      </w:pPr>
      <w:r>
        <w:rPr>
          <w:rFonts w:ascii="Comic Sans MS" w:hAnsi="Comic Sans MS" w:cs="Comic Sans MS" w:eastAsia="Comic Sans MS"/>
          <w:b/>
          <w:i w:val="0"/>
          <w:color w:val="000000"/>
          <w:sz w:val="28"/>
        </w:rPr>
        <w:t>Objectives</w:t>
      </w:r>
    </w:p>
    <w:p>
      <w:pPr>
        <w:spacing w:after="160"/>
        <w:jc w:val="both"/>
      </w:pPr>
      <w:r>
        <w:rPr>
          <w:rFonts w:ascii="Comic Sans MS" w:hAnsi="Comic Sans MS" w:cs="Comic Sans MS" w:eastAsia="Comic Sans MS"/>
          <w:b w:val="0"/>
          <w:i w:val="0"/>
          <w:color w:val="000000"/>
          <w:sz w:val="28"/>
        </w:rPr>
        <w:t>Upon completion of the course, it is expected that the students will be able to understand:</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Basic of fundamental of Preformulation study and its importance in development of formulation.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Development of skills in selection of right excipients and biomaterial for the development of formulation.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Importance of dissolution study and its role in development of dosage form.</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Basic concept of stability and regulatory requirement related to stability testing.</w:t>
      </w:r>
    </w:p>
    <w:p>
      <w:pPr>
        <w:spacing w:after="0" w:line="160" w:lineRule="exact"/>
      </w:pPr>
    </w:p>
    <w:p>
      <w:pPr>
        <w:keepNext/>
        <w:spacing w:before="160" w:after="40"/>
      </w:pPr>
      <w:r>
        <w:rPr>
          <w:rFonts w:ascii="Comic Sans MS" w:hAnsi="Comic Sans MS" w:cs="Comic Sans MS" w:eastAsia="Comic Sans MS"/>
          <w:b/>
          <w:i w:val="0"/>
          <w:color w:val="000000"/>
          <w:sz w:val="28"/>
        </w:rPr>
        <w:t>1. Preformulation Study - 15 Hrs</w:t>
      </w:r>
    </w:p>
    <w:p>
      <w:pPr>
        <w:spacing w:after="160"/>
        <w:jc w:val="both"/>
      </w:pPr>
      <w:r>
        <w:rPr>
          <w:rFonts w:ascii="Comic Sans MS" w:hAnsi="Comic Sans MS" w:cs="Comic Sans MS" w:eastAsia="Comic Sans MS"/>
          <w:b w:val="0"/>
          <w:i w:val="0"/>
          <w:color w:val="000000"/>
          <w:sz w:val="28"/>
        </w:rPr>
        <w:t>(a) Physical, Chemical and Pharmaceutical factors influencing formulation. (b) Solid-state characterization: Crystallinity, hygroscopicity, Particle size and particle size distribution, compaction properties. (c) Crystalline and polymorphism and its evaluation. Rationale for selecting the preferred polymorph/crystalline form. (d) General principles and applications of various characterization techniques viz: Differential thermal analysis, Differential scanning calorimetry, X-Ray diffraction, FTIR in Preformulation study. (e) Drug-excipient compatibility study. (f) Traces of organic volatile impurities (OVIs) and their regulatory limits (residual solvents). (g) Preformulation studies of Biotechnological derived products and reference guidelines.</w:t>
      </w:r>
    </w:p>
    <w:p>
      <w:pPr>
        <w:keepNext/>
        <w:spacing w:before="160" w:after="40"/>
      </w:pPr>
      <w:r>
        <w:rPr>
          <w:rFonts w:ascii="Comic Sans MS" w:hAnsi="Comic Sans MS" w:cs="Comic Sans MS" w:eastAsia="Comic Sans MS"/>
          <w:b/>
          <w:i w:val="0"/>
          <w:color w:val="000000"/>
          <w:sz w:val="28"/>
        </w:rPr>
        <w:t>2. Dissolution Study - 10 Hrs</w:t>
      </w:r>
    </w:p>
    <w:p>
      <w:pPr>
        <w:spacing w:after="160"/>
        <w:jc w:val="both"/>
      </w:pPr>
      <w:r>
        <w:rPr>
          <w:rFonts w:ascii="Comic Sans MS" w:hAnsi="Comic Sans MS" w:cs="Comic Sans MS" w:eastAsia="Comic Sans MS"/>
          <w:b w:val="0"/>
          <w:i w:val="0"/>
          <w:color w:val="000000"/>
          <w:sz w:val="28"/>
        </w:rPr>
        <w:t>(a) Importance, objectives, equipment's. (b) Biological classification system (BCS); its significance on dissolution study and Application in dosage form development. (c) Selection of dissolution media and conditions. (d) Comparison of dissolution profile by model independent (similarity and dissimilarity factor) and dependent methods.</w:t>
      </w:r>
    </w:p>
    <w:p>
      <w:pPr>
        <w:keepNext/>
        <w:spacing w:before="160" w:after="40"/>
      </w:pPr>
      <w:r>
        <w:rPr>
          <w:rFonts w:ascii="Comic Sans MS" w:hAnsi="Comic Sans MS" w:cs="Comic Sans MS" w:eastAsia="Comic Sans MS"/>
          <w:b/>
          <w:i w:val="0"/>
          <w:color w:val="000000"/>
          <w:sz w:val="28"/>
        </w:rPr>
        <w:t>3. Solubilization and Solubilized System - 10 Hrs</w:t>
      </w:r>
    </w:p>
    <w:p>
      <w:pPr>
        <w:spacing w:after="160"/>
        <w:jc w:val="both"/>
      </w:pPr>
      <w:r>
        <w:rPr>
          <w:rFonts w:ascii="Comic Sans MS" w:hAnsi="Comic Sans MS" w:cs="Comic Sans MS" w:eastAsia="Comic Sans MS"/>
          <w:b w:val="0"/>
          <w:i w:val="0"/>
          <w:color w:val="000000"/>
          <w:sz w:val="28"/>
        </w:rPr>
        <w:t>(a) Theoretical aspects and applications in drug solubilization. (b) Techniques for improvement in drug solubilization for development of various Dosage forms.</w:t>
      </w:r>
    </w:p>
    <w:p>
      <w:pPr>
        <w:keepNext/>
        <w:spacing w:before="160" w:after="40"/>
      </w:pPr>
      <w:r>
        <w:rPr>
          <w:rFonts w:ascii="Comic Sans MS" w:hAnsi="Comic Sans MS" w:cs="Comic Sans MS" w:eastAsia="Comic Sans MS"/>
          <w:b/>
          <w:i w:val="0"/>
          <w:color w:val="000000"/>
          <w:sz w:val="28"/>
        </w:rPr>
        <w:t>4. Stability Study - 15 Hrs</w:t>
      </w:r>
    </w:p>
    <w:p>
      <w:pPr>
        <w:spacing w:after="160"/>
        <w:jc w:val="both"/>
      </w:pPr>
      <w:r>
        <w:rPr>
          <w:rFonts w:ascii="Comic Sans MS" w:hAnsi="Comic Sans MS" w:cs="Comic Sans MS" w:eastAsia="Comic Sans MS"/>
          <w:b w:val="0"/>
          <w:i w:val="0"/>
          <w:color w:val="000000"/>
          <w:sz w:val="28"/>
        </w:rPr>
        <w:t>(a) Basic concept and objectives of stability study. (b) Order of reaction and their applications in predicting shelf life and half-life of pharmaceutical formulations. (c) Importance of accelerated stability study. (d) Effect of various environmental/processing factors like light, pH, temperature, etc. on stability of the formulation and techniques for stabilization of product against the same. (e) Regulatory requirements related to stability testing with emphasis on matrixing/bracketing techniques, climatic zones, impurities in stability study, photostability testing etc. (f) Applications of microcalorimetry in stability study.</w:t>
      </w:r>
    </w:p>
    <w:p>
      <w:pPr>
        <w:keepNext/>
        <w:spacing w:before="160" w:after="40"/>
      </w:pPr>
      <w:r>
        <w:rPr>
          <w:rFonts w:ascii="Comic Sans MS" w:hAnsi="Comic Sans MS" w:cs="Comic Sans MS" w:eastAsia="Comic Sans MS"/>
          <w:b/>
          <w:i w:val="0"/>
          <w:color w:val="000000"/>
          <w:sz w:val="28"/>
        </w:rPr>
        <w:t>5. Excipients for Pharmaceutical Formulations - 6 Hrs</w:t>
      </w:r>
    </w:p>
    <w:p>
      <w:pPr>
        <w:spacing w:after="160"/>
        <w:jc w:val="both"/>
      </w:pPr>
      <w:r>
        <w:rPr>
          <w:rFonts w:ascii="Comic Sans MS" w:hAnsi="Comic Sans MS" w:cs="Comic Sans MS" w:eastAsia="Comic Sans MS"/>
          <w:b w:val="0"/>
          <w:i w:val="0"/>
          <w:color w:val="000000"/>
          <w:sz w:val="28"/>
        </w:rPr>
        <w:t>Factors affecting the selection (including safety considerations), drug-excipient and excipient-package interactions, Study of newer excipients like cyclodextrin, ion exchange resins, film coating materials, super-disintegrants, directly compressible vehicles, surfactants, thickeners. Co-processed excipients.</w:t>
      </w:r>
    </w:p>
    <w:p>
      <w:pPr>
        <w:keepNext/>
        <w:spacing w:before="160" w:after="40"/>
      </w:pPr>
      <w:r>
        <w:rPr>
          <w:rFonts w:ascii="Comic Sans MS" w:hAnsi="Comic Sans MS" w:cs="Comic Sans MS" w:eastAsia="Comic Sans MS"/>
          <w:b/>
          <w:i w:val="0"/>
          <w:color w:val="000000"/>
          <w:sz w:val="28"/>
        </w:rPr>
        <w:t>6. Biomaterials - 4 Hrs</w:t>
      </w:r>
    </w:p>
    <w:p>
      <w:pPr>
        <w:spacing w:after="160"/>
        <w:jc w:val="both"/>
      </w:pPr>
      <w:r>
        <w:rPr>
          <w:rFonts w:ascii="Comic Sans MS" w:hAnsi="Comic Sans MS" w:cs="Comic Sans MS" w:eastAsia="Comic Sans MS"/>
          <w:b w:val="0"/>
          <w:i w:val="0"/>
          <w:color w:val="000000"/>
          <w:sz w:val="28"/>
        </w:rPr>
        <w:t>Types, applications of biomaterials in pharmaceutical formulations &amp; medicine, safety considerations of biomaterials, mechanism of biodegradation.</w:t>
      </w:r>
    </w:p>
    <w:p>
      <w:r>
        <w:br w:type="page"/>
      </w:r>
    </w:p>
    <w:p>
      <w:pPr>
        <w:keepNext/>
        <w:spacing w:before="200" w:after="120" w:line="540" w:lineRule="exact"/>
        <w:jc w:val="both"/>
      </w:pPr>
      <w:r>
        <w:rPr>
          <w:rFonts w:ascii="Comic Sans MS" w:hAnsi="Comic Sans MS" w:cs="Comic Sans MS" w:eastAsia="Comic Sans MS"/>
          <w:b/>
          <w:i w:val="0"/>
          <w:color w:val="FF0000"/>
          <w:sz w:val="36"/>
        </w:rPr>
        <w:t>Unit I - Preformulation Study</w:t>
      </w:r>
    </w:p>
    <w:p>
      <w:pPr>
        <w:keepNext/>
        <w:spacing w:before="160" w:after="40"/>
      </w:pPr>
      <w:r>
        <w:rPr>
          <w:rFonts w:ascii="Comic Sans MS" w:hAnsi="Comic Sans MS" w:cs="Comic Sans MS" w:eastAsia="Comic Sans MS"/>
          <w:b/>
          <w:i w:val="0"/>
          <w:color w:val="000000"/>
          <w:sz w:val="28"/>
        </w:rPr>
        <w:t>1.1 Introduction and Definition</w:t>
      </w:r>
    </w:p>
    <w:p>
      <w:pPr>
        <w:spacing w:after="160"/>
        <w:jc w:val="both"/>
      </w:pPr>
      <w:r>
        <w:rPr>
          <w:rFonts w:ascii="Comic Sans MS" w:hAnsi="Comic Sans MS" w:cs="Comic Sans MS" w:eastAsia="Comic Sans MS"/>
          <w:b w:val="0"/>
          <w:i w:val="0"/>
          <w:color w:val="000000"/>
          <w:sz w:val="28"/>
        </w:rPr>
        <w:t>Preformulation may be defined as the first learning phase of product development in which the physicochemical properties of a new drug substance are characterised, alone and in combination with excipients, in order to generate the information necessary to develop a stable, effective, safe and manufacturable dosage form.</w:t>
      </w:r>
    </w:p>
    <w:p>
      <w:pPr>
        <w:spacing w:after="160"/>
        <w:jc w:val="both"/>
      </w:pPr>
      <w:r>
        <w:rPr>
          <w:rFonts w:ascii="Comic Sans MS" w:hAnsi="Comic Sans MS" w:cs="Comic Sans MS" w:eastAsia="Comic Sans MS"/>
          <w:b w:val="0"/>
          <w:i w:val="0"/>
          <w:color w:val="000000"/>
          <w:sz w:val="28"/>
        </w:rPr>
        <w:t>It is the bridge between drug discovery and formulation development. Once a molecule has shown promise in pharmacological screening, it is handed over to the formulation scientist, who cannot proceed rationally until the intrinsic behaviour of the molecule is known. Preformulation therefore begins as soon as sufficient quantity (often only a few hundred milligrams) of reasonably pure drug becomes available.</w:t>
      </w:r>
    </w:p>
    <w:p>
      <w:pPr>
        <w:spacing w:after="160"/>
        <w:jc w:val="both"/>
      </w:pPr>
      <w:r>
        <w:rPr>
          <w:rFonts w:ascii="Comic Sans MS" w:hAnsi="Comic Sans MS" w:cs="Comic Sans MS" w:eastAsia="Comic Sans MS"/>
          <w:b w:val="0"/>
          <w:i w:val="0"/>
          <w:color w:val="000000"/>
          <w:sz w:val="28"/>
        </w:rPr>
        <w:t>The classical definition given by Wells describes preformulation as "the stage of development during which the physicochemical properties of drug substances are characterised in order to develop a safe, effective and stable dosage form."</w:t>
      </w:r>
    </w:p>
    <w:p>
      <w:pPr>
        <w:keepNext/>
        <w:spacing w:before="160" w:after="40"/>
      </w:pPr>
      <w:r>
        <w:rPr>
          <w:rFonts w:ascii="Comic Sans MS" w:hAnsi="Comic Sans MS" w:cs="Comic Sans MS" w:eastAsia="Comic Sans MS"/>
          <w:b/>
          <w:i w:val="0"/>
          <w:color w:val="000000"/>
          <w:sz w:val="28"/>
        </w:rPr>
        <w:t>1.2 Objectives and Importance of Preformulation Study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To establish the identity, purity and physicochemical profile of the new drug substance.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To determine the kinetic and thermodynamic solubility and the pH-solubility profile, which govern the choice of dosage form and the possibility of parenteral or liquid formulations.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To identify the inherent stability problems of the molecule and the conditions (pH, light, oxygen, moisture, temperature) under which it degrades.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To establish compatibility with candidate excipients and with the container closure system.</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To select the optimum solid form (salt, polymorph, solvate, co-crystal or amorphous form) on a rational rather than arbitrary basis.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To generate data on flow, compaction and compression behaviour required for scale-up of solid dosage forms.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To predict bioavailability-limiting factors and to decide whether solubility enhancement or permeation enhancement will be required.</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To provide the analytical foundation (stability-indicating assay methods) required for all subsequent development work.</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To minimise the cost and time of development by avoiding formulation failures that would otherwise appear late in development.</w:t>
      </w:r>
    </w:p>
    <w:p>
      <w:pPr>
        <w:spacing w:after="160"/>
        <w:jc w:val="both"/>
      </w:pPr>
      <w:r>
        <w:rPr>
          <w:rFonts w:ascii="Comic Sans MS" w:hAnsi="Comic Sans MS" w:cs="Comic Sans MS" w:eastAsia="Comic Sans MS"/>
          <w:b w:val="0"/>
          <w:i w:val="0"/>
          <w:color w:val="000000"/>
          <w:sz w:val="28"/>
        </w:rPr>
        <w:t>The economic importance of the exercise cannot be overstated. A formulation problem detected at the preformulation stage costs very little to correct; the same problem detected after pilot-scale manufacture, clinical supply preparation or, worst of all, after marketing, may require complete reformulation, repetition of bioequivalence studies and regulatory re-submission.</w:t>
      </w:r>
    </w:p>
    <w:p>
      <w:pPr>
        <w:keepNext/>
        <w:spacing w:before="160" w:after="40"/>
      </w:pPr>
      <w:r>
        <w:rPr>
          <w:rFonts w:ascii="Comic Sans MS" w:hAnsi="Comic Sans MS" w:cs="Comic Sans MS" w:eastAsia="Comic Sans MS"/>
          <w:b/>
          <w:i w:val="0"/>
          <w:color w:val="000000"/>
          <w:sz w:val="28"/>
        </w:rPr>
        <w:t>1.3 Physical Factors Influencing Formulation</w:t>
      </w:r>
    </w:p>
    <w:p>
      <w:pPr>
        <w:spacing w:after="160"/>
        <w:jc w:val="both"/>
      </w:pPr>
      <w:r>
        <w:rPr>
          <w:rFonts w:ascii="Comic Sans MS" w:hAnsi="Comic Sans MS" w:cs="Comic Sans MS" w:eastAsia="Comic Sans MS"/>
          <w:b w:val="0"/>
          <w:i w:val="0"/>
          <w:color w:val="000000"/>
          <w:sz w:val="28"/>
        </w:rPr>
        <w:t>The physical properties of a drug substance determine how it will behave during handling, processing and storage, and how it will release the drug in vivo. The principal physical factors are discussed below.</w:t>
      </w:r>
    </w:p>
    <w:p>
      <w:pPr>
        <w:keepNext/>
        <w:spacing w:before="160" w:after="40"/>
      </w:pPr>
      <w:r>
        <w:rPr>
          <w:rFonts w:ascii="Comic Sans MS" w:hAnsi="Comic Sans MS" w:cs="Comic Sans MS" w:eastAsia="Comic Sans MS"/>
          <w:b/>
          <w:i w:val="0"/>
          <w:color w:val="000000"/>
          <w:sz w:val="28"/>
        </w:rPr>
        <w:t>1.3.1 Organoleptic Properties</w:t>
      </w:r>
    </w:p>
    <w:p>
      <w:pPr>
        <w:spacing w:after="160"/>
        <w:jc w:val="both"/>
      </w:pPr>
      <w:r>
        <w:rPr>
          <w:rFonts w:ascii="Comic Sans MS" w:hAnsi="Comic Sans MS" w:cs="Comic Sans MS" w:eastAsia="Comic Sans MS"/>
          <w:b w:val="0"/>
          <w:i w:val="0"/>
          <w:color w:val="000000"/>
          <w:sz w:val="28"/>
        </w:rPr>
        <w:t>The colour, odour and taste of the drug are recorded at the outset because they influence patient acceptability and because a change in them is often the earliest visible indication of chemical degradation. Descriptive terminology should be standardised, for example "off-white crystalline powder" rather than subjective statements. Where an unpleasant taste is noted, the formulator is alerted at once to the need for coating, complexation with ion exchange resins, or conversion to a less soluble derivative.</w:t>
      </w:r>
    </w:p>
    <w:p>
      <w:pPr>
        <w:keepNext/>
        <w:spacing w:before="160" w:after="40"/>
      </w:pPr>
      <w:r>
        <w:rPr>
          <w:rFonts w:ascii="Comic Sans MS" w:hAnsi="Comic Sans MS" w:cs="Comic Sans MS" w:eastAsia="Comic Sans MS"/>
          <w:b/>
          <w:i w:val="0"/>
          <w:color w:val="000000"/>
          <w:sz w:val="28"/>
        </w:rPr>
        <w:t>1.3.2 Particle Size, Shape and Surface Area</w:t>
      </w:r>
    </w:p>
    <w:p>
      <w:pPr>
        <w:spacing w:after="160"/>
        <w:jc w:val="both"/>
      </w:pPr>
      <w:r>
        <w:rPr>
          <w:rFonts w:ascii="Comic Sans MS" w:hAnsi="Comic Sans MS" w:cs="Comic Sans MS" w:eastAsia="Comic Sans MS"/>
          <w:b w:val="0"/>
          <w:i w:val="0"/>
          <w:color w:val="000000"/>
          <w:sz w:val="28"/>
        </w:rPr>
        <w:t>Particle size affects almost every aspect of formulation performance: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Dissolution rate.</w:t>
      </w:r>
      <w:r>
        <w:rPr>
          <w:rFonts w:ascii="Comic Sans MS" w:hAnsi="Comic Sans MS" w:cs="Comic Sans MS" w:eastAsia="Comic Sans MS"/>
          <w:b w:val="0"/>
          <w:i w:val="0"/>
          <w:color w:val="000000"/>
          <w:sz w:val="28"/>
        </w:rPr>
        <w:t xml:space="preserve"> According to the Noyes-Whitney relationship, the rate of dissolution is directly proportional to the effective surface area available to the dissolution medium. Micronisation is therefore a standard means of improving the dissolution of poorly soluble drugs (for example griseofulvin, spironolactone and digoxin).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Bioavailability.</w:t>
      </w:r>
      <w:r>
        <w:rPr>
          <w:rFonts w:ascii="Comic Sans MS" w:hAnsi="Comic Sans MS" w:cs="Comic Sans MS" w:eastAsia="Comic Sans MS"/>
          <w:b w:val="0"/>
          <w:i w:val="0"/>
          <w:color w:val="000000"/>
          <w:sz w:val="28"/>
        </w:rPr>
        <w:t xml:space="preserve"> For drugs whose absorption is dissolution rate limited, a reduction in particle size can produce a clinically significant increase in bioavailability. The classical example is griseofulvin, for which the micronised form allows the dose to be approximately halved.</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Content uniformity.</w:t>
      </w:r>
      <w:r>
        <w:rPr>
          <w:rFonts w:ascii="Comic Sans MS" w:hAnsi="Comic Sans MS" w:cs="Comic Sans MS" w:eastAsia="Comic Sans MS"/>
          <w:b w:val="0"/>
          <w:i w:val="0"/>
          <w:color w:val="000000"/>
          <w:sz w:val="28"/>
        </w:rPr>
        <w:t xml:space="preserve"> In low-dose products the drug must be finely and uniformly divided, otherwise individual units will fail the uniformity of content test.</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Flow and compaction.</w:t>
      </w:r>
      <w:r>
        <w:rPr>
          <w:rFonts w:ascii="Comic Sans MS" w:hAnsi="Comic Sans MS" w:cs="Comic Sans MS" w:eastAsia="Comic Sans MS"/>
          <w:b w:val="0"/>
          <w:i w:val="0"/>
          <w:color w:val="000000"/>
          <w:sz w:val="28"/>
        </w:rPr>
        <w:t xml:space="preserve"> Very fine powders are cohesive and flow poorly, which causes weight variation in tablets and capsules. There is therefore an optimum, not a minimum, particle size.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Suspension stability.</w:t>
      </w:r>
      <w:r>
        <w:rPr>
          <w:rFonts w:ascii="Comic Sans MS" w:hAnsi="Comic Sans MS" w:cs="Comic Sans MS" w:eastAsia="Comic Sans MS"/>
          <w:b w:val="0"/>
          <w:i w:val="0"/>
          <w:color w:val="000000"/>
          <w:sz w:val="28"/>
        </w:rPr>
        <w:t xml:space="preserve"> Sedimentation rate is governed by Stokes' law and is proportional to the square of the particle diameter, so size reduction retards settling.</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Physical stability.</w:t>
      </w:r>
      <w:r>
        <w:rPr>
          <w:rFonts w:ascii="Comic Sans MS" w:hAnsi="Comic Sans MS" w:cs="Comic Sans MS" w:eastAsia="Comic Sans MS"/>
          <w:b w:val="0"/>
          <w:i w:val="0"/>
          <w:color w:val="000000"/>
          <w:sz w:val="28"/>
        </w:rPr>
        <w:t xml:space="preserve"> Fine particles have a higher surface free energy and a greater tendency to agglomerate, to adsorb moisture and to undergo Ostwald ripening or crystal growth in suspensions.</w:t>
      </w:r>
    </w:p>
    <w:p>
      <w:pPr>
        <w:spacing w:after="160"/>
        <w:jc w:val="both"/>
      </w:pPr>
      <w:r>
        <w:rPr>
          <w:rFonts w:ascii="Comic Sans MS" w:hAnsi="Comic Sans MS" w:cs="Comic Sans MS" w:eastAsia="Comic Sans MS"/>
          <w:b w:val="0"/>
          <w:i w:val="0"/>
          <w:color w:val="000000"/>
          <w:sz w:val="28"/>
        </w:rPr>
        <w:t>Particle shape (acicular or needle-like, plate-like, equant, dendritic) affects flow, packing and compaction independently of size. Needle-shaped crystals flow badly and may cause capping during compression, and are often recrystallised from a different solvent to obtain a more equant habit.</w:t>
      </w:r>
    </w:p>
    <w:p>
      <w:pPr>
        <w:keepNext/>
        <w:spacing w:before="160" w:after="40"/>
      </w:pPr>
      <w:r>
        <w:rPr>
          <w:rFonts w:ascii="Comic Sans MS" w:hAnsi="Comic Sans MS" w:cs="Comic Sans MS" w:eastAsia="Comic Sans MS"/>
          <w:b/>
          <w:i w:val="0"/>
          <w:color w:val="000000"/>
          <w:sz w:val="28"/>
        </w:rPr>
        <w:t>1.3.3 Particle Size Distribution and its Measurement</w:t>
      </w:r>
    </w:p>
    <w:p>
      <w:pPr>
        <w:spacing w:after="160"/>
        <w:jc w:val="both"/>
      </w:pPr>
      <w:r>
        <w:rPr>
          <w:rFonts w:ascii="Comic Sans MS" w:hAnsi="Comic Sans MS" w:cs="Comic Sans MS" w:eastAsia="Comic Sans MS"/>
          <w:b w:val="0"/>
          <w:i w:val="0"/>
          <w:color w:val="000000"/>
          <w:sz w:val="28"/>
        </w:rPr>
        <w:t>A single average diameter is rarely sufficient; the distribution must be described. Distributions are usually summarised by the d10, d50 (median) and d90 values, and by the span, defined as (d90 - d10)/d50. A narrow distribution is generally preferred because it gives reproducible dissolution and flow.</w:t>
      </w:r>
    </w:p>
    <w:p>
      <w:pPr>
        <w:spacing w:after="160"/>
        <w:jc w:val="both"/>
      </w:pPr>
      <w:r>
        <w:rPr>
          <w:rFonts w:ascii="Comic Sans MS" w:hAnsi="Comic Sans MS" w:cs="Comic Sans MS" w:eastAsia="Comic Sans MS"/>
          <w:b w:val="0"/>
          <w:i w:val="0"/>
          <w:color w:val="000000"/>
          <w:sz w:val="28"/>
        </w:rPr>
        <w:t>The common methods of measurement, with their approximate working ranges, are: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Optical microscopy</w:t>
      </w:r>
      <w:r>
        <w:rPr>
          <w:rFonts w:ascii="Comic Sans MS" w:hAnsi="Comic Sans MS" w:cs="Comic Sans MS" w:eastAsia="Comic Sans MS"/>
          <w:b w:val="0"/>
          <w:i w:val="0"/>
          <w:color w:val="000000"/>
          <w:sz w:val="28"/>
        </w:rPr>
        <w:t xml:space="preserve"> (about 1 to 150 micrometres). Gives shape information as well as size; tedious, and a number distribution is obtained.</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Sieve analysis</w:t>
      </w:r>
      <w:r>
        <w:rPr>
          <w:rFonts w:ascii="Comic Sans MS" w:hAnsi="Comic Sans MS" w:cs="Comic Sans MS" w:eastAsia="Comic Sans MS"/>
          <w:b w:val="0"/>
          <w:i w:val="0"/>
          <w:color w:val="000000"/>
          <w:sz w:val="28"/>
        </w:rPr>
        <w:t xml:space="preserve"> (above about 45 micrometres). Simple, inexpensive and robust; unsuitable for fine or cohesive powders and gives a mass distribution.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Laser light diffraction</w:t>
      </w:r>
      <w:r>
        <w:rPr>
          <w:rFonts w:ascii="Comic Sans MS" w:hAnsi="Comic Sans MS" w:cs="Comic Sans MS" w:eastAsia="Comic Sans MS"/>
          <w:b w:val="0"/>
          <w:i w:val="0"/>
          <w:color w:val="000000"/>
          <w:sz w:val="28"/>
        </w:rPr>
        <w:t xml:space="preserve"> (about 0.02 to 2000 micrometres). Rapid, reproducible and now the industry standard; it reports an equivalent volume diameter and assumes sphericity.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Electrical zone sensing (Coulter counter)</w:t>
      </w:r>
      <w:r>
        <w:rPr>
          <w:rFonts w:ascii="Comic Sans MS" w:hAnsi="Comic Sans MS" w:cs="Comic Sans MS" w:eastAsia="Comic Sans MS"/>
          <w:b w:val="0"/>
          <w:i w:val="0"/>
          <w:color w:val="000000"/>
          <w:sz w:val="28"/>
        </w:rPr>
        <w:t xml:space="preserve"> (about 0.4 to 1200 micrometres). Measures volume directly, but the drug must be suspended in an electrolyte in which it is insoluble.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Sedimentation methods (Andreasen pipette)</w:t>
      </w:r>
      <w:r>
        <w:rPr>
          <w:rFonts w:ascii="Comic Sans MS" w:hAnsi="Comic Sans MS" w:cs="Comic Sans MS" w:eastAsia="Comic Sans MS"/>
          <w:b w:val="0"/>
          <w:i w:val="0"/>
          <w:color w:val="000000"/>
          <w:sz w:val="28"/>
        </w:rPr>
        <w:t xml:space="preserve"> (about 1 to 50 micrometres). Based on Stokes' law and gives a mass distribution; slow.</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Photon correlation spectroscopy or dynamic light scattering</w:t>
      </w:r>
      <w:r>
        <w:rPr>
          <w:rFonts w:ascii="Comic Sans MS" w:hAnsi="Comic Sans MS" w:cs="Comic Sans MS" w:eastAsia="Comic Sans MS"/>
          <w:b w:val="0"/>
          <w:i w:val="0"/>
          <w:color w:val="000000"/>
          <w:sz w:val="28"/>
        </w:rPr>
        <w:t xml:space="preserve"> (about 1 nanometre to 3 micrometres). Essential for nanosuspensions, liposomes and other colloidal systems.</w:t>
      </w:r>
    </w:p>
    <w:p>
      <w:pPr>
        <w:spacing w:after="160"/>
        <w:jc w:val="both"/>
      </w:pPr>
      <w:r>
        <w:rPr>
          <w:rFonts w:ascii="Comic Sans MS" w:hAnsi="Comic Sans MS" w:cs="Comic Sans MS" w:eastAsia="Comic Sans MS"/>
          <w:b w:val="0"/>
          <w:i w:val="0"/>
          <w:color w:val="000000"/>
          <w:sz w:val="28"/>
        </w:rPr>
        <w:t>Specific surface area is determined separately, most commonly by gas adsorption using the Brunauer-Emmett-Teller (BET) nitrogen adsorption method, or by air permeability methods.</w:t>
      </w:r>
    </w:p>
    <w:p>
      <w:pPr>
        <w:keepNext/>
        <w:spacing w:before="160" w:after="40"/>
      </w:pPr>
      <w:r>
        <w:rPr>
          <w:rFonts w:ascii="Comic Sans MS" w:hAnsi="Comic Sans MS" w:cs="Comic Sans MS" w:eastAsia="Comic Sans MS"/>
          <w:b/>
          <w:i w:val="0"/>
          <w:color w:val="000000"/>
          <w:sz w:val="28"/>
        </w:rPr>
        <w:t>1.3.4 Bulk Density, True Density and Powder Flow</w:t>
      </w:r>
    </w:p>
    <w:p>
      <w:pPr>
        <w:spacing w:after="160"/>
        <w:jc w:val="both"/>
      </w:pPr>
      <w:r>
        <w:rPr>
          <w:rFonts w:ascii="Comic Sans MS" w:hAnsi="Comic Sans MS" w:cs="Comic Sans MS" w:eastAsia="Comic Sans MS"/>
          <w:b w:val="0"/>
          <w:i w:val="0"/>
          <w:color w:val="000000"/>
          <w:sz w:val="28"/>
        </w:rPr>
        <w:t>Bulk density is the mass of powder divided by the bulk volume it occupies, including the air spaces between particles; tapped density is measured after a standard number of taps; and true density is the density of the solid material itself, measured by helium or liquid pycnometry. From bulk and tapped density two widely used indirect indices of flow are calculated:</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Carr's compressibility index</w:t>
      </w:r>
      <w:r>
        <w:rPr>
          <w:rFonts w:ascii="Comic Sans MS" w:hAnsi="Comic Sans MS" w:cs="Comic Sans MS" w:eastAsia="Comic Sans MS"/>
          <w:b w:val="0"/>
          <w:i w:val="0"/>
          <w:color w:val="000000"/>
          <w:sz w:val="28"/>
        </w:rPr>
        <w:t xml:space="preserve"> = 100 x (tapped density - bulk density)/tapped density. Values below 15 per cent indicate excellent flow; values above 35 per cent indicate very poor, cohesive flow.</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Hausner ratio</w:t>
      </w:r>
      <w:r>
        <w:rPr>
          <w:rFonts w:ascii="Comic Sans MS" w:hAnsi="Comic Sans MS" w:cs="Comic Sans MS" w:eastAsia="Comic Sans MS"/>
          <w:b w:val="0"/>
          <w:i w:val="0"/>
          <w:color w:val="000000"/>
          <w:sz w:val="28"/>
        </w:rPr>
        <w:t xml:space="preserve"> = tapped density/bulk density. Values below 1.25 indicate good flow; values above 1.5 indicate poor flow.</w:t>
      </w:r>
    </w:p>
    <w:p>
      <w:pPr>
        <w:spacing w:after="160"/>
        <w:jc w:val="both"/>
      </w:pPr>
      <w:r>
        <w:rPr>
          <w:rFonts w:ascii="Comic Sans MS" w:hAnsi="Comic Sans MS" w:cs="Comic Sans MS" w:eastAsia="Comic Sans MS"/>
          <w:b w:val="0"/>
          <w:i w:val="0"/>
          <w:color w:val="000000"/>
          <w:sz w:val="28"/>
        </w:rPr>
        <w:t>Direct measurements of flow include the angle of repose (below 30 degrees excellent, above 56 degrees very poor), flow through an orifice and shear cell measurements. Poor flow is corrected by granulation, by addition of glidants such as colloidal silicon dioxide, or by crystal habit modification.</w:t>
      </w:r>
    </w:p>
    <w:p>
      <w:pPr>
        <w:keepNext/>
        <w:spacing w:before="160" w:after="40"/>
      </w:pPr>
      <w:r>
        <w:rPr>
          <w:rFonts w:ascii="Comic Sans MS" w:hAnsi="Comic Sans MS" w:cs="Comic Sans MS" w:eastAsia="Comic Sans MS"/>
          <w:b/>
          <w:i w:val="0"/>
          <w:color w:val="000000"/>
          <w:sz w:val="28"/>
        </w:rPr>
        <w:t>1.3.5 Solubility</w:t>
      </w:r>
    </w:p>
    <w:p>
      <w:pPr>
        <w:spacing w:after="160"/>
        <w:jc w:val="both"/>
      </w:pPr>
      <w:r>
        <w:rPr>
          <w:rFonts w:ascii="Comic Sans MS" w:hAnsi="Comic Sans MS" w:cs="Comic Sans MS" w:eastAsia="Comic Sans MS"/>
          <w:b w:val="0"/>
          <w:i w:val="0"/>
          <w:color w:val="000000"/>
          <w:sz w:val="28"/>
        </w:rPr>
        <w:t>Solubility is arguably the single most important preformulation parameter, since a drug must be in solution before it can be absorbed. The following determinations are made: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Intrinsic solubility (C0).</w:t>
      </w:r>
      <w:r>
        <w:rPr>
          <w:rFonts w:ascii="Comic Sans MS" w:hAnsi="Comic Sans MS" w:cs="Comic Sans MS" w:eastAsia="Comic Sans MS"/>
          <w:b w:val="0"/>
          <w:i w:val="0"/>
          <w:color w:val="000000"/>
          <w:sz w:val="28"/>
        </w:rPr>
        <w:t xml:space="preserve"> The solubility of the unionised form, determined in water at a defined temperature, usually 37 degrees Celsius, using the shake-flask method with an equilibration period long enough to reach a plateau. A value below about 1 milligram per millilitre signals likely dissolution-rate-limited absorption.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pH-solubility profile.</w:t>
      </w:r>
      <w:r>
        <w:rPr>
          <w:rFonts w:ascii="Comic Sans MS" w:hAnsi="Comic Sans MS" w:cs="Comic Sans MS" w:eastAsia="Comic Sans MS"/>
          <w:b w:val="0"/>
          <w:i w:val="0"/>
          <w:color w:val="000000"/>
          <w:sz w:val="28"/>
        </w:rPr>
        <w:t xml:space="preserve"> Solubility is measured across the physiologically relevant range, typically pH 1 to 8, using buffers of constant ionic strength. For a weak acid, solubility rises above the pKa; for a weak base, it rises as the pH falls. The profile identifies the pH of minimum solubility, which is where precipitation is most likely in the gastrointestinal tract or in an intravenous line.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Dissociation constant (pKa).</w:t>
      </w:r>
      <w:r>
        <w:rPr>
          <w:rFonts w:ascii="Comic Sans MS" w:hAnsi="Comic Sans MS" w:cs="Comic Sans MS" w:eastAsia="Comic Sans MS"/>
          <w:b w:val="0"/>
          <w:i w:val="0"/>
          <w:color w:val="000000"/>
          <w:sz w:val="28"/>
        </w:rPr>
        <w:t xml:space="preserve"> Determined by potentiometric titration, spectrophotometry or capillary electrophoresis. Together with the Henderson-Hasselbalch relationship it predicts the degree of ionisation at any pH, and hence solubility, partitioning and absorption.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Solubility in non-aqueous and mixed solvents.</w:t>
      </w:r>
      <w:r>
        <w:rPr>
          <w:rFonts w:ascii="Comic Sans MS" w:hAnsi="Comic Sans MS" w:cs="Comic Sans MS" w:eastAsia="Comic Sans MS"/>
          <w:b w:val="0"/>
          <w:i w:val="0"/>
          <w:color w:val="000000"/>
          <w:sz w:val="28"/>
        </w:rPr>
        <w:t xml:space="preserve"> Ethanol, propylene glycol, glycerol, polyethylene glycols and surfactant solutions are screened with a view to liquid and parenteral formulations.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Solubility product (Ksp) of salts.</w:t>
      </w:r>
      <w:r>
        <w:rPr>
          <w:rFonts w:ascii="Comic Sans MS" w:hAnsi="Comic Sans MS" w:cs="Comic Sans MS" w:eastAsia="Comic Sans MS"/>
          <w:b w:val="0"/>
          <w:i w:val="0"/>
          <w:color w:val="000000"/>
          <w:sz w:val="28"/>
        </w:rPr>
        <w:t xml:space="preserve"> Important where a common ion is present; for example the solubility of a hydrochloride salt is depressed in gastric fluid by the chloride ion, a phenomenon of practical significance for many basic drugs.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Temperature dependence.</w:t>
      </w:r>
      <w:r>
        <w:rPr>
          <w:rFonts w:ascii="Comic Sans MS" w:hAnsi="Comic Sans MS" w:cs="Comic Sans MS" w:eastAsia="Comic Sans MS"/>
          <w:b w:val="0"/>
          <w:i w:val="0"/>
          <w:color w:val="000000"/>
          <w:sz w:val="28"/>
        </w:rPr>
        <w:t xml:space="preserve"> Determined so that storage conditions and the risk of precipitation on cooling can be assessed.</w:t>
      </w:r>
    </w:p>
    <w:p>
      <w:pPr>
        <w:keepNext/>
        <w:spacing w:before="160" w:after="40"/>
      </w:pPr>
      <w:r>
        <w:rPr>
          <w:rFonts w:ascii="Comic Sans MS" w:hAnsi="Comic Sans MS" w:cs="Comic Sans MS" w:eastAsia="Comic Sans MS"/>
          <w:b/>
          <w:i w:val="0"/>
          <w:color w:val="000000"/>
          <w:sz w:val="28"/>
        </w:rPr>
        <w:t>1.3.6 Partition Coefficient and Permeability</w:t>
      </w:r>
    </w:p>
    <w:p>
      <w:pPr>
        <w:spacing w:after="160"/>
        <w:jc w:val="both"/>
      </w:pPr>
      <w:r>
        <w:rPr>
          <w:rFonts w:ascii="Comic Sans MS" w:hAnsi="Comic Sans MS" w:cs="Comic Sans MS" w:eastAsia="Comic Sans MS"/>
          <w:b w:val="0"/>
          <w:i w:val="0"/>
          <w:color w:val="000000"/>
          <w:sz w:val="28"/>
        </w:rPr>
        <w:t>The partition coefficient, conventionally expressed as log P for the unionised species in an octanol-water system, is a measure of lipophilicity and correlates with membrane permeability, protein binding, distribution and, in many series, activity. The distribution coefficient, log D, describes the partitioning of the total (ionised plus unionised) species at a stated pH and is the more relevant parameter at physiological pH.</w:t>
      </w:r>
    </w:p>
    <w:p>
      <w:pPr>
        <w:spacing w:after="160"/>
        <w:jc w:val="both"/>
      </w:pPr>
      <w:r>
        <w:rPr>
          <w:rFonts w:ascii="Comic Sans MS" w:hAnsi="Comic Sans MS" w:cs="Comic Sans MS" w:eastAsia="Comic Sans MS"/>
          <w:b w:val="0"/>
          <w:i w:val="0"/>
          <w:color w:val="000000"/>
          <w:sz w:val="28"/>
        </w:rPr>
        <w:t>An optimum log P of roughly 1 to 3 is generally associated with good oral absorption. Very hydrophilic molecules (low log P) permeate membranes poorly, whereas very lipophilic molecules (high log P) dissolve poorly in the aqueous gastrointestinal contents and may be trapped in the membrane. Permeability itself is assessed in preformulation using Caco-2 monolayers, the parallel artificial membrane permeability assay (PAMPA), or everted intestinal segments.</w:t>
      </w:r>
    </w:p>
    <w:p>
      <w:pPr>
        <w:keepNext/>
        <w:spacing w:before="160" w:after="40"/>
      </w:pPr>
      <w:r>
        <w:rPr>
          <w:rFonts w:ascii="Comic Sans MS" w:hAnsi="Comic Sans MS" w:cs="Comic Sans MS" w:eastAsia="Comic Sans MS"/>
          <w:b/>
          <w:i w:val="0"/>
          <w:color w:val="000000"/>
          <w:sz w:val="28"/>
        </w:rPr>
        <w:t>1.3.7 Melting Point and Polymorphism</w:t>
      </w:r>
    </w:p>
    <w:p>
      <w:pPr>
        <w:spacing w:after="160"/>
        <w:jc w:val="both"/>
      </w:pPr>
      <w:r>
        <w:rPr>
          <w:rFonts w:ascii="Comic Sans MS" w:hAnsi="Comic Sans MS" w:cs="Comic Sans MS" w:eastAsia="Comic Sans MS"/>
          <w:b w:val="0"/>
          <w:i w:val="0"/>
          <w:color w:val="000000"/>
          <w:sz w:val="28"/>
        </w:rPr>
        <w:t>The melting point is determined by capillary method, hot-stage microscopy or, preferably, by differential scanning calorimetry, which gives the enthalpy of fusion as well. A sharp melting endotherm suggests a pure crystalline material; broadening or multiple endotherms suggest impurity, solvate formation or polymorphism. A low melting point warns of difficulties during milling, drying and compression because of local heating. Polymorphism is considered in detail in section 1.5.</w:t>
      </w:r>
    </w:p>
    <w:p>
      <w:pPr>
        <w:keepNext/>
        <w:spacing w:before="160" w:after="40"/>
      </w:pPr>
      <w:r>
        <w:rPr>
          <w:rFonts w:ascii="Comic Sans MS" w:hAnsi="Comic Sans MS" w:cs="Comic Sans MS" w:eastAsia="Comic Sans MS"/>
          <w:b/>
          <w:i w:val="0"/>
          <w:color w:val="000000"/>
          <w:sz w:val="28"/>
        </w:rPr>
        <w:t>1.3.8 Hygroscopicity</w:t>
      </w:r>
    </w:p>
    <w:p>
      <w:pPr>
        <w:spacing w:after="160"/>
        <w:jc w:val="both"/>
      </w:pPr>
      <w:r>
        <w:rPr>
          <w:rFonts w:ascii="Comic Sans MS" w:hAnsi="Comic Sans MS" w:cs="Comic Sans MS" w:eastAsia="Comic Sans MS"/>
          <w:b w:val="0"/>
          <w:i w:val="0"/>
          <w:color w:val="000000"/>
          <w:sz w:val="28"/>
        </w:rPr>
        <w:t>Hygroscopicity is the tendency of a solid to take up moisture from the atmosphere, and is one of the most frequently underestimated preformulation problems. Adsorbed or absorbed water can cause caking, loss of flow, changes in dissolution, hydrolysis, hydrate formation and microbiological growth.</w:t>
      </w:r>
    </w:p>
    <w:p>
      <w:pPr>
        <w:spacing w:after="160"/>
        <w:jc w:val="both"/>
      </w:pPr>
      <w:r>
        <w:rPr>
          <w:rFonts w:ascii="Comic Sans MS" w:hAnsi="Comic Sans MS" w:cs="Comic Sans MS" w:eastAsia="Comic Sans MS"/>
          <w:b w:val="0"/>
          <w:i w:val="0"/>
          <w:color w:val="000000"/>
          <w:sz w:val="28"/>
        </w:rPr>
        <w:t>Moisture uptake is determined by exposing accurately weighed samples to atmospheres of controlled relative humidity, traditionally generated by saturated salt solutions in desiccators, and now more commonly by dynamic vapour sorption, which records mass change continuously as humidity is ramped. A classification frequently quoted is: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Non-hygroscopic.</w:t>
      </w:r>
      <w:r>
        <w:rPr>
          <w:rFonts w:ascii="Comic Sans MS" w:hAnsi="Comic Sans MS" w:cs="Comic Sans MS" w:eastAsia="Comic Sans MS"/>
          <w:b w:val="0"/>
          <w:i w:val="0"/>
          <w:color w:val="000000"/>
          <w:sz w:val="28"/>
        </w:rPr>
        <w:t xml:space="preserve"> No moisture uptake below 90 per cent relative humidity.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Slightly hygroscopic.</w:t>
      </w:r>
      <w:r>
        <w:rPr>
          <w:rFonts w:ascii="Comic Sans MS" w:hAnsi="Comic Sans MS" w:cs="Comic Sans MS" w:eastAsia="Comic Sans MS"/>
          <w:b w:val="0"/>
          <w:i w:val="0"/>
          <w:color w:val="000000"/>
          <w:sz w:val="28"/>
        </w:rPr>
        <w:t xml:space="preserve"> Uptake below 2 per cent w/w at 40 to 90 per cent relative humidity.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Moderately hygroscopic.</w:t>
      </w:r>
      <w:r>
        <w:rPr>
          <w:rFonts w:ascii="Comic Sans MS" w:hAnsi="Comic Sans MS" w:cs="Comic Sans MS" w:eastAsia="Comic Sans MS"/>
          <w:b w:val="0"/>
          <w:i w:val="0"/>
          <w:color w:val="000000"/>
          <w:sz w:val="28"/>
        </w:rPr>
        <w:t xml:space="preserve"> Uptake of 2 to 15 per cent w/w at 40 to 90 per cent relative humidity.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Very hygroscopic.</w:t>
      </w:r>
      <w:r>
        <w:rPr>
          <w:rFonts w:ascii="Comic Sans MS" w:hAnsi="Comic Sans MS" w:cs="Comic Sans MS" w:eastAsia="Comic Sans MS"/>
          <w:b w:val="0"/>
          <w:i w:val="0"/>
          <w:color w:val="000000"/>
          <w:sz w:val="28"/>
        </w:rPr>
        <w:t xml:space="preserve"> Uptake above 15 per cent w/w at 40 to 90 per cent relative humidity.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Deliquescent.</w:t>
      </w:r>
      <w:r>
        <w:rPr>
          <w:rFonts w:ascii="Comic Sans MS" w:hAnsi="Comic Sans MS" w:cs="Comic Sans MS" w:eastAsia="Comic Sans MS"/>
          <w:b w:val="0"/>
          <w:i w:val="0"/>
          <w:color w:val="000000"/>
          <w:sz w:val="28"/>
        </w:rPr>
        <w:t xml:space="preserve"> Sufficient water is absorbed to dissolve the solid completely and form a solution.</w:t>
      </w:r>
    </w:p>
    <w:p>
      <w:pPr>
        <w:spacing w:after="160"/>
        <w:jc w:val="both"/>
      </w:pPr>
      <w:r>
        <w:rPr>
          <w:rFonts w:ascii="Comic Sans MS" w:hAnsi="Comic Sans MS" w:cs="Comic Sans MS" w:eastAsia="Comic Sans MS"/>
          <w:b w:val="0"/>
          <w:i w:val="0"/>
          <w:color w:val="000000"/>
          <w:sz w:val="28"/>
        </w:rPr>
        <w:t>The critical relative humidity is the humidity above which a water-soluble solid begins to absorb moisture rapidly; below it, uptake is negligible. It is a characteristic of the material, and for mixtures of soluble salts the critical relative humidity of the mixture is lower than that of any individual component, a fact of considerable practical importance in formulating effervescent and electrolyte products. Remedies for hygroscopic drugs include selection of a less hygroscopic salt, film coating, use of desiccants, blister packaging with high moisture barrier films, and strict humidity control in the manufacturing area.</w:t>
      </w:r>
    </w:p>
    <w:p>
      <w:pPr>
        <w:keepNext/>
        <w:spacing w:before="160" w:after="40"/>
      </w:pPr>
      <w:r>
        <w:rPr>
          <w:rFonts w:ascii="Comic Sans MS" w:hAnsi="Comic Sans MS" w:cs="Comic Sans MS" w:eastAsia="Comic Sans MS"/>
          <w:b/>
          <w:i w:val="0"/>
          <w:color w:val="000000"/>
          <w:sz w:val="28"/>
        </w:rPr>
        <w:t>1.4 Chemical Factors Influencing Formulation</w:t>
      </w:r>
    </w:p>
    <w:p>
      <w:pPr>
        <w:spacing w:after="160"/>
        <w:jc w:val="both"/>
      </w:pPr>
      <w:r>
        <w:rPr>
          <w:rFonts w:ascii="Comic Sans MS" w:hAnsi="Comic Sans MS" w:cs="Comic Sans MS" w:eastAsia="Comic Sans MS"/>
          <w:b w:val="0"/>
          <w:i w:val="0"/>
          <w:color w:val="000000"/>
          <w:sz w:val="28"/>
        </w:rPr>
        <w:t>Chemical stability determines shelf life and must be understood before a dosage form is designed. The major pathways of drug degradation are described below, together with the formulation strategies used to suppress them.</w:t>
      </w:r>
    </w:p>
    <w:p>
      <w:pPr>
        <w:keepNext/>
        <w:spacing w:before="160" w:after="40"/>
      </w:pPr>
      <w:r>
        <w:rPr>
          <w:rFonts w:ascii="Comic Sans MS" w:hAnsi="Comic Sans MS" w:cs="Comic Sans MS" w:eastAsia="Comic Sans MS"/>
          <w:b/>
          <w:i w:val="0"/>
          <w:color w:val="000000"/>
          <w:sz w:val="28"/>
        </w:rPr>
        <w:t>1.4.1 Hydrolysis</w:t>
      </w:r>
    </w:p>
    <w:p>
      <w:pPr>
        <w:spacing w:after="160"/>
        <w:jc w:val="both"/>
      </w:pPr>
      <w:r>
        <w:rPr>
          <w:rFonts w:ascii="Comic Sans MS" w:hAnsi="Comic Sans MS" w:cs="Comic Sans MS" w:eastAsia="Comic Sans MS"/>
          <w:b w:val="0"/>
          <w:i w:val="0"/>
          <w:color w:val="000000"/>
          <w:sz w:val="28"/>
        </w:rPr>
        <w:t>Hydrolysis is the commonest degradation route and affects esters, amides, lactams, lactones, imides and carbamates. It is catalysed by hydrogen and hydroxyl ions (specific acid-base catalysis) and by buffer components (general acid-base catalysis). Aspirin, procaine, atropine, benzylpenicillin and the cephalosporins are classical examples.</w:t>
      </w:r>
    </w:p>
    <w:p>
      <w:pPr>
        <w:spacing w:after="160"/>
        <w:jc w:val="both"/>
      </w:pPr>
      <w:r>
        <w:rPr>
          <w:rFonts w:ascii="Comic Sans MS" w:hAnsi="Comic Sans MS" w:cs="Comic Sans MS" w:eastAsia="Comic Sans MS"/>
          <w:b w:val="0"/>
          <w:i w:val="0"/>
          <w:color w:val="000000"/>
          <w:sz w:val="28"/>
        </w:rPr>
        <w:t>Control measures include adjustment of pH to the value of maximum stability determined from a pH-rate profile, reduction of water activity by formulating as a dry powder for reconstitution, replacement of water by non-aqueous or mixed solvents, use of the lowest effective buffer concentration, complexation, suspension of a poorly soluble salt so that only the small dissolved fraction can hydrolyse, and refrigerated storage.</w:t>
      </w:r>
    </w:p>
    <w:p>
      <w:pPr>
        <w:keepNext/>
        <w:spacing w:before="160" w:after="40"/>
      </w:pPr>
      <w:r>
        <w:rPr>
          <w:rFonts w:ascii="Comic Sans MS" w:hAnsi="Comic Sans MS" w:cs="Comic Sans MS" w:eastAsia="Comic Sans MS"/>
          <w:b/>
          <w:i w:val="0"/>
          <w:color w:val="000000"/>
          <w:sz w:val="28"/>
        </w:rPr>
        <w:t>1.4.2 Oxidation</w:t>
      </w:r>
    </w:p>
    <w:p>
      <w:pPr>
        <w:spacing w:after="160"/>
        <w:jc w:val="both"/>
      </w:pPr>
      <w:r>
        <w:rPr>
          <w:rFonts w:ascii="Comic Sans MS" w:hAnsi="Comic Sans MS" w:cs="Comic Sans MS" w:eastAsia="Comic Sans MS"/>
          <w:b w:val="0"/>
          <w:i w:val="0"/>
          <w:color w:val="000000"/>
          <w:sz w:val="28"/>
        </w:rPr>
        <w:t>Oxidation usually proceeds by an autoxidative free radical chain mechanism initiated by traces of heavy metals, peroxides, light or heat, and is characterised by an induction period followed by rapid decomposition. Susceptible groups include phenols, catecholamines, thiols, unsaturated fats and oils, aldehydes and certain vitamins. Adrenaline, morphine, ascorbic acid, vitamin A and the polyunsaturated lipids of emulsions are typical examples; discoloration is often the first sign.</w:t>
      </w:r>
    </w:p>
    <w:p>
      <w:pPr>
        <w:spacing w:after="160"/>
        <w:jc w:val="both"/>
      </w:pPr>
      <w:r>
        <w:rPr>
          <w:rFonts w:ascii="Comic Sans MS" w:hAnsi="Comic Sans MS" w:cs="Comic Sans MS" w:eastAsia="Comic Sans MS"/>
          <w:b w:val="0"/>
          <w:i w:val="0"/>
          <w:color w:val="000000"/>
          <w:sz w:val="28"/>
        </w:rPr>
        <w:t>Control measures include the removal of oxygen by purging with nitrogen and filling under inert gas, addition of antioxidants (water soluble: sodium metabisulphite, sodium sulphite, ascorbic acid, cysteine; oil soluble: butylated hydroxyanisole, butylated hydroxytoluene, propyl gallate, alpha-tocopherol), addition of chelating agents such as edetate disodium and citric acid to sequester metal ions, control of pH, protection from light, and use of opaque or amber containers.</w:t>
      </w:r>
    </w:p>
    <w:p>
      <w:pPr>
        <w:keepNext/>
        <w:spacing w:before="160" w:after="40"/>
      </w:pPr>
      <w:r>
        <w:rPr>
          <w:rFonts w:ascii="Comic Sans MS" w:hAnsi="Comic Sans MS" w:cs="Comic Sans MS" w:eastAsia="Comic Sans MS"/>
          <w:b/>
          <w:i w:val="0"/>
          <w:color w:val="000000"/>
          <w:sz w:val="28"/>
        </w:rPr>
        <w:t>1.4.3 Photolysis</w:t>
      </w:r>
    </w:p>
    <w:p>
      <w:pPr>
        <w:spacing w:after="160"/>
        <w:jc w:val="both"/>
      </w:pPr>
      <w:r>
        <w:rPr>
          <w:rFonts w:ascii="Comic Sans MS" w:hAnsi="Comic Sans MS" w:cs="Comic Sans MS" w:eastAsia="Comic Sans MS"/>
          <w:b w:val="0"/>
          <w:i w:val="0"/>
          <w:color w:val="000000"/>
          <w:sz w:val="28"/>
        </w:rPr>
        <w:t>Absorption of ultraviolet or visible radiation can promote oxidation, reduction, ring rearrangement, dimerisation or polymerisation. Nifedipine, sodium nitroprusside, riboflavin, chlorpromazine, furosemide and the phenothiazines are well-known photolabile drugs. Photostability must be evaluated formally according to ICH Q1B. Protection is achieved by amber glass, opaque secondary packaging, aluminium foil overwraps, incorporation of opacifiers such as titanium dioxide into film coats, and the addition of ultraviolet absorbers.</w:t>
      </w:r>
    </w:p>
    <w:p>
      <w:pPr>
        <w:keepNext/>
        <w:spacing w:before="160" w:after="40"/>
      </w:pPr>
      <w:r>
        <w:rPr>
          <w:rFonts w:ascii="Comic Sans MS" w:hAnsi="Comic Sans MS" w:cs="Comic Sans MS" w:eastAsia="Comic Sans MS"/>
          <w:b/>
          <w:i w:val="0"/>
          <w:color w:val="000000"/>
          <w:sz w:val="28"/>
        </w:rPr>
        <w:t>1.4.4 Racemisation, Isomerisation and Epimerisation</w:t>
      </w:r>
    </w:p>
    <w:p>
      <w:pPr>
        <w:spacing w:after="160"/>
        <w:jc w:val="both"/>
      </w:pPr>
      <w:r>
        <w:rPr>
          <w:rFonts w:ascii="Comic Sans MS" w:hAnsi="Comic Sans MS" w:cs="Comic Sans MS" w:eastAsia="Comic Sans MS"/>
          <w:b w:val="0"/>
          <w:i w:val="0"/>
          <w:color w:val="000000"/>
          <w:sz w:val="28"/>
        </w:rPr>
        <w:t>Optically active drugs may racemise in solution with loss of activity, since enantiomers frequently differ greatly in potency. Adrenaline, pilocarpine and tetracycline (which epimerises to the much less active 4-epitetracycline in acid) are examples. Control is by pH adjustment, exclusion of light and heat, and appropriate solvent selection.</w:t>
      </w:r>
    </w:p>
    <w:p>
      <w:pPr>
        <w:keepNext/>
        <w:spacing w:before="160" w:after="40"/>
      </w:pPr>
      <w:r>
        <w:rPr>
          <w:rFonts w:ascii="Comic Sans MS" w:hAnsi="Comic Sans MS" w:cs="Comic Sans MS" w:eastAsia="Comic Sans MS"/>
          <w:b/>
          <w:i w:val="0"/>
          <w:color w:val="000000"/>
          <w:sz w:val="28"/>
        </w:rPr>
        <w:t>1.4.5 Polymerisation, Decarboxylation and Dehydration</w:t>
      </w:r>
    </w:p>
    <w:p>
      <w:pPr>
        <w:spacing w:after="160"/>
        <w:jc w:val="both"/>
      </w:pPr>
      <w:r>
        <w:rPr>
          <w:rFonts w:ascii="Comic Sans MS" w:hAnsi="Comic Sans MS" w:cs="Comic Sans MS" w:eastAsia="Comic Sans MS"/>
          <w:b w:val="0"/>
          <w:i w:val="0"/>
          <w:color w:val="000000"/>
          <w:sz w:val="28"/>
        </w:rPr>
        <w:t>Certain molecules undergo polymerisation on storage; the formation of polymers in concentrated aminopenicillin solutions is thought to contribute to allergic reactions. Decarboxylation occurs with para-aminosalicylic acid and with sodium bicarbonate-containing effervescent products, and dehydration is seen with prostaglandins and with some hydrates.</w:t>
      </w:r>
    </w:p>
    <w:p>
      <w:pPr>
        <w:keepNext/>
        <w:spacing w:before="160" w:after="40"/>
      </w:pPr>
      <w:r>
        <w:rPr>
          <w:rFonts w:ascii="Comic Sans MS" w:hAnsi="Comic Sans MS" w:cs="Comic Sans MS" w:eastAsia="Comic Sans MS"/>
          <w:b/>
          <w:i w:val="0"/>
          <w:color w:val="000000"/>
          <w:sz w:val="28"/>
        </w:rPr>
        <w:t>1.4.6 Incompatibility of Ionisation and Salt Selection</w:t>
      </w:r>
    </w:p>
    <w:p>
      <w:pPr>
        <w:spacing w:after="160"/>
        <w:jc w:val="both"/>
      </w:pPr>
      <w:r>
        <w:rPr>
          <w:rFonts w:ascii="Comic Sans MS" w:hAnsi="Comic Sans MS" w:cs="Comic Sans MS" w:eastAsia="Comic Sans MS"/>
          <w:b w:val="0"/>
          <w:i w:val="0"/>
          <w:color w:val="000000"/>
          <w:sz w:val="28"/>
        </w:rPr>
        <w:t>Because most drugs are weak acids or weak bases, salt formation is the first and most powerful tool available to the preformulation scientist. The choice of counter-ion alters solubility, dissolution rate, hygroscopicity, melting point, crystal habit, stability, taste and even polymorphic behaviour, without altering the pharmacology of the parent molecule. Common anions used for basic drugs are hydrochloride, sulphate, mesylate, maleate, tartrate, citrate and besylate; common cations used for acidic drugs are sodium, potassium, calcium, magnesium, meglumine and diethanolamine.</w:t>
      </w:r>
    </w:p>
    <w:p>
      <w:pPr>
        <w:spacing w:after="160"/>
        <w:jc w:val="both"/>
      </w:pPr>
      <w:r>
        <w:rPr>
          <w:rFonts w:ascii="Comic Sans MS" w:hAnsi="Comic Sans MS" w:cs="Comic Sans MS" w:eastAsia="Comic Sans MS"/>
          <w:b w:val="0"/>
          <w:i w:val="0"/>
          <w:color w:val="000000"/>
          <w:sz w:val="28"/>
        </w:rPr>
        <w:t>A salt screen evaluates, for each candidate salt, the yield and ease of crystallisation, the melting point, the aqueous solubility and pH of the saturated solution, the hygroscopicity, the crystallinity and polymorphic behaviour, the chemical stability and the processability. The general rule of thumb is that the counter-ion should have a pKa differing from that of the drug by at least two units for a stable, non-disproportionating salt to be formed.</w:t>
      </w:r>
    </w:p>
    <w:p>
      <w:pPr>
        <w:keepNext/>
        <w:spacing w:before="160" w:after="40"/>
      </w:pPr>
      <w:r>
        <w:rPr>
          <w:rFonts w:ascii="Comic Sans MS" w:hAnsi="Comic Sans MS" w:cs="Comic Sans MS" w:eastAsia="Comic Sans MS"/>
          <w:b/>
          <w:i w:val="0"/>
          <w:color w:val="000000"/>
          <w:sz w:val="28"/>
        </w:rPr>
        <w:t>1.4.7 Practical Conduct of Preformulation Stability Studies</w:t>
      </w:r>
    </w:p>
    <w:p>
      <w:pPr>
        <w:spacing w:after="160"/>
        <w:jc w:val="both"/>
      </w:pPr>
      <w:r>
        <w:rPr>
          <w:rFonts w:ascii="Comic Sans MS" w:hAnsi="Comic Sans MS" w:cs="Comic Sans MS" w:eastAsia="Comic Sans MS"/>
          <w:b w:val="0"/>
          <w:i w:val="0"/>
          <w:color w:val="000000"/>
          <w:sz w:val="28"/>
        </w:rPr>
        <w:t>Solution and solid-state stress studies are performed early, on small quantities, using a stability-indicating analytical method, usually reverse-phase high performance liquid chromatography with a photodiode array detector. Typical stress conditions are 0.1 molar hydrochloric acid and 0.1 molar sodium hydroxide at elevated temperature, hydrogen peroxide for oxidation, dry heat at 60 to 80 degrees Celsius, high humidity, and exposure to light as specified in ICH Q1B. The aims are to identify the degradation pathways, to generate the degradation products needed to demonstrate the specificity of the assay, and to guide formulation.</w:t>
      </w:r>
    </w:p>
    <w:p>
      <w:pPr>
        <w:keepNext/>
        <w:spacing w:before="160" w:after="40"/>
      </w:pPr>
      <w:r>
        <w:rPr>
          <w:rFonts w:ascii="Comic Sans MS" w:hAnsi="Comic Sans MS" w:cs="Comic Sans MS" w:eastAsia="Comic Sans MS"/>
          <w:b/>
          <w:i w:val="0"/>
          <w:color w:val="000000"/>
          <w:sz w:val="28"/>
        </w:rPr>
        <w:t>1.5 Pharmaceutical and Biopharmaceutical Factors</w:t>
      </w:r>
    </w:p>
    <w:p>
      <w:pPr>
        <w:spacing w:after="160"/>
        <w:jc w:val="both"/>
      </w:pPr>
      <w:r>
        <w:rPr>
          <w:rFonts w:ascii="Comic Sans MS" w:hAnsi="Comic Sans MS" w:cs="Comic Sans MS" w:eastAsia="Comic Sans MS"/>
          <w:b w:val="0"/>
          <w:i w:val="0"/>
          <w:color w:val="000000"/>
          <w:sz w:val="28"/>
        </w:rPr>
        <w:t>Beyond the intrinsic physical and chemical properties of the molecule, a number of product-related and patient-related factors influence the formulation decision.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Dose.</w:t>
      </w:r>
      <w:r>
        <w:rPr>
          <w:rFonts w:ascii="Comic Sans MS" w:hAnsi="Comic Sans MS" w:cs="Comic Sans MS" w:eastAsia="Comic Sans MS"/>
          <w:b w:val="0"/>
          <w:i w:val="0"/>
          <w:color w:val="000000"/>
          <w:sz w:val="28"/>
        </w:rPr>
        <w:t xml:space="preserve"> A high dose (for example 500 milligrams or more) restricts the choice of dosage form, limits the proportion of excipients that can be included, and makes solubility problems more acute. Very low doses raise problems of content uniformity, of adsorption onto equipment and containers, and of analytical sensitivity.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Route of administration.</w:t>
      </w:r>
      <w:r>
        <w:rPr>
          <w:rFonts w:ascii="Comic Sans MS" w:hAnsi="Comic Sans MS" w:cs="Comic Sans MS" w:eastAsia="Comic Sans MS"/>
          <w:b w:val="0"/>
          <w:i w:val="0"/>
          <w:color w:val="000000"/>
          <w:sz w:val="28"/>
        </w:rPr>
        <w:t xml:space="preserve"> The intended route dictates the acceptable excipients, sterility requirements, tonicity, pH range, volume and viscosity. Parenteral products, for example, restrict the formulator to a small number of well-qualified excipients.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Intended dosage form and release profile.</w:t>
      </w:r>
      <w:r>
        <w:rPr>
          <w:rFonts w:ascii="Comic Sans MS" w:hAnsi="Comic Sans MS" w:cs="Comic Sans MS" w:eastAsia="Comic Sans MS"/>
          <w:b w:val="0"/>
          <w:i w:val="0"/>
          <w:color w:val="000000"/>
          <w:sz w:val="28"/>
        </w:rPr>
        <w:t xml:space="preserve"> Immediate-release, delayed-release and extended-release products place very different demands on the drug substance, particularly with respect to solubility across the gastrointestinal pH range and stability over prolonged transit.</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Biopharmaceutical classification.</w:t>
      </w:r>
      <w:r>
        <w:rPr>
          <w:rFonts w:ascii="Comic Sans MS" w:hAnsi="Comic Sans MS" w:cs="Comic Sans MS" w:eastAsia="Comic Sans MS"/>
          <w:b w:val="0"/>
          <w:i w:val="0"/>
          <w:color w:val="000000"/>
          <w:sz w:val="28"/>
        </w:rPr>
        <w:t xml:space="preserve"> Placing the drug in one of the four BCS classes at the earliest opportunity focuses development effort correctly, as discussed in Unit II.</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Stability in gastrointestinal fluids and first-pass metabolism.</w:t>
      </w:r>
      <w:r>
        <w:rPr>
          <w:rFonts w:ascii="Comic Sans MS" w:hAnsi="Comic Sans MS" w:cs="Comic Sans MS" w:eastAsia="Comic Sans MS"/>
          <w:b w:val="0"/>
          <w:i w:val="0"/>
          <w:color w:val="000000"/>
          <w:sz w:val="28"/>
        </w:rPr>
        <w:t xml:space="preserve"> Drugs degraded by gastric acid or by luminal enzymes, or extensively metabolised in the gut wall and liver, may require enteric coating, prodrug formation or a non-oral route.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Taste, odour and appearance.</w:t>
      </w:r>
      <w:r>
        <w:rPr>
          <w:rFonts w:ascii="Comic Sans MS" w:hAnsi="Comic Sans MS" w:cs="Comic Sans MS" w:eastAsia="Comic Sans MS"/>
          <w:b w:val="0"/>
          <w:i w:val="0"/>
          <w:color w:val="000000"/>
          <w:sz w:val="28"/>
        </w:rPr>
        <w:t xml:space="preserve"> These determine acceptability, especially in paediatric and geriatric products, and often govern the need for coating, complexation or flavouring.</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Compatibility with excipients and packaging.</w:t>
      </w:r>
      <w:r>
        <w:rPr>
          <w:rFonts w:ascii="Comic Sans MS" w:hAnsi="Comic Sans MS" w:cs="Comic Sans MS" w:eastAsia="Comic Sans MS"/>
          <w:b w:val="0"/>
          <w:i w:val="0"/>
          <w:color w:val="000000"/>
          <w:sz w:val="28"/>
        </w:rPr>
        <w:t xml:space="preserve"> Discussed in sections 1.8 and Unit V.</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Patient population and compliance.</w:t>
      </w:r>
      <w:r>
        <w:rPr>
          <w:rFonts w:ascii="Comic Sans MS" w:hAnsi="Comic Sans MS" w:cs="Comic Sans MS" w:eastAsia="Comic Sans MS"/>
          <w:b w:val="0"/>
          <w:i w:val="0"/>
          <w:color w:val="000000"/>
          <w:sz w:val="28"/>
        </w:rPr>
        <w:t xml:space="preserve"> Paediatric, geriatric and dysphagic patients may require liquids, dispersible tablets or orally disintegrating forms.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Manufacturability and cost.</w:t>
      </w:r>
      <w:r>
        <w:rPr>
          <w:rFonts w:ascii="Comic Sans MS" w:hAnsi="Comic Sans MS" w:cs="Comic Sans MS" w:eastAsia="Comic Sans MS"/>
          <w:b w:val="0"/>
          <w:i w:val="0"/>
          <w:color w:val="000000"/>
          <w:sz w:val="28"/>
        </w:rPr>
        <w:t xml:space="preserve"> Flow, compressibility, and the robustness of the crystallisation process determine whether the product can be made reproducibly at scale and at acceptable cost.</w:t>
      </w:r>
    </w:p>
    <w:p>
      <w:pPr>
        <w:keepNext/>
        <w:spacing w:before="160" w:after="40"/>
      </w:pPr>
      <w:r>
        <w:rPr>
          <w:rFonts w:ascii="Comic Sans MS" w:hAnsi="Comic Sans MS" w:cs="Comic Sans MS" w:eastAsia="Comic Sans MS"/>
          <w:b/>
          <w:i w:val="0"/>
          <w:color w:val="000000"/>
          <w:sz w:val="28"/>
        </w:rPr>
        <w:t>1.6 Solid-State Characterisation</w:t>
      </w:r>
    </w:p>
    <w:p>
      <w:pPr>
        <w:spacing w:after="160"/>
        <w:jc w:val="both"/>
      </w:pPr>
      <w:r>
        <w:rPr>
          <w:rFonts w:ascii="Comic Sans MS" w:hAnsi="Comic Sans MS" w:cs="Comic Sans MS" w:eastAsia="Comic Sans MS"/>
          <w:b w:val="0"/>
          <w:i w:val="0"/>
          <w:color w:val="000000"/>
          <w:sz w:val="28"/>
        </w:rPr>
        <w:t>The great majority of drug products are solids or contain solid drug, and the solid-state properties of the active ingredient control dissolution, stability and processability. Solid-state characterisation comprises the assessment of crystallinity, polymorphism and pseudopolymorphism, hygroscopicity, particle size and distribution, and compaction behaviour.</w:t>
      </w:r>
    </w:p>
    <w:p>
      <w:pPr>
        <w:keepNext/>
        <w:spacing w:before="160" w:after="40"/>
      </w:pPr>
      <w:r>
        <w:rPr>
          <w:rFonts w:ascii="Comic Sans MS" w:hAnsi="Comic Sans MS" w:cs="Comic Sans MS" w:eastAsia="Comic Sans MS"/>
          <w:b/>
          <w:i w:val="0"/>
          <w:color w:val="000000"/>
          <w:sz w:val="28"/>
        </w:rPr>
        <w:t>1.6.1 Crystallinity and the Amorphous State</w:t>
      </w:r>
    </w:p>
    <w:p>
      <w:pPr>
        <w:spacing w:after="160"/>
        <w:jc w:val="both"/>
      </w:pPr>
      <w:r>
        <w:rPr>
          <w:rFonts w:ascii="Comic Sans MS" w:hAnsi="Comic Sans MS" w:cs="Comic Sans MS" w:eastAsia="Comic Sans MS"/>
          <w:b w:val="0"/>
          <w:i w:val="0"/>
          <w:color w:val="000000"/>
          <w:sz w:val="28"/>
        </w:rPr>
        <w:t>In a crystalline solid the molecules occupy fixed positions in a regular, repeating, three-dimensional lattice and exhibit both long-range and short-range order. In an amorphous solid the molecules are arranged randomly, with only short-range order, so that the solid resembles a supercooled liquid of very high viscosity.</w:t>
      </w:r>
    </w:p>
    <w:p>
      <w:pPr>
        <w:spacing w:after="160"/>
        <w:jc w:val="both"/>
      </w:pPr>
      <w:r>
        <w:rPr>
          <w:rFonts w:ascii="Comic Sans MS" w:hAnsi="Comic Sans MS" w:cs="Comic Sans MS" w:eastAsia="Comic Sans MS"/>
          <w:b w:val="0"/>
          <w:i w:val="0"/>
          <w:color w:val="000000"/>
          <w:sz w:val="28"/>
        </w:rPr>
        <w:t>The differences of pharmaceutical consequence are: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The crystalline form has a sharp melting point; the amorphous form has no true melting point but softens over a range and exhibits a characteristic glass transition temperature (Tg).</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The amorphous form has higher internal energy, higher free energy and greater molecular mobility, and therefore higher apparent solubility and a faster dissolution rate. Novobiocin is a classical example, the amorphous form being approximately ten times more soluble and therapeutically active whereas the crystalline form is essentially inactive.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The amorphous form is thermodynamically unstable and tends to revert to the crystalline state, particularly above the glass transition temperature or in the presence of moisture, which plasticises the solid and lowers Tg. This reversion, which can occur during storage, is the principal obstacle to the commercial use of amorphous drugs.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Amorphous material is usually more hygroscopic and more chemically reactive than the corresponding crystal.</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Amorphous solids are generally more readily compressible, since they deform plastically.</w:t>
      </w:r>
    </w:p>
    <w:p>
      <w:pPr>
        <w:spacing w:after="160"/>
        <w:jc w:val="both"/>
      </w:pPr>
      <w:r>
        <w:rPr>
          <w:rFonts w:ascii="Comic Sans MS" w:hAnsi="Comic Sans MS" w:cs="Comic Sans MS" w:eastAsia="Comic Sans MS"/>
          <w:b w:val="0"/>
          <w:i w:val="0"/>
          <w:color w:val="000000"/>
          <w:sz w:val="28"/>
        </w:rPr>
        <w:t>A partially crystalline solid contains both regions. The degree of crystallinity may be estimated by X-ray powder diffraction (comparing the intensity of the crystalline peaks with that of the amorphous halo), by differential scanning calorimetry (from the enthalpy of fusion or of crystallisation), by solution calorimetry, by density measurement, and by water vapour sorption.</w:t>
      </w:r>
    </w:p>
    <w:p>
      <w:pPr>
        <w:spacing w:after="160"/>
        <w:jc w:val="both"/>
      </w:pPr>
      <w:r>
        <w:rPr>
          <w:rFonts w:ascii="Comic Sans MS" w:hAnsi="Comic Sans MS" w:cs="Comic Sans MS" w:eastAsia="Comic Sans MS"/>
          <w:b w:val="0"/>
          <w:i w:val="0"/>
          <w:color w:val="000000"/>
          <w:sz w:val="28"/>
        </w:rPr>
        <w:t>Amorphous material is deliberately generated by lyophilisation, spray drying, melt extrusion, melt quenching, co-precipitation and, inadvertently, by milling; and it is stabilised by dispersing the drug molecularly in a high-Tg polymer to form an amorphous solid dispersion, as discussed in Unit III.</w:t>
      </w:r>
    </w:p>
    <w:p>
      <w:pPr>
        <w:keepNext/>
        <w:spacing w:before="160" w:after="40"/>
      </w:pPr>
      <w:r>
        <w:rPr>
          <w:rFonts w:ascii="Comic Sans MS" w:hAnsi="Comic Sans MS" w:cs="Comic Sans MS" w:eastAsia="Comic Sans MS"/>
          <w:b/>
          <w:i w:val="0"/>
          <w:color w:val="000000"/>
          <w:sz w:val="28"/>
        </w:rPr>
        <w:t>1.6.2 Hygroscopicity in the Solid State</w:t>
      </w:r>
    </w:p>
    <w:p>
      <w:pPr>
        <w:spacing w:after="160"/>
        <w:jc w:val="both"/>
      </w:pPr>
      <w:r>
        <w:rPr>
          <w:rFonts w:ascii="Comic Sans MS" w:hAnsi="Comic Sans MS" w:cs="Comic Sans MS" w:eastAsia="Comic Sans MS"/>
          <w:b w:val="0"/>
          <w:i w:val="0"/>
          <w:color w:val="000000"/>
          <w:sz w:val="28"/>
        </w:rPr>
        <w:t>The principles have been described in section 1.3.8. In solid-state characterisation, the additional concern is the distinction between surface adsorbed water, bulk absorbed water, and water that is chemically incorporated into the lattice as a stoichiometric hydrate. These are distinguished by combining thermogravimetric analysis, which quantifies the mass lost and the temperature at which it is lost, with differential scanning calorimetry and X-ray powder diffraction, which reveal whether the lattice changes when water is removed. Karl Fischer titration and loss on drying give the total water content but not its state.</w:t>
      </w:r>
    </w:p>
    <w:p>
      <w:pPr>
        <w:keepNext/>
        <w:spacing w:before="160" w:after="40"/>
      </w:pPr>
      <w:r>
        <w:rPr>
          <w:rFonts w:ascii="Comic Sans MS" w:hAnsi="Comic Sans MS" w:cs="Comic Sans MS" w:eastAsia="Comic Sans MS"/>
          <w:b/>
          <w:i w:val="0"/>
          <w:color w:val="000000"/>
          <w:sz w:val="28"/>
        </w:rPr>
        <w:t>1.6.3 Compaction Properties</w:t>
      </w:r>
    </w:p>
    <w:p>
      <w:pPr>
        <w:spacing w:after="160"/>
        <w:jc w:val="both"/>
      </w:pPr>
      <w:r>
        <w:rPr>
          <w:rFonts w:ascii="Comic Sans MS" w:hAnsi="Comic Sans MS" w:cs="Comic Sans MS" w:eastAsia="Comic Sans MS"/>
          <w:b w:val="0"/>
          <w:i w:val="0"/>
          <w:color w:val="000000"/>
          <w:sz w:val="28"/>
        </w:rPr>
        <w:t>Since the tablet is the dominant dosage form, the behaviour of the powder under pressure must be characterised early, often on only a few grams of material using instrumented single-punch presses or compaction simulators.</w:t>
      </w:r>
    </w:p>
    <w:p>
      <w:pPr>
        <w:spacing w:after="160"/>
        <w:jc w:val="both"/>
      </w:pPr>
      <w:r>
        <w:rPr>
          <w:rFonts w:ascii="Comic Sans MS" w:hAnsi="Comic Sans MS" w:cs="Comic Sans MS" w:eastAsia="Comic Sans MS"/>
          <w:b w:val="0"/>
          <w:i w:val="0"/>
          <w:color w:val="000000"/>
          <w:sz w:val="28"/>
        </w:rPr>
        <w:t>The relevant concepts are: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Compressibility.</w:t>
      </w:r>
      <w:r>
        <w:rPr>
          <w:rFonts w:ascii="Comic Sans MS" w:hAnsi="Comic Sans MS" w:cs="Comic Sans MS" w:eastAsia="Comic Sans MS"/>
          <w:b w:val="0"/>
          <w:i w:val="0"/>
          <w:color w:val="000000"/>
          <w:sz w:val="28"/>
        </w:rPr>
        <w:t xml:space="preserve"> The ability of a powder to reduce in volume under pressure.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Compactibility.</w:t>
      </w:r>
      <w:r>
        <w:rPr>
          <w:rFonts w:ascii="Comic Sans MS" w:hAnsi="Comic Sans MS" w:cs="Comic Sans MS" w:eastAsia="Comic Sans MS"/>
          <w:b w:val="0"/>
          <w:i w:val="0"/>
          <w:color w:val="000000"/>
          <w:sz w:val="28"/>
        </w:rPr>
        <w:t xml:space="preserve"> The ability of the powder to form a compact of adequate mechanical strength. A powder may be compressible but not compactible.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Deformation mechanisms.</w:t>
      </w:r>
      <w:r>
        <w:rPr>
          <w:rFonts w:ascii="Comic Sans MS" w:hAnsi="Comic Sans MS" w:cs="Comic Sans MS" w:eastAsia="Comic Sans MS"/>
          <w:b w:val="0"/>
          <w:i w:val="0"/>
          <w:color w:val="000000"/>
          <w:sz w:val="28"/>
        </w:rPr>
        <w:t xml:space="preserve"> Elastic (reversible) deformation, plastic (permanent) deformation, and brittle fracture. Plastic materials such as microcrystalline cellulose and starch form strong compacts; brittle materials such as lactose and dibasic calcium phosphate fragment to create new bonding surfaces; predominantly elastic materials such as paracetamol recover on decompression and tend to cap and laminate.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Heckel analysis.</w:t>
      </w:r>
      <w:r>
        <w:rPr>
          <w:rFonts w:ascii="Comic Sans MS" w:hAnsi="Comic Sans MS" w:cs="Comic Sans MS" w:eastAsia="Comic Sans MS"/>
          <w:b w:val="0"/>
          <w:i w:val="0"/>
          <w:color w:val="000000"/>
          <w:sz w:val="28"/>
        </w:rPr>
        <w:t xml:space="preserve"> A plot of ln[1/(1 - relative density)] against compression pressure. The reciprocal of the slope of the linear portion gives the mean yield pressure, a low value indicating a readily deforming plastic material.</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Kawakita analysis.</w:t>
      </w:r>
      <w:r>
        <w:rPr>
          <w:rFonts w:ascii="Comic Sans MS" w:hAnsi="Comic Sans MS" w:cs="Comic Sans MS" w:eastAsia="Comic Sans MS"/>
          <w:b w:val="0"/>
          <w:i w:val="0"/>
          <w:color w:val="000000"/>
          <w:sz w:val="28"/>
        </w:rPr>
        <w:t xml:space="preserve"> Relates degree of volume reduction to pressure and is more suitable for soft, fluffy powders.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Tensile strength and crushing strength.</w:t>
      </w:r>
      <w:r>
        <w:rPr>
          <w:rFonts w:ascii="Comic Sans MS" w:hAnsi="Comic Sans MS" w:cs="Comic Sans MS" w:eastAsia="Comic Sans MS"/>
          <w:b w:val="0"/>
          <w:i w:val="0"/>
          <w:color w:val="000000"/>
          <w:sz w:val="28"/>
        </w:rPr>
        <w:t xml:space="preserve"> Measured on the resulting compacts, together with friability and elastic recovery.</w:t>
      </w:r>
    </w:p>
    <w:p>
      <w:pPr>
        <w:spacing w:after="160"/>
        <w:jc w:val="both"/>
      </w:pPr>
      <w:r>
        <w:rPr>
          <w:rFonts w:ascii="Comic Sans MS" w:hAnsi="Comic Sans MS" w:cs="Comic Sans MS" w:eastAsia="Comic Sans MS"/>
          <w:b w:val="0"/>
          <w:i w:val="0"/>
          <w:color w:val="000000"/>
          <w:sz w:val="28"/>
        </w:rPr>
        <w:t>Problems commonly identified at this stage include capping and lamination (excessive elastic recovery or entrapped air), sticking and picking (low melting point or inadequate lubrication), and strain-rate sensitivity (loss of tablet strength as press speed increases, typical of plastically deforming materials). Remedies include wet or dry granulation, change of crystal habit, inclusion of a plastically deforming binder, and optimisation of lubricant type and level.</w:t>
      </w:r>
    </w:p>
    <w:p>
      <w:pPr>
        <w:keepNext/>
        <w:spacing w:before="160" w:after="40"/>
      </w:pPr>
      <w:r>
        <w:rPr>
          <w:rFonts w:ascii="Comic Sans MS" w:hAnsi="Comic Sans MS" w:cs="Comic Sans MS" w:eastAsia="Comic Sans MS"/>
          <w:b/>
          <w:i w:val="0"/>
          <w:color w:val="000000"/>
          <w:sz w:val="28"/>
        </w:rPr>
        <w:t>1.7 Polymorphism and its Evaluation</w:t>
      </w:r>
    </w:p>
    <w:p>
      <w:pPr>
        <w:keepNext/>
        <w:spacing w:before="160" w:after="40"/>
      </w:pPr>
      <w:r>
        <w:rPr>
          <w:rFonts w:ascii="Comic Sans MS" w:hAnsi="Comic Sans MS" w:cs="Comic Sans MS" w:eastAsia="Comic Sans MS"/>
          <w:b/>
          <w:i w:val="0"/>
          <w:color w:val="000000"/>
          <w:sz w:val="28"/>
        </w:rPr>
        <w:t>1.7.1 Definitions</w:t>
      </w:r>
    </w:p>
    <w:p>
      <w:pPr>
        <w:spacing w:after="160"/>
        <w:jc w:val="both"/>
      </w:pPr>
      <w:r>
        <w:rPr>
          <w:rFonts w:ascii="Comic Sans MS" w:hAnsi="Comic Sans MS" w:cs="Comic Sans MS" w:eastAsia="Comic Sans MS"/>
          <w:b/>
          <w:i w:val="0"/>
          <w:color w:val="000000"/>
          <w:sz w:val="28"/>
        </w:rPr>
        <w:t>Polymorphism</w:t>
      </w:r>
      <w:r>
        <w:rPr>
          <w:rFonts w:ascii="Comic Sans MS" w:hAnsi="Comic Sans MS" w:cs="Comic Sans MS" w:eastAsia="Comic Sans MS"/>
          <w:b w:val="0"/>
          <w:i w:val="0"/>
          <w:color w:val="000000"/>
          <w:sz w:val="28"/>
        </w:rPr>
        <w:t xml:space="preserve"> is the ability of a substance to exist in more than one crystalline form, each having the same chemical composition but a different internal lattice arrangement. The individual forms are called polymorphs and are designated Form I, Form II and so on, or alpha, beta and gamma.</w:t>
      </w:r>
    </w:p>
    <w:p>
      <w:pPr>
        <w:spacing w:after="160"/>
        <w:jc w:val="both"/>
      </w:pPr>
      <w:r>
        <w:rPr>
          <w:rFonts w:ascii="Comic Sans MS" w:hAnsi="Comic Sans MS" w:cs="Comic Sans MS" w:eastAsia="Comic Sans MS"/>
          <w:b w:val="0"/>
          <w:i w:val="0"/>
          <w:color w:val="000000"/>
          <w:sz w:val="28"/>
        </w:rPr>
        <w:t>Polymorphs are classified as: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Packing polymorphs,</w:t>
      </w:r>
      <w:r>
        <w:rPr>
          <w:rFonts w:ascii="Comic Sans MS" w:hAnsi="Comic Sans MS" w:cs="Comic Sans MS" w:eastAsia="Comic Sans MS"/>
          <w:b w:val="0"/>
          <w:i w:val="0"/>
          <w:color w:val="000000"/>
          <w:sz w:val="28"/>
        </w:rPr>
        <w:t xml:space="preserve"> in which conformationally rigid molecules are packed differently in the lattice.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Conformational polymorphs,</w:t>
      </w:r>
      <w:r>
        <w:rPr>
          <w:rFonts w:ascii="Comic Sans MS" w:hAnsi="Comic Sans MS" w:cs="Comic Sans MS" w:eastAsia="Comic Sans MS"/>
          <w:b w:val="0"/>
          <w:i w:val="0"/>
          <w:color w:val="000000"/>
          <w:sz w:val="28"/>
        </w:rPr>
        <w:t xml:space="preserve"> in which a flexible molecule adopts different conformations in different lattices.</w:t>
      </w:r>
    </w:p>
    <w:p>
      <w:pPr>
        <w:spacing w:after="160"/>
        <w:jc w:val="both"/>
      </w:pPr>
      <w:r>
        <w:rPr>
          <w:rFonts w:ascii="Comic Sans MS" w:hAnsi="Comic Sans MS" w:cs="Comic Sans MS" w:eastAsia="Comic Sans MS"/>
          <w:b/>
          <w:i w:val="0"/>
          <w:color w:val="000000"/>
          <w:sz w:val="28"/>
        </w:rPr>
        <w:t>Pseudopolymorphism</w:t>
      </w:r>
      <w:r>
        <w:rPr>
          <w:rFonts w:ascii="Comic Sans MS" w:hAnsi="Comic Sans MS" w:cs="Comic Sans MS" w:eastAsia="Comic Sans MS"/>
          <w:b w:val="0"/>
          <w:i w:val="0"/>
          <w:color w:val="000000"/>
          <w:sz w:val="28"/>
        </w:rPr>
        <w:t xml:space="preserve"> (solvatomorphism) describes the situation in which solvent molecules are incorporated into the crystal lattice in stoichiometric proportion. The resulting species are called solvates, or hydrates when the solvent is water. Because the chemical composition differs from that of the unsolvated form, these are strictly not polymorphs. Examples include the various hydrates of ampicillin, theophylline and carbamazepine. A further related phenomenon is the existence of </w:t>
      </w:r>
      <w:r>
        <w:rPr>
          <w:rFonts w:ascii="Comic Sans MS" w:hAnsi="Comic Sans MS" w:cs="Comic Sans MS" w:eastAsia="Comic Sans MS"/>
          <w:b/>
          <w:i w:val="0"/>
          <w:color w:val="000000"/>
          <w:sz w:val="28"/>
        </w:rPr>
        <w:t>co-crystals,</w:t>
      </w:r>
      <w:r>
        <w:rPr>
          <w:rFonts w:ascii="Comic Sans MS" w:hAnsi="Comic Sans MS" w:cs="Comic Sans MS" w:eastAsia="Comic Sans MS"/>
          <w:b w:val="0"/>
          <w:i w:val="0"/>
          <w:color w:val="000000"/>
          <w:sz w:val="28"/>
        </w:rPr>
        <w:t xml:space="preserve"> in which the drug and a neutral co-former occupy the same lattice.</w:t>
      </w:r>
    </w:p>
    <w:p>
      <w:pPr>
        <w:keepNext/>
        <w:spacing w:before="160" w:after="40"/>
      </w:pPr>
      <w:r>
        <w:rPr>
          <w:rFonts w:ascii="Comic Sans MS" w:hAnsi="Comic Sans MS" w:cs="Comic Sans MS" w:eastAsia="Comic Sans MS"/>
          <w:b/>
          <w:i w:val="0"/>
          <w:color w:val="000000"/>
          <w:sz w:val="28"/>
        </w:rPr>
        <w:t>1.7.2 Thermodynamic Relationships</w:t>
      </w:r>
    </w:p>
    <w:p>
      <w:pPr>
        <w:spacing w:after="160"/>
        <w:jc w:val="both"/>
      </w:pPr>
      <w:r>
        <w:rPr>
          <w:rFonts w:ascii="Comic Sans MS" w:hAnsi="Comic Sans MS" w:cs="Comic Sans MS" w:eastAsia="Comic Sans MS"/>
          <w:b w:val="0"/>
          <w:i w:val="0"/>
          <w:color w:val="000000"/>
          <w:sz w:val="28"/>
        </w:rPr>
        <w:t>Only one polymorph is thermodynamically stable at a given temperature and pressure; the others are metastable and will, in principle, convert to the stable form, although the rate may be so slow that a metastable form is usable in practice.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Enantiotropy.</w:t>
      </w:r>
      <w:r>
        <w:rPr>
          <w:rFonts w:ascii="Comic Sans MS" w:hAnsi="Comic Sans MS" w:cs="Comic Sans MS" w:eastAsia="Comic Sans MS"/>
          <w:b w:val="0"/>
          <w:i w:val="0"/>
          <w:color w:val="000000"/>
          <w:sz w:val="28"/>
        </w:rPr>
        <w:t xml:space="preserve"> The relative stability of two forms reverses at a transition temperature that lies below the melting points of both, so that each form is stable over a defined temperature range and the transformation is reversible. Carbamazepine and sulphathiazole show enantiotropic behaviour.</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Monotropy.</w:t>
      </w:r>
      <w:r>
        <w:rPr>
          <w:rFonts w:ascii="Comic Sans MS" w:hAnsi="Comic Sans MS" w:cs="Comic Sans MS" w:eastAsia="Comic Sans MS"/>
          <w:b w:val="0"/>
          <w:i w:val="0"/>
          <w:color w:val="000000"/>
          <w:sz w:val="28"/>
        </w:rPr>
        <w:t xml:space="preserve"> One form is stable at all temperatures up to the melting point and the transformation is irreversible. Glibenclamide and chloramphenicol palmitate are examples.</w:t>
      </w:r>
    </w:p>
    <w:p>
      <w:pPr>
        <w:spacing w:after="160"/>
        <w:jc w:val="both"/>
      </w:pPr>
      <w:r>
        <w:rPr>
          <w:rFonts w:ascii="Comic Sans MS" w:hAnsi="Comic Sans MS" w:cs="Comic Sans MS" w:eastAsia="Comic Sans MS"/>
          <w:b/>
          <w:i w:val="0"/>
          <w:color w:val="000000"/>
          <w:sz w:val="28"/>
        </w:rPr>
        <w:t>Ostwald's rule of stages</w:t>
      </w:r>
      <w:r>
        <w:rPr>
          <w:rFonts w:ascii="Comic Sans MS" w:hAnsi="Comic Sans MS" w:cs="Comic Sans MS" w:eastAsia="Comic Sans MS"/>
          <w:b w:val="0"/>
          <w:i w:val="0"/>
          <w:color w:val="000000"/>
          <w:sz w:val="28"/>
        </w:rPr>
        <w:t xml:space="preserve"> states that crystallisation from a supersaturated solution tends to yield first not the most stable form but the form nearest in free energy to the original state, that is, the least stable form, which then transforms stepwise. This explains why metastable polymorphs frequently appear during rapid crystallisation and why careful control of crystallisation conditions is essential.</w:t>
      </w:r>
    </w:p>
    <w:p>
      <w:pPr>
        <w:spacing w:after="160"/>
        <w:jc w:val="both"/>
      </w:pPr>
      <w:r>
        <w:rPr>
          <w:rFonts w:ascii="Comic Sans MS" w:hAnsi="Comic Sans MS" w:cs="Comic Sans MS" w:eastAsia="Comic Sans MS"/>
          <w:b w:val="0"/>
          <w:i w:val="0"/>
          <w:color w:val="000000"/>
          <w:sz w:val="28"/>
        </w:rPr>
        <w:t>Because the metastable form has the higher free energy, it also has the higher apparent solubility and the faster dissolution rate, and hence potentially the greater bioavailability. This is the central dilemma of polymorph selection: the form with the best biopharmaceutical performance is, by definition, not the most stable.</w:t>
      </w:r>
    </w:p>
    <w:p>
      <w:pPr>
        <w:keepNext/>
        <w:spacing w:before="160" w:after="40"/>
      </w:pPr>
      <w:r>
        <w:rPr>
          <w:rFonts w:ascii="Comic Sans MS" w:hAnsi="Comic Sans MS" w:cs="Comic Sans MS" w:eastAsia="Comic Sans MS"/>
          <w:b/>
          <w:i w:val="0"/>
          <w:color w:val="000000"/>
          <w:sz w:val="28"/>
        </w:rPr>
        <w:t>1.7.3 Pharmaceutical Consequences of Polymorphism</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Solubility and dissolution rate,</w:t>
      </w:r>
      <w:r>
        <w:rPr>
          <w:rFonts w:ascii="Comic Sans MS" w:hAnsi="Comic Sans MS" w:cs="Comic Sans MS" w:eastAsia="Comic Sans MS"/>
          <w:b w:val="0"/>
          <w:i w:val="0"/>
          <w:color w:val="000000"/>
          <w:sz w:val="28"/>
        </w:rPr>
        <w:t xml:space="preserve"> and therefore bioavailability. The classical case is chloramphenicol palmitate, in which the metastable Form B gives blood levels several times higher than the stable Form A, which is essentially inactive because it dissolves too slowly.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Chemical and physical stability.</w:t>
      </w:r>
      <w:r>
        <w:rPr>
          <w:rFonts w:ascii="Comic Sans MS" w:hAnsi="Comic Sans MS" w:cs="Comic Sans MS" w:eastAsia="Comic Sans MS"/>
          <w:b w:val="0"/>
          <w:i w:val="0"/>
          <w:color w:val="000000"/>
          <w:sz w:val="28"/>
        </w:rPr>
        <w:t xml:space="preserve"> Conversion during storage changes dissolution and may cause caking, changes in appearance, or loss of potency.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Processability.</w:t>
      </w:r>
      <w:r>
        <w:rPr>
          <w:rFonts w:ascii="Comic Sans MS" w:hAnsi="Comic Sans MS" w:cs="Comic Sans MS" w:eastAsia="Comic Sans MS"/>
          <w:b w:val="0"/>
          <w:i w:val="0"/>
          <w:color w:val="000000"/>
          <w:sz w:val="28"/>
        </w:rPr>
        <w:t xml:space="preserve"> Polymorphs differ in crystal habit, flow, compressibility and melting point, so a change of form can disable an established manufacturing process.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Suspension stability.</w:t>
      </w:r>
      <w:r>
        <w:rPr>
          <w:rFonts w:ascii="Comic Sans MS" w:hAnsi="Comic Sans MS" w:cs="Comic Sans MS" w:eastAsia="Comic Sans MS"/>
          <w:b w:val="0"/>
          <w:i w:val="0"/>
          <w:color w:val="000000"/>
          <w:sz w:val="28"/>
        </w:rPr>
        <w:t xml:space="preserve"> Conversion of a metastable to a stable form in a suspension causes crystal growth, caking and a fall in dissolution rate.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Regulatory and legal significance.</w:t>
      </w:r>
      <w:r>
        <w:rPr>
          <w:rFonts w:ascii="Comic Sans MS" w:hAnsi="Comic Sans MS" w:cs="Comic Sans MS" w:eastAsia="Comic Sans MS"/>
          <w:b w:val="0"/>
          <w:i w:val="0"/>
          <w:color w:val="000000"/>
          <w:sz w:val="28"/>
        </w:rPr>
        <w:t xml:space="preserve"> Polymorphic form is a critical quality attribute; it must be identified, controlled and specified. Polymorphs are also separately patentable, which makes their identification commercially important. The best-known cautionary tale is ritonavir, where the unexpected appearance of a much less soluble Form II in 1998 forced the withdrawal and reformulation of the marketed capsule.</w:t>
      </w:r>
    </w:p>
    <w:p>
      <w:pPr>
        <w:keepNext/>
        <w:spacing w:before="160" w:after="40"/>
      </w:pPr>
      <w:r>
        <w:rPr>
          <w:rFonts w:ascii="Comic Sans MS" w:hAnsi="Comic Sans MS" w:cs="Comic Sans MS" w:eastAsia="Comic Sans MS"/>
          <w:b/>
          <w:i w:val="0"/>
          <w:color w:val="000000"/>
          <w:sz w:val="28"/>
        </w:rPr>
        <w:t>1.7.4 Methods of Evaluation of Polymorphism</w:t>
      </w:r>
    </w:p>
    <w:p>
      <w:pPr>
        <w:spacing w:after="160"/>
        <w:jc w:val="both"/>
      </w:pPr>
      <w:r>
        <w:rPr>
          <w:rFonts w:ascii="Comic Sans MS" w:hAnsi="Comic Sans MS" w:cs="Comic Sans MS" w:eastAsia="Comic Sans MS"/>
          <w:b w:val="0"/>
          <w:i w:val="0"/>
          <w:color w:val="000000"/>
          <w:sz w:val="28"/>
        </w:rPr>
        <w:t>No single technique is sufficient; a combination is always used.</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X-ray powder diffraction (XRPD).</w:t>
      </w:r>
      <w:r>
        <w:rPr>
          <w:rFonts w:ascii="Comic Sans MS" w:hAnsi="Comic Sans MS" w:cs="Comic Sans MS" w:eastAsia="Comic Sans MS"/>
          <w:b w:val="0"/>
          <w:i w:val="0"/>
          <w:color w:val="000000"/>
          <w:sz w:val="28"/>
        </w:rPr>
        <w:t xml:space="preserve"> The definitive and most widely used method. Each polymorph gives a unique diffraction pattern, since the technique probes the lattice directly. Single-crystal X-ray diffraction gives the complete structure but requires a suitable single crystal.</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Differential scanning calorimetry and differential thermal analysis.</w:t>
      </w:r>
      <w:r>
        <w:rPr>
          <w:rFonts w:ascii="Comic Sans MS" w:hAnsi="Comic Sans MS" w:cs="Comic Sans MS" w:eastAsia="Comic Sans MS"/>
          <w:b w:val="0"/>
          <w:i w:val="0"/>
          <w:color w:val="000000"/>
          <w:sz w:val="28"/>
        </w:rPr>
        <w:t xml:space="preserve"> Detect differences in melting point, enthalpy of fusion, solid-solid transitions, and glass transitions. The heat of transition and heat of fusion rules allow enantiotropy and monotropy to be distinguished.</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Thermogravimetric analysis.</w:t>
      </w:r>
      <w:r>
        <w:rPr>
          <w:rFonts w:ascii="Comic Sans MS" w:hAnsi="Comic Sans MS" w:cs="Comic Sans MS" w:eastAsia="Comic Sans MS"/>
          <w:b w:val="0"/>
          <w:i w:val="0"/>
          <w:color w:val="000000"/>
          <w:sz w:val="28"/>
        </w:rPr>
        <w:t xml:space="preserve"> Distinguishes true polymorphs, which lose no mass, from solvates and hydrates, which do.</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Hot-stage microscopy.</w:t>
      </w:r>
      <w:r>
        <w:rPr>
          <w:rFonts w:ascii="Comic Sans MS" w:hAnsi="Comic Sans MS" w:cs="Comic Sans MS" w:eastAsia="Comic Sans MS"/>
          <w:b w:val="0"/>
          <w:i w:val="0"/>
          <w:color w:val="000000"/>
          <w:sz w:val="28"/>
        </w:rPr>
        <w:t xml:space="preserve"> Allows melting, recrystallisation and transitions to be observed directly, often with polarised light.</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Infrared and Raman spectroscopy.</w:t>
      </w:r>
      <w:r>
        <w:rPr>
          <w:rFonts w:ascii="Comic Sans MS" w:hAnsi="Comic Sans MS" w:cs="Comic Sans MS" w:eastAsia="Comic Sans MS"/>
          <w:b w:val="0"/>
          <w:i w:val="0"/>
          <w:color w:val="000000"/>
          <w:sz w:val="28"/>
        </w:rPr>
        <w:t xml:space="preserve"> Differences in intermolecular interactions, particularly hydrogen bonding, shift and split characteristic bands. Diffuse reflectance and attenuated total reflectance sampling avoid the risk of pressure-induced conversion associated with potassium bromide discs.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Solid-state nuclear magnetic resonance spectroscopy.</w:t>
      </w:r>
      <w:r>
        <w:rPr>
          <w:rFonts w:ascii="Comic Sans MS" w:hAnsi="Comic Sans MS" w:cs="Comic Sans MS" w:eastAsia="Comic Sans MS"/>
          <w:b w:val="0"/>
          <w:i w:val="0"/>
          <w:color w:val="000000"/>
          <w:sz w:val="28"/>
        </w:rPr>
        <w:t xml:space="preserve"> Particularly useful for distinguishing forms in the presence of excipients, and for amorphous content.</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Microscopy and scanning electron microscopy.</w:t>
      </w:r>
      <w:r>
        <w:rPr>
          <w:rFonts w:ascii="Comic Sans MS" w:hAnsi="Comic Sans MS" w:cs="Comic Sans MS" w:eastAsia="Comic Sans MS"/>
          <w:b w:val="0"/>
          <w:i w:val="0"/>
          <w:color w:val="000000"/>
          <w:sz w:val="28"/>
        </w:rPr>
        <w:t xml:space="preserve"> Reveal crystal habit, although habit and polymorph are not the same thing.</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Dissolution and solubility measurement.</w:t>
      </w:r>
      <w:r>
        <w:rPr>
          <w:rFonts w:ascii="Comic Sans MS" w:hAnsi="Comic Sans MS" w:cs="Comic Sans MS" w:eastAsia="Comic Sans MS"/>
          <w:b w:val="0"/>
          <w:i w:val="0"/>
          <w:color w:val="000000"/>
          <w:sz w:val="28"/>
        </w:rPr>
        <w:t xml:space="preserve"> The intrinsic dissolution rate, measured with a rotating disc, differs between forms and is biopharmaceutically the most relevant comparison.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Moisture sorption analysis and density measurement.</w:t>
      </w:r>
      <w:r>
        <w:rPr>
          <w:rFonts w:ascii="Comic Sans MS" w:hAnsi="Comic Sans MS" w:cs="Comic Sans MS" w:eastAsia="Comic Sans MS"/>
          <w:b w:val="0"/>
          <w:i w:val="0"/>
          <w:color w:val="000000"/>
          <w:sz w:val="28"/>
        </w:rPr>
        <w:t xml:space="preserve"> Provide supporting evidence.</w:t>
      </w:r>
    </w:p>
    <w:p>
      <w:pPr>
        <w:keepNext/>
        <w:spacing w:before="160" w:after="40"/>
      </w:pPr>
      <w:r>
        <w:rPr>
          <w:rFonts w:ascii="Comic Sans MS" w:hAnsi="Comic Sans MS" w:cs="Comic Sans MS" w:eastAsia="Comic Sans MS"/>
          <w:b/>
          <w:i w:val="0"/>
          <w:color w:val="000000"/>
          <w:sz w:val="28"/>
        </w:rPr>
        <w:t>1.7.5 Rationale for Selecting the Preferred Polymorph or Crystalline Form</w:t>
      </w:r>
    </w:p>
    <w:p>
      <w:pPr>
        <w:spacing w:after="160"/>
        <w:jc w:val="both"/>
      </w:pPr>
      <w:r>
        <w:rPr>
          <w:rFonts w:ascii="Comic Sans MS" w:hAnsi="Comic Sans MS" w:cs="Comic Sans MS" w:eastAsia="Comic Sans MS"/>
          <w:b w:val="0"/>
          <w:i w:val="0"/>
          <w:color w:val="000000"/>
          <w:sz w:val="28"/>
        </w:rPr>
        <w:t>Selection is a balance of several, sometimes conflicting, requirements. The following considerations apply.</w:t>
      </w:r>
    </w:p>
    <w:p>
      <w:pPr>
        <w:tabs>
          <w:tab w:pos="720" w:val="left"/>
        </w:tabs>
        <w:spacing w:after="0"/>
        <w:ind w:left="720" w:hanging="360"/>
        <w:jc w:val="both"/>
      </w:pPr>
      <w:r>
        <w:rPr>
          <w:rFonts w:ascii="Comic Sans MS" w:hAnsi="Comic Sans MS" w:cs="Comic Sans MS" w:eastAsia="Comic Sans MS"/>
          <w:b/>
          <w:i w:val="0"/>
          <w:color w:val="000000"/>
          <w:sz w:val="28"/>
        </w:rPr>
        <w:t>1.</w:t>
      </w:r>
      <w:r>
        <w:rPr>
          <w:rFonts w:ascii="Comic Sans MS" w:hAnsi="Comic Sans MS" w:cs="Comic Sans MS" w:eastAsia="Comic Sans MS"/>
          <w:b w:val="0"/>
          <w:i w:val="0"/>
          <w:color w:val="000000"/>
          <w:sz w:val="28"/>
        </w:rPr>
        <w:tab/>
      </w:r>
      <w:r>
        <w:rPr>
          <w:rFonts w:ascii="Comic Sans MS" w:hAnsi="Comic Sans MS" w:cs="Comic Sans MS" w:eastAsia="Comic Sans MS"/>
          <w:b/>
          <w:i w:val="0"/>
          <w:color w:val="000000"/>
          <w:sz w:val="28"/>
        </w:rPr>
        <w:t>Thermodynamic stability.</w:t>
      </w:r>
      <w:r>
        <w:rPr>
          <w:rFonts w:ascii="Comic Sans MS" w:hAnsi="Comic Sans MS" w:cs="Comic Sans MS" w:eastAsia="Comic Sans MS"/>
          <w:b w:val="0"/>
          <w:i w:val="0"/>
          <w:color w:val="000000"/>
          <w:sz w:val="28"/>
        </w:rPr>
        <w:t xml:space="preserve"> The most stable polymorph is normally selected, because it will not convert during manufacture or storage and therefore offers the lowest risk. A full polymorph screen, using many solvents, temperatures, cooling rates, antisolvent additions and slurry conversion experiments, is performed to establish with reasonable confidence which form is the most stable and that no unknown, more stable form is likely to appear later.</w:t>
      </w:r>
    </w:p>
    <w:p>
      <w:pPr>
        <w:tabs>
          <w:tab w:pos="720" w:val="left"/>
        </w:tabs>
        <w:spacing w:after="0"/>
        <w:ind w:left="720" w:hanging="360"/>
        <w:jc w:val="both"/>
      </w:pPr>
      <w:r>
        <w:rPr>
          <w:rFonts w:ascii="Comic Sans MS" w:hAnsi="Comic Sans MS" w:cs="Comic Sans MS" w:eastAsia="Comic Sans MS"/>
          <w:b/>
          <w:i w:val="0"/>
          <w:color w:val="000000"/>
          <w:sz w:val="28"/>
        </w:rPr>
        <w:t>2.</w:t>
      </w:r>
      <w:r>
        <w:rPr>
          <w:rFonts w:ascii="Comic Sans MS" w:hAnsi="Comic Sans MS" w:cs="Comic Sans MS" w:eastAsia="Comic Sans MS"/>
          <w:b w:val="0"/>
          <w:i w:val="0"/>
          <w:color w:val="000000"/>
          <w:sz w:val="28"/>
        </w:rPr>
        <w:tab/>
      </w:r>
      <w:r>
        <w:rPr>
          <w:rFonts w:ascii="Comic Sans MS" w:hAnsi="Comic Sans MS" w:cs="Comic Sans MS" w:eastAsia="Comic Sans MS"/>
          <w:b/>
          <w:i w:val="0"/>
          <w:color w:val="000000"/>
          <w:sz w:val="28"/>
        </w:rPr>
        <w:t>Solubility and dissolution requirements.</w:t>
      </w:r>
      <w:r>
        <w:rPr>
          <w:rFonts w:ascii="Comic Sans MS" w:hAnsi="Comic Sans MS" w:cs="Comic Sans MS" w:eastAsia="Comic Sans MS"/>
          <w:b w:val="0"/>
          <w:i w:val="0"/>
          <w:color w:val="000000"/>
          <w:sz w:val="28"/>
        </w:rPr>
        <w:t xml:space="preserve"> If the stable form dissolves too slowly to give adequate bioavailability, a metastable form, an amorphous form, or a different salt or co-crystal may be preferred; but then the formulation must prevent conversion throughout the shelf life, and the risk must be justified.</w:t>
      </w:r>
    </w:p>
    <w:p>
      <w:pPr>
        <w:tabs>
          <w:tab w:pos="720" w:val="left"/>
        </w:tabs>
        <w:spacing w:after="0"/>
        <w:ind w:left="720" w:hanging="360"/>
        <w:jc w:val="both"/>
      </w:pPr>
      <w:r>
        <w:rPr>
          <w:rFonts w:ascii="Comic Sans MS" w:hAnsi="Comic Sans MS" w:cs="Comic Sans MS" w:eastAsia="Comic Sans MS"/>
          <w:b/>
          <w:i w:val="0"/>
          <w:color w:val="000000"/>
          <w:sz w:val="28"/>
        </w:rPr>
        <w:t>3.</w:t>
      </w:r>
      <w:r>
        <w:rPr>
          <w:rFonts w:ascii="Comic Sans MS" w:hAnsi="Comic Sans MS" w:cs="Comic Sans MS" w:eastAsia="Comic Sans MS"/>
          <w:b w:val="0"/>
          <w:i w:val="0"/>
          <w:color w:val="000000"/>
          <w:sz w:val="28"/>
        </w:rPr>
        <w:tab/>
      </w:r>
      <w:r>
        <w:rPr>
          <w:rFonts w:ascii="Comic Sans MS" w:hAnsi="Comic Sans MS" w:cs="Comic Sans MS" w:eastAsia="Comic Sans MS"/>
          <w:b/>
          <w:i w:val="0"/>
          <w:color w:val="000000"/>
          <w:sz w:val="28"/>
        </w:rPr>
        <w:t>Chemical stability.</w:t>
      </w:r>
      <w:r>
        <w:rPr>
          <w:rFonts w:ascii="Comic Sans MS" w:hAnsi="Comic Sans MS" w:cs="Comic Sans MS" w:eastAsia="Comic Sans MS"/>
          <w:b w:val="0"/>
          <w:i w:val="0"/>
          <w:color w:val="000000"/>
          <w:sz w:val="28"/>
        </w:rPr>
        <w:t xml:space="preserve"> The selected form must not accelerate degradation; amorphous and metastable forms are generally more reactive.</w:t>
      </w:r>
    </w:p>
    <w:p>
      <w:pPr>
        <w:tabs>
          <w:tab w:pos="720" w:val="left"/>
        </w:tabs>
        <w:spacing w:after="0"/>
        <w:ind w:left="720" w:hanging="360"/>
        <w:jc w:val="both"/>
      </w:pPr>
      <w:r>
        <w:rPr>
          <w:rFonts w:ascii="Comic Sans MS" w:hAnsi="Comic Sans MS" w:cs="Comic Sans MS" w:eastAsia="Comic Sans MS"/>
          <w:b/>
          <w:i w:val="0"/>
          <w:color w:val="000000"/>
          <w:sz w:val="28"/>
        </w:rPr>
        <w:t>4.</w:t>
      </w:r>
      <w:r>
        <w:rPr>
          <w:rFonts w:ascii="Comic Sans MS" w:hAnsi="Comic Sans MS" w:cs="Comic Sans MS" w:eastAsia="Comic Sans MS"/>
          <w:b w:val="0"/>
          <w:i w:val="0"/>
          <w:color w:val="000000"/>
          <w:sz w:val="28"/>
        </w:rPr>
        <w:tab/>
      </w:r>
      <w:r>
        <w:rPr>
          <w:rFonts w:ascii="Comic Sans MS" w:hAnsi="Comic Sans MS" w:cs="Comic Sans MS" w:eastAsia="Comic Sans MS"/>
          <w:b/>
          <w:i w:val="0"/>
          <w:color w:val="000000"/>
          <w:sz w:val="28"/>
        </w:rPr>
        <w:t>Processability.</w:t>
      </w:r>
      <w:r>
        <w:rPr>
          <w:rFonts w:ascii="Comic Sans MS" w:hAnsi="Comic Sans MS" w:cs="Comic Sans MS" w:eastAsia="Comic Sans MS"/>
          <w:b w:val="0"/>
          <w:i w:val="0"/>
          <w:color w:val="000000"/>
          <w:sz w:val="28"/>
        </w:rPr>
        <w:t xml:space="preserve"> Crystal habit, flow, compressibility, filterability, drying behaviour and resistance to milling-induced conversion are assessed, since a form that cannot be made or handled reproducibly is useless.</w:t>
      </w:r>
    </w:p>
    <w:p>
      <w:pPr>
        <w:tabs>
          <w:tab w:pos="720" w:val="left"/>
        </w:tabs>
        <w:spacing w:after="0"/>
        <w:ind w:left="720" w:hanging="360"/>
        <w:jc w:val="both"/>
      </w:pPr>
      <w:r>
        <w:rPr>
          <w:rFonts w:ascii="Comic Sans MS" w:hAnsi="Comic Sans MS" w:cs="Comic Sans MS" w:eastAsia="Comic Sans MS"/>
          <w:b/>
          <w:i w:val="0"/>
          <w:color w:val="000000"/>
          <w:sz w:val="28"/>
        </w:rPr>
        <w:t>5.</w:t>
      </w:r>
      <w:r>
        <w:rPr>
          <w:rFonts w:ascii="Comic Sans MS" w:hAnsi="Comic Sans MS" w:cs="Comic Sans MS" w:eastAsia="Comic Sans MS"/>
          <w:b w:val="0"/>
          <w:i w:val="0"/>
          <w:color w:val="000000"/>
          <w:sz w:val="28"/>
        </w:rPr>
        <w:tab/>
      </w:r>
      <w:r>
        <w:rPr>
          <w:rFonts w:ascii="Comic Sans MS" w:hAnsi="Comic Sans MS" w:cs="Comic Sans MS" w:eastAsia="Comic Sans MS"/>
          <w:b/>
          <w:i w:val="0"/>
          <w:color w:val="000000"/>
          <w:sz w:val="28"/>
        </w:rPr>
        <w:t>Reproducibility of the crystallisation process.</w:t>
      </w:r>
      <w:r>
        <w:rPr>
          <w:rFonts w:ascii="Comic Sans MS" w:hAnsi="Comic Sans MS" w:cs="Comic Sans MS" w:eastAsia="Comic Sans MS"/>
          <w:b w:val="0"/>
          <w:i w:val="0"/>
          <w:color w:val="000000"/>
          <w:sz w:val="28"/>
        </w:rPr>
        <w:t xml:space="preserve"> The chosen form must be obtainable consistently at scale with acceptable purity and yield.</w:t>
      </w:r>
    </w:p>
    <w:p>
      <w:pPr>
        <w:tabs>
          <w:tab w:pos="720" w:val="left"/>
        </w:tabs>
        <w:spacing w:after="0"/>
        <w:ind w:left="720" w:hanging="360"/>
        <w:jc w:val="both"/>
      </w:pPr>
      <w:r>
        <w:rPr>
          <w:rFonts w:ascii="Comic Sans MS" w:hAnsi="Comic Sans MS" w:cs="Comic Sans MS" w:eastAsia="Comic Sans MS"/>
          <w:b/>
          <w:i w:val="0"/>
          <w:color w:val="000000"/>
          <w:sz w:val="28"/>
        </w:rPr>
        <w:t>6.</w:t>
      </w:r>
      <w:r>
        <w:rPr>
          <w:rFonts w:ascii="Comic Sans MS" w:hAnsi="Comic Sans MS" w:cs="Comic Sans MS" w:eastAsia="Comic Sans MS"/>
          <w:b w:val="0"/>
          <w:i w:val="0"/>
          <w:color w:val="000000"/>
          <w:sz w:val="28"/>
        </w:rPr>
        <w:tab/>
      </w:r>
      <w:r>
        <w:rPr>
          <w:rFonts w:ascii="Comic Sans MS" w:hAnsi="Comic Sans MS" w:cs="Comic Sans MS" w:eastAsia="Comic Sans MS"/>
          <w:b/>
          <w:i w:val="0"/>
          <w:color w:val="000000"/>
          <w:sz w:val="28"/>
        </w:rPr>
        <w:t>Hygroscopicity.</w:t>
      </w:r>
      <w:r>
        <w:rPr>
          <w:rFonts w:ascii="Comic Sans MS" w:hAnsi="Comic Sans MS" w:cs="Comic Sans MS" w:eastAsia="Comic Sans MS"/>
          <w:b w:val="0"/>
          <w:i w:val="0"/>
          <w:color w:val="000000"/>
          <w:sz w:val="28"/>
        </w:rPr>
        <w:t xml:space="preserve"> A markedly hygroscopic form is avoided where possible.</w:t>
      </w:r>
    </w:p>
    <w:p>
      <w:pPr>
        <w:tabs>
          <w:tab w:pos="720" w:val="left"/>
        </w:tabs>
        <w:spacing w:after="0"/>
        <w:ind w:left="720" w:hanging="360"/>
        <w:jc w:val="both"/>
      </w:pPr>
      <w:r>
        <w:rPr>
          <w:rFonts w:ascii="Comic Sans MS" w:hAnsi="Comic Sans MS" w:cs="Comic Sans MS" w:eastAsia="Comic Sans MS"/>
          <w:b/>
          <w:i w:val="0"/>
          <w:color w:val="000000"/>
          <w:sz w:val="28"/>
        </w:rPr>
        <w:t>7.</w:t>
      </w:r>
      <w:r>
        <w:rPr>
          <w:rFonts w:ascii="Comic Sans MS" w:hAnsi="Comic Sans MS" w:cs="Comic Sans MS" w:eastAsia="Comic Sans MS"/>
          <w:b w:val="0"/>
          <w:i w:val="0"/>
          <w:color w:val="000000"/>
          <w:sz w:val="28"/>
        </w:rPr>
        <w:tab/>
      </w:r>
      <w:r>
        <w:rPr>
          <w:rFonts w:ascii="Comic Sans MS" w:hAnsi="Comic Sans MS" w:cs="Comic Sans MS" w:eastAsia="Comic Sans MS"/>
          <w:b/>
          <w:i w:val="0"/>
          <w:color w:val="000000"/>
          <w:sz w:val="28"/>
        </w:rPr>
        <w:t>Analytical controllability.</w:t>
      </w:r>
      <w:r>
        <w:rPr>
          <w:rFonts w:ascii="Comic Sans MS" w:hAnsi="Comic Sans MS" w:cs="Comic Sans MS" w:eastAsia="Comic Sans MS"/>
          <w:b w:val="0"/>
          <w:i w:val="0"/>
          <w:color w:val="000000"/>
          <w:sz w:val="28"/>
        </w:rPr>
        <w:t xml:space="preserve"> It must be possible to identify and quantify the chosen form, and to detect the others, by a validated method; a specification for polymorphic form is then set.</w:t>
      </w:r>
    </w:p>
    <w:p>
      <w:pPr>
        <w:tabs>
          <w:tab w:pos="720" w:val="left"/>
        </w:tabs>
        <w:spacing w:after="0"/>
        <w:ind w:left="720" w:hanging="360"/>
        <w:jc w:val="both"/>
      </w:pPr>
      <w:r>
        <w:rPr>
          <w:rFonts w:ascii="Comic Sans MS" w:hAnsi="Comic Sans MS" w:cs="Comic Sans MS" w:eastAsia="Comic Sans MS"/>
          <w:b/>
          <w:i w:val="0"/>
          <w:color w:val="000000"/>
          <w:sz w:val="28"/>
        </w:rPr>
        <w:t>8.</w:t>
      </w:r>
      <w:r>
        <w:rPr>
          <w:rFonts w:ascii="Comic Sans MS" w:hAnsi="Comic Sans MS" w:cs="Comic Sans MS" w:eastAsia="Comic Sans MS"/>
          <w:b w:val="0"/>
          <w:i w:val="0"/>
          <w:color w:val="000000"/>
          <w:sz w:val="28"/>
        </w:rPr>
        <w:tab/>
      </w:r>
      <w:r>
        <w:rPr>
          <w:rFonts w:ascii="Comic Sans MS" w:hAnsi="Comic Sans MS" w:cs="Comic Sans MS" w:eastAsia="Comic Sans MS"/>
          <w:b/>
          <w:i w:val="0"/>
          <w:color w:val="000000"/>
          <w:sz w:val="28"/>
        </w:rPr>
        <w:t>Intellectual property and regulatory position.</w:t>
      </w:r>
      <w:r>
        <w:rPr>
          <w:rFonts w:ascii="Comic Sans MS" w:hAnsi="Comic Sans MS" w:cs="Comic Sans MS" w:eastAsia="Comic Sans MS"/>
          <w:b w:val="0"/>
          <w:i w:val="0"/>
          <w:color w:val="000000"/>
          <w:sz w:val="28"/>
        </w:rPr>
        <w:t xml:space="preserve"> Patent coverage and freedom to operate influence the final choice, and the selected form, together with the rationale, must be documented for the regulatory dossier.</w:t>
      </w:r>
    </w:p>
    <w:p>
      <w:pPr>
        <w:spacing w:after="160"/>
        <w:jc w:val="both"/>
      </w:pPr>
      <w:r>
        <w:rPr>
          <w:rFonts w:ascii="Comic Sans MS" w:hAnsi="Comic Sans MS" w:cs="Comic Sans MS" w:eastAsia="Comic Sans MS"/>
          <w:b w:val="0"/>
          <w:i w:val="0"/>
          <w:color w:val="000000"/>
          <w:sz w:val="28"/>
        </w:rPr>
        <w:t>In summary, the preferred form is the one that offers adequate bioavailability with the greatest thermodynamic and processing robustness; where these conflict, the stable form is chosen unless bioavailability demands otherwise and the associated risk can be controlled.</w:t>
      </w:r>
    </w:p>
    <w:p>
      <w:pPr>
        <w:keepNext/>
        <w:spacing w:before="160" w:after="40"/>
      </w:pPr>
      <w:r>
        <w:rPr>
          <w:rFonts w:ascii="Comic Sans MS" w:hAnsi="Comic Sans MS" w:cs="Comic Sans MS" w:eastAsia="Comic Sans MS"/>
          <w:b/>
          <w:i w:val="0"/>
          <w:color w:val="000000"/>
          <w:sz w:val="28"/>
        </w:rPr>
        <w:t>1.8 Characterisation Techniques used in Preformulation</w:t>
      </w:r>
    </w:p>
    <w:p>
      <w:pPr>
        <w:keepNext/>
        <w:spacing w:before="160" w:after="40"/>
      </w:pPr>
      <w:r>
        <w:rPr>
          <w:rFonts w:ascii="Comic Sans MS" w:hAnsi="Comic Sans MS" w:cs="Comic Sans MS" w:eastAsia="Comic Sans MS"/>
          <w:b/>
          <w:i w:val="0"/>
          <w:color w:val="000000"/>
          <w:sz w:val="28"/>
        </w:rPr>
        <w:t>1.8.1 Differential Thermal Analysis (DTA)</w:t>
      </w:r>
    </w:p>
    <w:p>
      <w:pPr>
        <w:spacing w:after="160"/>
        <w:jc w:val="both"/>
      </w:pPr>
      <w:r>
        <w:rPr>
          <w:rFonts w:ascii="Comic Sans MS" w:hAnsi="Comic Sans MS" w:cs="Comic Sans MS" w:eastAsia="Comic Sans MS"/>
          <w:b/>
          <w:i w:val="0"/>
          <w:color w:val="000000"/>
          <w:sz w:val="28"/>
        </w:rPr>
        <w:t>Principle.</w:t>
      </w:r>
      <w:r>
        <w:rPr>
          <w:rFonts w:ascii="Comic Sans MS" w:hAnsi="Comic Sans MS" w:cs="Comic Sans MS" w:eastAsia="Comic Sans MS"/>
          <w:b w:val="0"/>
          <w:i w:val="0"/>
          <w:color w:val="000000"/>
          <w:sz w:val="28"/>
        </w:rPr>
        <w:t xml:space="preserve"> In differential thermal analysis, the sample and an inert reference material are heated side by side at a controlled, usually linear, rate, and the temperature difference between them is measured continuously with a differential thermocouple. As long as no thermal event occurs, the temperature difference is essentially constant. When the sample undergoes an endothermic change such as melting, dehydration or a solid-solid transition, its temperature lags behind that of the reference and a negative deflection is recorded; when it undergoes an exothermic change such as crystallisation, oxidation or decomposition, it runs ahead and a positive deflection is recorded. The output is a plot of temperature difference against temperature or time.</w:t>
      </w:r>
    </w:p>
    <w:p>
      <w:pPr>
        <w:spacing w:after="160"/>
        <w:jc w:val="both"/>
      </w:pPr>
      <w:r>
        <w:rPr>
          <w:rFonts w:ascii="Comic Sans MS" w:hAnsi="Comic Sans MS" w:cs="Comic Sans MS" w:eastAsia="Comic Sans MS"/>
          <w:b/>
          <w:i w:val="0"/>
          <w:color w:val="000000"/>
          <w:sz w:val="28"/>
        </w:rPr>
        <w:t>Applications.</w:t>
      </w:r>
      <w:r>
        <w:rPr>
          <w:rFonts w:ascii="Comic Sans MS" w:hAnsi="Comic Sans MS" w:cs="Comic Sans MS" w:eastAsia="Comic Sans MS"/>
          <w:b w:val="0"/>
          <w:i w:val="0"/>
          <w:color w:val="000000"/>
          <w:sz w:val="28"/>
        </w:rPr>
        <w:t xml:space="preserve"> Determination of melting point and purity, detection of polymorphic transitions and desolvation, preliminary drug-excipient compatibility screening, and identification of materials. DTA is robust and capable of reaching high temperatures, but it yields qualitative or at best semi-quantitative enthalpy data, because the measured quantity is a temperature difference and not a heat flow.</w:t>
      </w:r>
    </w:p>
    <w:p>
      <w:pPr>
        <w:keepNext/>
        <w:spacing w:before="160" w:after="40"/>
      </w:pPr>
      <w:r>
        <w:rPr>
          <w:rFonts w:ascii="Comic Sans MS" w:hAnsi="Comic Sans MS" w:cs="Comic Sans MS" w:eastAsia="Comic Sans MS"/>
          <w:b/>
          <w:i w:val="0"/>
          <w:color w:val="000000"/>
          <w:sz w:val="28"/>
        </w:rPr>
        <w:t>1.8.2 Differential Scanning Calorimetry (DSC)</w:t>
      </w:r>
    </w:p>
    <w:p>
      <w:pPr>
        <w:spacing w:after="160"/>
        <w:jc w:val="both"/>
      </w:pPr>
      <w:r>
        <w:rPr>
          <w:rFonts w:ascii="Comic Sans MS" w:hAnsi="Comic Sans MS" w:cs="Comic Sans MS" w:eastAsia="Comic Sans MS"/>
          <w:b/>
          <w:i w:val="0"/>
          <w:color w:val="000000"/>
          <w:sz w:val="28"/>
        </w:rPr>
        <w:t>Principle.</w:t>
      </w:r>
      <w:r>
        <w:rPr>
          <w:rFonts w:ascii="Comic Sans MS" w:hAnsi="Comic Sans MS" w:cs="Comic Sans MS" w:eastAsia="Comic Sans MS"/>
          <w:b w:val="0"/>
          <w:i w:val="0"/>
          <w:color w:val="000000"/>
          <w:sz w:val="28"/>
        </w:rPr>
        <w:t xml:space="preserve"> Differential scanning calorimetry measures the difference in heat flow between sample and reference as a function of temperature, and therefore provides quantitative enthalpy data. Two instrumental designs exist:</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Heat-flux DSC,</w:t>
      </w:r>
      <w:r>
        <w:rPr>
          <w:rFonts w:ascii="Comic Sans MS" w:hAnsi="Comic Sans MS" w:cs="Comic Sans MS" w:eastAsia="Comic Sans MS"/>
          <w:b w:val="0"/>
          <w:i w:val="0"/>
          <w:color w:val="000000"/>
          <w:sz w:val="28"/>
        </w:rPr>
        <w:t xml:space="preserve"> in which sample and reference are heated in the same furnace and the temperature difference across a thermal resistance is converted to a heat flow.</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Power-compensation DSC,</w:t>
      </w:r>
      <w:r>
        <w:rPr>
          <w:rFonts w:ascii="Comic Sans MS" w:hAnsi="Comic Sans MS" w:cs="Comic Sans MS" w:eastAsia="Comic Sans MS"/>
          <w:b w:val="0"/>
          <w:i w:val="0"/>
          <w:color w:val="000000"/>
          <w:sz w:val="28"/>
        </w:rPr>
        <w:t xml:space="preserve"> in which sample and reference have individual heaters and the electrical power required to keep them at the same temperature is recorded directly.</w:t>
      </w:r>
    </w:p>
    <w:p>
      <w:pPr>
        <w:spacing w:after="160"/>
        <w:jc w:val="both"/>
      </w:pPr>
      <w:r>
        <w:rPr>
          <w:rFonts w:ascii="Comic Sans MS" w:hAnsi="Comic Sans MS" w:cs="Comic Sans MS" w:eastAsia="Comic Sans MS"/>
          <w:b w:val="0"/>
          <w:i w:val="0"/>
          <w:color w:val="000000"/>
          <w:sz w:val="28"/>
        </w:rPr>
        <w:t>A small sample, typically 2 to 10 milligrams, is weighed into an aluminium pan, which may be crimped, hermetically sealed, or pierced according to whether volatiles are to be retained or released. The atmosphere, usually dry nitrogen, and the heating rate, commonly 10 degrees Celsius per minute, must be stated because both affect the thermogram.</w:t>
      </w:r>
    </w:p>
    <w:p>
      <w:pPr>
        <w:spacing w:after="160"/>
        <w:jc w:val="both"/>
      </w:pPr>
      <w:r>
        <w:rPr>
          <w:rFonts w:ascii="Comic Sans MS" w:hAnsi="Comic Sans MS" w:cs="Comic Sans MS" w:eastAsia="Comic Sans MS"/>
          <w:b/>
          <w:i w:val="0"/>
          <w:color w:val="000000"/>
          <w:sz w:val="28"/>
        </w:rPr>
        <w:t>Information obtained and applications.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Melting point, the range and shape of the melting endotherm, and the enthalpy of fusion; from the shape, an estimate of purity by van't Hoff analysis for high-purity materials.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Detection and characterisation of polymorphs, including the use of the heat of fusion and heat of transition rules to establish enantiotropic or monotropic relationships.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Detection of solvates and hydrates, particularly when combined with thermogravimetric analysis.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Measurement of the glass transition temperature of amorphous materials and polymers, and estimation of amorphous content.</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Determination of degree of crystallinity.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Drug-excipient compatibility screening, by comparing the thermogram of a binary mixture with the sum of the thermograms of the individual components.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Study of polymer properties relevant to film coating and extended release, and of lipid polymorphism in suppositories and lipid-based systems.</w:t>
      </w:r>
    </w:p>
    <w:p>
      <w:pPr>
        <w:spacing w:after="160"/>
        <w:jc w:val="both"/>
      </w:pPr>
      <w:r>
        <w:rPr>
          <w:rFonts w:ascii="Comic Sans MS" w:hAnsi="Comic Sans MS" w:cs="Comic Sans MS" w:eastAsia="Comic Sans MS"/>
          <w:b/>
          <w:i w:val="0"/>
          <w:color w:val="000000"/>
          <w:sz w:val="28"/>
        </w:rPr>
        <w:t>Modulated or modulated-temperature DSC,</w:t>
      </w:r>
      <w:r>
        <w:rPr>
          <w:rFonts w:ascii="Comic Sans MS" w:hAnsi="Comic Sans MS" w:cs="Comic Sans MS" w:eastAsia="Comic Sans MS"/>
          <w:b w:val="0"/>
          <w:i w:val="0"/>
          <w:color w:val="000000"/>
          <w:sz w:val="28"/>
        </w:rPr>
        <w:t xml:space="preserve"> in which a small sinusoidal oscillation is superimposed on the linear heating ramp, separates the total heat flow into a reversing (heat capacity related) component and a non-reversing (kinetic) component. This allows overlapping events, such as a glass transition hidden beneath an enthalpy of relaxation or a simultaneous crystallisation and melting, to be resolved, and is valuable for amorphous systems.</w:t>
      </w:r>
    </w:p>
    <w:p>
      <w:pPr>
        <w:spacing w:after="160"/>
        <w:jc w:val="both"/>
      </w:pPr>
      <w:r>
        <w:rPr>
          <w:rFonts w:ascii="Comic Sans MS" w:hAnsi="Comic Sans MS" w:cs="Comic Sans MS" w:eastAsia="Comic Sans MS"/>
          <w:b/>
          <w:i w:val="0"/>
          <w:color w:val="000000"/>
          <w:sz w:val="28"/>
        </w:rPr>
        <w:t>Limitations.</w:t>
      </w:r>
      <w:r>
        <w:rPr>
          <w:rFonts w:ascii="Comic Sans MS" w:hAnsi="Comic Sans MS" w:cs="Comic Sans MS" w:eastAsia="Comic Sans MS"/>
          <w:b w:val="0"/>
          <w:i w:val="0"/>
          <w:color w:val="000000"/>
          <w:sz w:val="28"/>
        </w:rPr>
        <w:t xml:space="preserve"> Very small samples must be representative; the technique cannot easily handle overlapping transitions in conventional mode; volatile loss can distort results; and in compatibility screening the elevated temperatures may produce interactions that would never occur at ambient storage temperature, or conversely may miss slow interactions that require moisture.</w:t>
      </w:r>
    </w:p>
    <w:p>
      <w:pPr>
        <w:keepNext/>
        <w:spacing w:before="160" w:after="40"/>
      </w:pPr>
      <w:r>
        <w:rPr>
          <w:rFonts w:ascii="Comic Sans MS" w:hAnsi="Comic Sans MS" w:cs="Comic Sans MS" w:eastAsia="Comic Sans MS"/>
          <w:b/>
          <w:i w:val="0"/>
          <w:color w:val="000000"/>
          <w:sz w:val="28"/>
        </w:rPr>
        <w:t>1.8.3 Thermogravimetric Analysis (TGA)</w:t>
      </w:r>
    </w:p>
    <w:p>
      <w:pPr>
        <w:spacing w:after="160"/>
        <w:jc w:val="both"/>
      </w:pPr>
      <w:r>
        <w:rPr>
          <w:rFonts w:ascii="Comic Sans MS" w:hAnsi="Comic Sans MS" w:cs="Comic Sans MS" w:eastAsia="Comic Sans MS"/>
          <w:b w:val="0"/>
          <w:i w:val="0"/>
          <w:color w:val="000000"/>
          <w:sz w:val="28"/>
        </w:rPr>
        <w:t>Although not named explicitly in the syllabus, thermogravimetric analysis is always used alongside DSC and DTA. The mass of the sample is recorded continuously as it is heated, so that dehydration, desolvation, decomposition and the stoichiometry of hydrates and solvates can be quantified, and true polymorphs (no mass loss) distinguished from pseudopolymorphs (mass loss).</w:t>
      </w:r>
    </w:p>
    <w:p>
      <w:pPr>
        <w:keepNext/>
        <w:spacing w:before="160" w:after="40"/>
      </w:pPr>
      <w:r>
        <w:rPr>
          <w:rFonts w:ascii="Comic Sans MS" w:hAnsi="Comic Sans MS" w:cs="Comic Sans MS" w:eastAsia="Comic Sans MS"/>
          <w:b/>
          <w:i w:val="0"/>
          <w:color w:val="000000"/>
          <w:sz w:val="28"/>
        </w:rPr>
        <w:t>1.8.4 X-Ray Diffraction (XRD)</w:t>
      </w:r>
    </w:p>
    <w:p>
      <w:pPr>
        <w:spacing w:after="160"/>
        <w:jc w:val="both"/>
      </w:pPr>
      <w:r>
        <w:rPr>
          <w:rFonts w:ascii="Comic Sans MS" w:hAnsi="Comic Sans MS" w:cs="Comic Sans MS" w:eastAsia="Comic Sans MS"/>
          <w:b/>
          <w:i w:val="0"/>
          <w:color w:val="000000"/>
          <w:sz w:val="28"/>
        </w:rPr>
        <w:t>Principle.</w:t>
      </w:r>
      <w:r>
        <w:rPr>
          <w:rFonts w:ascii="Comic Sans MS" w:hAnsi="Comic Sans MS" w:cs="Comic Sans MS" w:eastAsia="Comic Sans MS"/>
          <w:b w:val="0"/>
          <w:i w:val="0"/>
          <w:color w:val="000000"/>
          <w:sz w:val="28"/>
        </w:rPr>
        <w:t xml:space="preserve"> A crystal is a three-dimensional periodic array of atoms, and the spacing between lattice planes is of the same order as the wavelength of X-rays. When a monochromatic X-ray beam, commonly copper K-alpha radiation of wavelength 1.5406 angstroms, strikes the crystal, the scattered waves interfere constructively only in directions satisfying Bragg's law:</w:t>
      </w:r>
    </w:p>
    <w:p>
      <w:pPr>
        <w:spacing w:after="160"/>
        <w:jc w:val="both"/>
      </w:pPr>
      <w:r>
        <w:rPr>
          <w:rFonts w:ascii="Comic Sans MS" w:hAnsi="Comic Sans MS" w:cs="Comic Sans MS" w:eastAsia="Comic Sans MS"/>
          <w:b/>
          <w:i w:val="0"/>
          <w:color w:val="000000"/>
          <w:sz w:val="28"/>
        </w:rPr>
        <w:t>n(lambda) = 2d sin(theta)</w:t>
      </w:r>
    </w:p>
    <w:p>
      <w:pPr>
        <w:spacing w:after="160"/>
        <w:jc w:val="both"/>
      </w:pPr>
      <w:r>
        <w:rPr>
          <w:rFonts w:ascii="Comic Sans MS" w:hAnsi="Comic Sans MS" w:cs="Comic Sans MS" w:eastAsia="Comic Sans MS"/>
          <w:b w:val="0"/>
          <w:i w:val="0"/>
          <w:color w:val="000000"/>
          <w:sz w:val="28"/>
        </w:rPr>
        <w:t>where n is the order of diffraction, lambda the wavelength, d the interplanar spacing and theta the angle of incidence. A plot of diffracted intensity against the diffraction angle 2-theta constitutes the diffraction pattern.</w:t>
      </w:r>
    </w:p>
    <w:p>
      <w:pPr>
        <w:spacing w:after="160"/>
        <w:jc w:val="both"/>
      </w:pPr>
      <w:r>
        <w:rPr>
          <w:rFonts w:ascii="Comic Sans MS" w:hAnsi="Comic Sans MS" w:cs="Comic Sans MS" w:eastAsia="Comic Sans MS"/>
          <w:b/>
          <w:i w:val="0"/>
          <w:color w:val="000000"/>
          <w:sz w:val="28"/>
        </w:rPr>
        <w:t>Single-crystal X-ray diffraction</w:t>
      </w:r>
      <w:r>
        <w:rPr>
          <w:rFonts w:ascii="Comic Sans MS" w:hAnsi="Comic Sans MS" w:cs="Comic Sans MS" w:eastAsia="Comic Sans MS"/>
          <w:b w:val="0"/>
          <w:i w:val="0"/>
          <w:color w:val="000000"/>
          <w:sz w:val="28"/>
        </w:rPr>
        <w:t xml:space="preserve"> uses one well-formed crystal and yields the complete three-dimensional structure, including unit cell dimensions, space group, molecular conformation, absolute configuration and hydrogen bonding. It is the ultimate reference method but requires a crystal of suitable size and quality.</w:t>
      </w:r>
    </w:p>
    <w:p>
      <w:pPr>
        <w:spacing w:after="160"/>
        <w:jc w:val="both"/>
      </w:pPr>
      <w:r>
        <w:rPr>
          <w:rFonts w:ascii="Comic Sans MS" w:hAnsi="Comic Sans MS" w:cs="Comic Sans MS" w:eastAsia="Comic Sans MS"/>
          <w:b/>
          <w:i w:val="0"/>
          <w:color w:val="000000"/>
          <w:sz w:val="28"/>
        </w:rPr>
        <w:t>X-ray powder diffraction</w:t>
      </w:r>
      <w:r>
        <w:rPr>
          <w:rFonts w:ascii="Comic Sans MS" w:hAnsi="Comic Sans MS" w:cs="Comic Sans MS" w:eastAsia="Comic Sans MS"/>
          <w:b w:val="0"/>
          <w:i w:val="0"/>
          <w:color w:val="000000"/>
          <w:sz w:val="28"/>
        </w:rPr>
        <w:t xml:space="preserve"> uses a randomly oriented powder and yields a one-dimensional fingerprint of peak positions and intensities. It is rapid, essentially non-destructive, requires little sample preparation, and is the routine method for solid-form identification and control.</w:t>
      </w:r>
    </w:p>
    <w:p>
      <w:pPr>
        <w:spacing w:after="160"/>
        <w:jc w:val="both"/>
      </w:pPr>
      <w:r>
        <w:rPr>
          <w:rFonts w:ascii="Comic Sans MS" w:hAnsi="Comic Sans MS" w:cs="Comic Sans MS" w:eastAsia="Comic Sans MS"/>
          <w:b/>
          <w:i w:val="0"/>
          <w:color w:val="000000"/>
          <w:sz w:val="28"/>
        </w:rPr>
        <w:t>Applications in preformulation.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Identification and differentiation of polymorphs, solvates, hydrates and co-crystals, and confirmation of the identity of the form in the final product.</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Distinction between crystalline and amorphous material: crystalline solids give sharp peaks, amorphous solids give a broad halo. The method is used to quantify amorphous content and to monitor recrystallisation on storage.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Detection of polymorphic conversion caused by milling, granulation, drying, compression or storage.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Determination of degree of crystallinity.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Estimation of crystallite size from peak broadening by the Scherrer equation, and detection of preferred orientation.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Variable-temperature and variable-humidity diffraction to follow phase transitions in situ.</w:t>
      </w:r>
    </w:p>
    <w:p>
      <w:pPr>
        <w:spacing w:after="160"/>
        <w:jc w:val="both"/>
      </w:pPr>
      <w:r>
        <w:rPr>
          <w:rFonts w:ascii="Comic Sans MS" w:hAnsi="Comic Sans MS" w:cs="Comic Sans MS" w:eastAsia="Comic Sans MS"/>
          <w:b/>
          <w:i w:val="0"/>
          <w:color w:val="000000"/>
          <w:sz w:val="28"/>
        </w:rPr>
        <w:t>Limitations.</w:t>
      </w:r>
      <w:r>
        <w:rPr>
          <w:rFonts w:ascii="Comic Sans MS" w:hAnsi="Comic Sans MS" w:cs="Comic Sans MS" w:eastAsia="Comic Sans MS"/>
          <w:b w:val="0"/>
          <w:i w:val="0"/>
          <w:color w:val="000000"/>
          <w:sz w:val="28"/>
        </w:rPr>
        <w:t xml:space="preserve"> Preferred orientation of plate-like or needle-like crystals distorts relative intensities; the limit of detection for a second form in a mixture is typically a few per cent; and peak positions shift slightly with sample displacement, so careful calibration is required.</w:t>
      </w:r>
    </w:p>
    <w:p>
      <w:pPr>
        <w:keepNext/>
        <w:spacing w:before="160" w:after="40"/>
      </w:pPr>
      <w:r>
        <w:rPr>
          <w:rFonts w:ascii="Comic Sans MS" w:hAnsi="Comic Sans MS" w:cs="Comic Sans MS" w:eastAsia="Comic Sans MS"/>
          <w:b/>
          <w:i w:val="0"/>
          <w:color w:val="000000"/>
          <w:sz w:val="28"/>
        </w:rPr>
        <w:t>1.8.5 Fourier Transform Infrared Spectroscopy (FTIR)</w:t>
      </w:r>
    </w:p>
    <w:p>
      <w:pPr>
        <w:spacing w:after="160"/>
        <w:jc w:val="both"/>
      </w:pPr>
      <w:r>
        <w:rPr>
          <w:rFonts w:ascii="Comic Sans MS" w:hAnsi="Comic Sans MS" w:cs="Comic Sans MS" w:eastAsia="Comic Sans MS"/>
          <w:b/>
          <w:i w:val="0"/>
          <w:color w:val="000000"/>
          <w:sz w:val="28"/>
        </w:rPr>
        <w:t>Principle.</w:t>
      </w:r>
      <w:r>
        <w:rPr>
          <w:rFonts w:ascii="Comic Sans MS" w:hAnsi="Comic Sans MS" w:cs="Comic Sans MS" w:eastAsia="Comic Sans MS"/>
          <w:b w:val="0"/>
          <w:i w:val="0"/>
          <w:color w:val="000000"/>
          <w:sz w:val="28"/>
        </w:rPr>
        <w:t xml:space="preserve"> Infrared radiation is absorbed when its frequency matches the frequency of a molecular vibration that produces a change in dipole moment. The mid-infrared region from 4000 to 400 reciprocal centimetres contains the group frequency region, in which absorptions can be assigned to particular functional groups, and the fingerprint region below about 1500 reciprocal centimetres, which is characteristic of the molecule as a whole. In a Fourier transform instrument, an interferometer with a moving mirror generates an interferogram containing all frequencies simultaneously, which is converted to a spectrum by Fourier transformation. This gives a much better signal-to-noise ratio and far faster acquisition than dispersive instruments.</w:t>
      </w:r>
    </w:p>
    <w:p>
      <w:pPr>
        <w:spacing w:after="160"/>
        <w:jc w:val="both"/>
      </w:pPr>
      <w:r>
        <w:rPr>
          <w:rFonts w:ascii="Comic Sans MS" w:hAnsi="Comic Sans MS" w:cs="Comic Sans MS" w:eastAsia="Comic Sans MS"/>
          <w:b/>
          <w:i w:val="0"/>
          <w:color w:val="000000"/>
          <w:sz w:val="28"/>
        </w:rPr>
        <w:t>Sampling.</w:t>
      </w:r>
      <w:r>
        <w:rPr>
          <w:rFonts w:ascii="Comic Sans MS" w:hAnsi="Comic Sans MS" w:cs="Comic Sans MS" w:eastAsia="Comic Sans MS"/>
          <w:b w:val="0"/>
          <w:i w:val="0"/>
          <w:color w:val="000000"/>
          <w:sz w:val="28"/>
        </w:rPr>
        <w:t xml:space="preserve"> Potassium bromide discs, mineral oil (Nujol) mulls, solution cells, diffuse reflectance (DRIFT) and attenuated total reflectance (ATR) are used. For solid-state work, diffuse reflectance and attenuated total reflectance are strongly preferred, because the pressure applied in preparing a potassium bromide disc can itself convert one polymorph into another and thereby produce a misleading spectrum.</w:t>
      </w:r>
    </w:p>
    <w:p>
      <w:pPr>
        <w:spacing w:after="160"/>
        <w:jc w:val="both"/>
      </w:pPr>
      <w:r>
        <w:rPr>
          <w:rFonts w:ascii="Comic Sans MS" w:hAnsi="Comic Sans MS" w:cs="Comic Sans MS" w:eastAsia="Comic Sans MS"/>
          <w:b/>
          <w:i w:val="0"/>
          <w:color w:val="000000"/>
          <w:sz w:val="28"/>
        </w:rPr>
        <w:t>Applications in preformulation.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Confirmation of identity and structure of the drug substance, and detection of functional groups that predict degradation pathways, such as esters and amides susceptible to hydrolysis.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Differentiation of polymorphs, solvates and hydrates through changes in hydrogen bonding, which shift and split carbonyl, hydroxyl and amine stretching bands.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Detection of drug-excipient interaction: the appearance of new bands, or the disappearance or shifting of existing ones, in a binary mixture indicates chemical interaction, whereas a simple superposition of the two spectra indicates compatibility.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Confirmation of salt formation, shown by the loss of the carboxylic acid carbonyl band and the appearance of carboxylate bands, and of co-crystal formation.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Study of water: distinguishing free, adsorbed and lattice water from the shape and position of the O-H stretching region.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Near-infrared spectroscopy, a closely related technique, is widely used as a rapid, non-destructive process analytical tool for moisture, blend uniformity and polymorphic form.</w:t>
      </w:r>
    </w:p>
    <w:p>
      <w:pPr>
        <w:spacing w:after="160"/>
        <w:jc w:val="both"/>
      </w:pPr>
      <w:r>
        <w:rPr>
          <w:rFonts w:ascii="Comic Sans MS" w:hAnsi="Comic Sans MS" w:cs="Comic Sans MS" w:eastAsia="Comic Sans MS"/>
          <w:b/>
          <w:i w:val="0"/>
          <w:color w:val="000000"/>
          <w:sz w:val="28"/>
        </w:rPr>
        <w:t>Limitations.</w:t>
      </w:r>
      <w:r>
        <w:rPr>
          <w:rFonts w:ascii="Comic Sans MS" w:hAnsi="Comic Sans MS" w:cs="Comic Sans MS" w:eastAsia="Comic Sans MS"/>
          <w:b w:val="0"/>
          <w:i w:val="0"/>
          <w:color w:val="000000"/>
          <w:sz w:val="28"/>
        </w:rPr>
        <w:t xml:space="preserve"> Infrared spectra of mixtures are additive and can be difficult to interpret; water absorbs strongly and interferes; and the technique is less definitive than X-ray diffraction for polymorph identification, so it is used as a complementary method.</w:t>
      </w:r>
    </w:p>
    <w:p>
      <w:pPr>
        <w:keepNext/>
        <w:spacing w:before="160" w:after="40"/>
      </w:pPr>
      <w:r>
        <w:rPr>
          <w:rFonts w:ascii="Comic Sans MS" w:hAnsi="Comic Sans MS" w:cs="Comic Sans MS" w:eastAsia="Comic Sans MS"/>
          <w:b/>
          <w:i w:val="0"/>
          <w:color w:val="000000"/>
          <w:sz w:val="28"/>
        </w:rPr>
        <w:t>1.9 Drug-Excipient Compatibility Studies</w:t>
      </w:r>
    </w:p>
    <w:p>
      <w:pPr>
        <w:keepNext/>
        <w:spacing w:before="160" w:after="40"/>
      </w:pPr>
      <w:r>
        <w:rPr>
          <w:rFonts w:ascii="Comic Sans MS" w:hAnsi="Comic Sans MS" w:cs="Comic Sans MS" w:eastAsia="Comic Sans MS"/>
          <w:b/>
          <w:i w:val="0"/>
          <w:color w:val="000000"/>
          <w:sz w:val="28"/>
        </w:rPr>
        <w:t>1.9.1 Purpose and Rationale</w:t>
      </w:r>
    </w:p>
    <w:p>
      <w:pPr>
        <w:spacing w:after="160"/>
        <w:jc w:val="both"/>
      </w:pPr>
      <w:r>
        <w:rPr>
          <w:rFonts w:ascii="Comic Sans MS" w:hAnsi="Comic Sans MS" w:cs="Comic Sans MS" w:eastAsia="Comic Sans MS"/>
          <w:b w:val="0"/>
          <w:i w:val="0"/>
          <w:color w:val="000000"/>
          <w:sz w:val="28"/>
        </w:rPr>
        <w:t>Excipients constitute the bulk of most dosage forms, and although they are pharmacologically inert they are rarely chemically inert. An interaction between drug and excipient may reduce potency, generate toxic or unsightly degradation products, alter dissolution, or change the physical form of the drug. The purpose of a compatibility study is therefore to select, before formulation begins, those excipients that can safely be used with the particular drug, and to eliminate those that cannot.</w:t>
      </w:r>
    </w:p>
    <w:p>
      <w:pPr>
        <w:keepNext/>
        <w:spacing w:before="160" w:after="40"/>
      </w:pPr>
      <w:r>
        <w:rPr>
          <w:rFonts w:ascii="Comic Sans MS" w:hAnsi="Comic Sans MS" w:cs="Comic Sans MS" w:eastAsia="Comic Sans MS"/>
          <w:b/>
          <w:i w:val="0"/>
          <w:color w:val="000000"/>
          <w:sz w:val="28"/>
        </w:rPr>
        <w:t>1.9.2 Design of the Study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Selection of excipients.</w:t>
      </w:r>
      <w:r>
        <w:rPr>
          <w:rFonts w:ascii="Comic Sans MS" w:hAnsi="Comic Sans MS" w:cs="Comic Sans MS" w:eastAsia="Comic Sans MS"/>
          <w:b w:val="0"/>
          <w:i w:val="0"/>
          <w:color w:val="000000"/>
          <w:sz w:val="28"/>
        </w:rPr>
        <w:t xml:space="preserve"> Representatives of each functional class likely to be needed are chosen: diluents (lactose, microcrystalline cellulose, mannitol, dibasic calcium phosphate, starch), binders (povidone, hydroxypropyl methylcellulose, pregelatinised starch), disintegrants (croscarmellose sodium, sodium starch glycolate, crospovidone), lubricants and glidants (magnesium stearate, stearic acid, sodium stearyl fumarate, colloidal silicon dioxide), and where relevant surfactants, film formers, antioxidants, buffers and preservatives.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Ratio of drug to excipient.</w:t>
      </w:r>
      <w:r>
        <w:rPr>
          <w:rFonts w:ascii="Comic Sans MS" w:hAnsi="Comic Sans MS" w:cs="Comic Sans MS" w:eastAsia="Comic Sans MS"/>
          <w:b w:val="0"/>
          <w:i w:val="0"/>
          <w:color w:val="000000"/>
          <w:sz w:val="28"/>
        </w:rPr>
        <w:t xml:space="preserve"> Binary mixtures are prepared in a ratio that reflects the intended formulation, or in an exaggerated ratio designed to accelerate any interaction. A 1:1 ratio is commonly used for screening; for excipients used at low levels, such as magnesium stearate, a ratio closer to the real one, for example 1:0.01 to 1:0.1, is more meaningful. Both the drug alone and each excipient alone must be stored as controls.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Preparation.</w:t>
      </w:r>
      <w:r>
        <w:rPr>
          <w:rFonts w:ascii="Comic Sans MS" w:hAnsi="Comic Sans MS" w:cs="Comic Sans MS" w:eastAsia="Comic Sans MS"/>
          <w:b w:val="0"/>
          <w:i w:val="0"/>
          <w:color w:val="000000"/>
          <w:sz w:val="28"/>
        </w:rPr>
        <w:t xml:space="preserve"> Physical mixtures are prepared by gentle blending; where the effect of moisture is to be probed, a small quantity of water, typically 5 to 20 per cent, is added to the mixture (the so-called wet or moisture-challenged samples), since many interactions require water as a medium.</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Storage conditions.</w:t>
      </w:r>
      <w:r>
        <w:rPr>
          <w:rFonts w:ascii="Comic Sans MS" w:hAnsi="Comic Sans MS" w:cs="Comic Sans MS" w:eastAsia="Comic Sans MS"/>
          <w:b w:val="0"/>
          <w:i w:val="0"/>
          <w:color w:val="000000"/>
          <w:sz w:val="28"/>
        </w:rPr>
        <w:t xml:space="preserve"> Samples are sealed in glass vials, either open or closed, and stored under accelerated conditions, commonly 40 degrees Celsius with 75 per cent relative humidity, 50 degrees Celsius, and 60 degrees Celsius, for periods of one, two, three and four weeks. Refrigerated samples serve as additional controls.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Evaluation.</w:t>
      </w:r>
      <w:r>
        <w:rPr>
          <w:rFonts w:ascii="Comic Sans MS" w:hAnsi="Comic Sans MS" w:cs="Comic Sans MS" w:eastAsia="Comic Sans MS"/>
          <w:b w:val="0"/>
          <w:i w:val="0"/>
          <w:color w:val="000000"/>
          <w:sz w:val="28"/>
        </w:rPr>
        <w:t xml:space="preserve"> Samples are examined for change in colour, odour, caking and physical appearance, and assayed for drug content and degradation products.</w:t>
      </w:r>
    </w:p>
    <w:p>
      <w:pPr>
        <w:keepNext/>
        <w:spacing w:before="160" w:after="40"/>
      </w:pPr>
      <w:r>
        <w:rPr>
          <w:rFonts w:ascii="Comic Sans MS" w:hAnsi="Comic Sans MS" w:cs="Comic Sans MS" w:eastAsia="Comic Sans MS"/>
          <w:b/>
          <w:i w:val="0"/>
          <w:color w:val="000000"/>
          <w:sz w:val="28"/>
        </w:rPr>
        <w:t>1.9.3 Methods of Assessment</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Isothermal stress testing.</w:t>
      </w:r>
      <w:r>
        <w:rPr>
          <w:rFonts w:ascii="Comic Sans MS" w:hAnsi="Comic Sans MS" w:cs="Comic Sans MS" w:eastAsia="Comic Sans MS"/>
          <w:b w:val="0"/>
          <w:i w:val="0"/>
          <w:color w:val="000000"/>
          <w:sz w:val="28"/>
        </w:rPr>
        <w:t xml:space="preserve"> The classical and most reliable approach described above: mixtures are stressed and then analysed quantitatively by a stability-indicating chromatographic method, usually high performance liquid chromatography, with thin-layer chromatography as a rapid qualitative screen. It is slower and more material-intensive than thermal methods but gives results that relate directly to real storage.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Differential scanning calorimetry and differential thermal analysis.</w:t>
      </w:r>
      <w:r>
        <w:rPr>
          <w:rFonts w:ascii="Comic Sans MS" w:hAnsi="Comic Sans MS" w:cs="Comic Sans MS" w:eastAsia="Comic Sans MS"/>
          <w:b w:val="0"/>
          <w:i w:val="0"/>
          <w:color w:val="000000"/>
          <w:sz w:val="28"/>
        </w:rPr>
        <w:t xml:space="preserve"> A rapid screen requiring only milligrams of material. The thermogram of the binary mixture is compared with the thermograms of the pure components: retention of the drug melting endotherm suggests compatibility, whereas a shift, broadening, reduction or disappearance of the endotherm, or the appearance of a new exotherm, suggests interaction. The method is fast and economical, but it is only a screen, and two cautions are essential. First, apparent interactions may be artefacts of melting, eutectic formation or dissolution of the drug in a molten excipient, and do not necessarily indicate instability at ambient temperature. Second, interactions that require moisture or long contact time may be missed entirely. Positive findings must therefore be confirmed by isothermal stress testing.</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Fourier transform infrared and Raman spectroscopy.</w:t>
      </w:r>
      <w:r>
        <w:rPr>
          <w:rFonts w:ascii="Comic Sans MS" w:hAnsi="Comic Sans MS" w:cs="Comic Sans MS" w:eastAsia="Comic Sans MS"/>
          <w:b w:val="0"/>
          <w:i w:val="0"/>
          <w:color w:val="000000"/>
          <w:sz w:val="28"/>
        </w:rPr>
        <w:t xml:space="preserve"> Detect chemical interaction through new, shifted or absent bands, and can be applied by diffuse reflectance directly to powder blends.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X-ray powder diffraction.</w:t>
      </w:r>
      <w:r>
        <w:rPr>
          <w:rFonts w:ascii="Comic Sans MS" w:hAnsi="Comic Sans MS" w:cs="Comic Sans MS" w:eastAsia="Comic Sans MS"/>
          <w:b w:val="0"/>
          <w:i w:val="0"/>
          <w:color w:val="000000"/>
          <w:sz w:val="28"/>
        </w:rPr>
        <w:t xml:space="preserve"> Detects changes in the solid form of the drug caused by the excipient, such as polymorphic conversion or amorphisation.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Diffuse reflectance spectroscopy and colorimetry.</w:t>
      </w:r>
      <w:r>
        <w:rPr>
          <w:rFonts w:ascii="Comic Sans MS" w:hAnsi="Comic Sans MS" w:cs="Comic Sans MS" w:eastAsia="Comic Sans MS"/>
          <w:b w:val="0"/>
          <w:i w:val="0"/>
          <w:color w:val="000000"/>
          <w:sz w:val="28"/>
        </w:rPr>
        <w:t xml:space="preserve"> Quantify discoloration objectively, which is valuable because visible colour change is often the first manifestation of an interaction.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Thermogravimetric analysis, dynamic vapour sorption and water activity measurement.</w:t>
      </w:r>
      <w:r>
        <w:rPr>
          <w:rFonts w:ascii="Comic Sans MS" w:hAnsi="Comic Sans MS" w:cs="Comic Sans MS" w:eastAsia="Comic Sans MS"/>
          <w:b w:val="0"/>
          <w:i w:val="0"/>
          <w:color w:val="000000"/>
          <w:sz w:val="28"/>
        </w:rPr>
        <w:t xml:space="preserve"> Characterise the moisture that so often mediates interactions; a useful principle is that excipients should be matched for water activity rather than merely for water content.</w:t>
      </w:r>
    </w:p>
    <w:p>
      <w:pPr>
        <w:keepNext/>
        <w:spacing w:before="160" w:after="40"/>
      </w:pPr>
      <w:r>
        <w:rPr>
          <w:rFonts w:ascii="Comic Sans MS" w:hAnsi="Comic Sans MS" w:cs="Comic Sans MS" w:eastAsia="Comic Sans MS"/>
          <w:b/>
          <w:i w:val="0"/>
          <w:color w:val="000000"/>
          <w:sz w:val="28"/>
        </w:rPr>
        <w:t>1.9.4 Common and Important Incompatibilities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Maillard reaction.</w:t>
      </w:r>
      <w:r>
        <w:rPr>
          <w:rFonts w:ascii="Comic Sans MS" w:hAnsi="Comic Sans MS" w:cs="Comic Sans MS" w:eastAsia="Comic Sans MS"/>
          <w:b w:val="0"/>
          <w:i w:val="0"/>
          <w:color w:val="000000"/>
          <w:sz w:val="28"/>
        </w:rPr>
        <w:t xml:space="preserve"> Reducing sugars, above all lactose, react with primary and secondary amines to give brown, coloured condensation products. Drugs affected include fluoxetine, amlodipine, metoclopramide, hydrochlorothiazide and many amine-containing molecules. The remedy is to replace lactose with mannitol or dibasic calcium phosphate.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Magnesium stearate.</w:t>
      </w:r>
      <w:r>
        <w:rPr>
          <w:rFonts w:ascii="Comic Sans MS" w:hAnsi="Comic Sans MS" w:cs="Comic Sans MS" w:eastAsia="Comic Sans MS"/>
          <w:b w:val="0"/>
          <w:i w:val="0"/>
          <w:color w:val="000000"/>
          <w:sz w:val="28"/>
        </w:rPr>
        <w:t xml:space="preserve"> Being alkaline and a source of stearate, it can catalyse hydrolysis and degrade acid-labile drugs such as aspirin, and its hydrophobic film retards dissolution. Sodium stearyl fumarate or stearic acid may be substituted.</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Povidone.</w:t>
      </w:r>
      <w:r>
        <w:rPr>
          <w:rFonts w:ascii="Comic Sans MS" w:hAnsi="Comic Sans MS" w:cs="Comic Sans MS" w:eastAsia="Comic Sans MS"/>
          <w:b w:val="0"/>
          <w:i w:val="0"/>
          <w:color w:val="000000"/>
          <w:sz w:val="28"/>
        </w:rPr>
        <w:t xml:space="preserve"> Hygroscopic, and it also contains peroxide impurities that can oxidise susceptible drugs.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Polyethylene glycols.</w:t>
      </w:r>
      <w:r>
        <w:rPr>
          <w:rFonts w:ascii="Comic Sans MS" w:hAnsi="Comic Sans MS" w:cs="Comic Sans MS" w:eastAsia="Comic Sans MS"/>
          <w:b w:val="0"/>
          <w:i w:val="0"/>
          <w:color w:val="000000"/>
          <w:sz w:val="28"/>
        </w:rPr>
        <w:t xml:space="preserve"> Contain peroxides and formaldehyde traces, and can form complexes and cause ester formation with carboxylic acid drugs.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Alkaline excipients</w:t>
      </w:r>
      <w:r>
        <w:rPr>
          <w:rFonts w:ascii="Comic Sans MS" w:hAnsi="Comic Sans MS" w:cs="Comic Sans MS" w:eastAsia="Comic Sans MS"/>
          <w:b w:val="0"/>
          <w:i w:val="0"/>
          <w:color w:val="000000"/>
          <w:sz w:val="28"/>
        </w:rPr>
        <w:t xml:space="preserve"> such as sodium bicarbonate and dibasic calcium phosphate raise the microenvironmental pH and destabilise drugs that are unstable at high pH.</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Calcium salts</w:t>
      </w:r>
      <w:r>
        <w:rPr>
          <w:rFonts w:ascii="Comic Sans MS" w:hAnsi="Comic Sans MS" w:cs="Comic Sans MS" w:eastAsia="Comic Sans MS"/>
          <w:b w:val="0"/>
          <w:i w:val="0"/>
          <w:color w:val="000000"/>
          <w:sz w:val="28"/>
        </w:rPr>
        <w:t xml:space="preserve"> form insoluble complexes with tetracyclines and fluoroquinolones, reducing absorption.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Croscarmellose sodium and sodium starch glycolate</w:t>
      </w:r>
      <w:r>
        <w:rPr>
          <w:rFonts w:ascii="Comic Sans MS" w:hAnsi="Comic Sans MS" w:cs="Comic Sans MS" w:eastAsia="Comic Sans MS"/>
          <w:b w:val="0"/>
          <w:i w:val="0"/>
          <w:color w:val="000000"/>
          <w:sz w:val="28"/>
        </w:rPr>
        <w:t xml:space="preserve"> have high sodium content and high water uptake, and the resulting microenvironmental moisture can promote hydrolysis.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Metal ions,</w:t>
      </w:r>
      <w:r>
        <w:rPr>
          <w:rFonts w:ascii="Comic Sans MS" w:hAnsi="Comic Sans MS" w:cs="Comic Sans MS" w:eastAsia="Comic Sans MS"/>
          <w:b w:val="0"/>
          <w:i w:val="0"/>
          <w:color w:val="000000"/>
          <w:sz w:val="28"/>
        </w:rPr>
        <w:t xml:space="preserve"> as trace contaminants of talc and of some inorganic diluents, catalyse oxidation.</w:t>
      </w:r>
    </w:p>
    <w:p>
      <w:pPr>
        <w:spacing w:after="160"/>
        <w:jc w:val="both"/>
      </w:pPr>
      <w:r>
        <w:rPr>
          <w:rFonts w:ascii="Comic Sans MS" w:hAnsi="Comic Sans MS" w:cs="Comic Sans MS" w:eastAsia="Comic Sans MS"/>
          <w:b w:val="0"/>
          <w:i w:val="0"/>
          <w:color w:val="000000"/>
          <w:sz w:val="28"/>
        </w:rPr>
        <w:t>A concept of growing importance is the microenvironmental pH, the pH of the thin aqueous film surrounding the drug particle in a solid dosage form. It is the pH that actually determines solid-state degradation rate, and it may be adjusted deliberately by including acidic or alkaline excipients such as fumaric acid or meglumine, in order to hold the drug at its pH of maximum stability.</w:t>
      </w:r>
    </w:p>
    <w:p>
      <w:pPr>
        <w:keepNext/>
        <w:spacing w:before="160" w:after="40"/>
      </w:pPr>
      <w:r>
        <w:rPr>
          <w:rFonts w:ascii="Comic Sans MS" w:hAnsi="Comic Sans MS" w:cs="Comic Sans MS" w:eastAsia="Comic Sans MS"/>
          <w:b/>
          <w:i w:val="0"/>
          <w:color w:val="000000"/>
          <w:sz w:val="28"/>
        </w:rPr>
        <w:t>1.10 Traces of Organic Volatile Impurities and Residual Solvents</w:t>
      </w:r>
    </w:p>
    <w:p>
      <w:pPr>
        <w:keepNext/>
        <w:spacing w:before="160" w:after="40"/>
      </w:pPr>
      <w:r>
        <w:rPr>
          <w:rFonts w:ascii="Comic Sans MS" w:hAnsi="Comic Sans MS" w:cs="Comic Sans MS" w:eastAsia="Comic Sans MS"/>
          <w:b/>
          <w:i w:val="0"/>
          <w:color w:val="000000"/>
          <w:sz w:val="28"/>
        </w:rPr>
        <w:t>1.10.1 Definition and Origin</w:t>
      </w:r>
    </w:p>
    <w:p>
      <w:pPr>
        <w:spacing w:after="160"/>
        <w:jc w:val="both"/>
      </w:pPr>
      <w:r>
        <w:rPr>
          <w:rFonts w:ascii="Comic Sans MS" w:hAnsi="Comic Sans MS" w:cs="Comic Sans MS" w:eastAsia="Comic Sans MS"/>
          <w:b w:val="0"/>
          <w:i w:val="0"/>
          <w:color w:val="000000"/>
          <w:sz w:val="28"/>
        </w:rPr>
        <w:t>Organic volatile impurities, more properly called residual solvents, are defined in ICH Q3C as organic volatile chemicals that are used or produced in the manufacture of drug substances, excipients or drug products, and which are not completely removed by the manufacturing process. They have no therapeutic benefit, and since some are toxic, they must be limited.</w:t>
      </w:r>
    </w:p>
    <w:p>
      <w:pPr>
        <w:spacing w:after="160"/>
        <w:jc w:val="both"/>
      </w:pPr>
      <w:r>
        <w:rPr>
          <w:rFonts w:ascii="Comic Sans MS" w:hAnsi="Comic Sans MS" w:cs="Comic Sans MS" w:eastAsia="Comic Sans MS"/>
          <w:b w:val="0"/>
          <w:i w:val="0"/>
          <w:color w:val="000000"/>
          <w:sz w:val="28"/>
        </w:rPr>
        <w:t>They arise from the solvents used in synthesis, from recrystallisation and purification steps, from granulation and film coating, from cleaning agents, and occasionally as by-products of the reaction itself.</w:t>
      </w:r>
    </w:p>
    <w:p>
      <w:pPr>
        <w:keepNext/>
        <w:spacing w:before="160" w:after="40"/>
      </w:pPr>
      <w:r>
        <w:rPr>
          <w:rFonts w:ascii="Comic Sans MS" w:hAnsi="Comic Sans MS" w:cs="Comic Sans MS" w:eastAsia="Comic Sans MS"/>
          <w:b/>
          <w:i w:val="0"/>
          <w:color w:val="000000"/>
          <w:sz w:val="28"/>
        </w:rPr>
        <w:t>1.10.2 Classification and Limits under ICH Q3C</w:t>
      </w:r>
    </w:p>
    <w:p>
      <w:pPr>
        <w:spacing w:after="160"/>
        <w:jc w:val="both"/>
      </w:pPr>
      <w:r>
        <w:rPr>
          <w:rFonts w:ascii="Comic Sans MS" w:hAnsi="Comic Sans MS" w:cs="Comic Sans MS" w:eastAsia="Comic Sans MS"/>
          <w:b w:val="0"/>
          <w:i w:val="0"/>
          <w:color w:val="000000"/>
          <w:sz w:val="28"/>
        </w:rPr>
        <w:t>The guideline evaluates solvents on the basis of the permitted daily exposure, or PDE, derived from toxicological data, and assigns them to three classes.</w:t>
      </w:r>
    </w:p>
    <w:p>
      <w:pPr>
        <w:spacing w:after="160"/>
        <w:jc w:val="both"/>
      </w:pPr>
      <w:r>
        <w:rPr>
          <w:rFonts w:ascii="Comic Sans MS" w:hAnsi="Comic Sans MS" w:cs="Comic Sans MS" w:eastAsia="Comic Sans MS"/>
          <w:b/>
          <w:i w:val="0"/>
          <w:color w:val="000000"/>
          <w:sz w:val="28"/>
        </w:rPr>
        <w:t>Class 1 - solvents to be avoided.</w:t>
      </w:r>
      <w:r>
        <w:rPr>
          <w:rFonts w:ascii="Comic Sans MS" w:hAnsi="Comic Sans MS" w:cs="Comic Sans MS" w:eastAsia="Comic Sans MS"/>
          <w:b w:val="0"/>
          <w:i w:val="0"/>
          <w:color w:val="000000"/>
          <w:sz w:val="28"/>
        </w:rPr>
        <w:t xml:space="preserve"> Known or strongly suspected human carcinogens, and environmental hazards. They should not be used in the manufacture of drug substances, excipients or drug products unless their use can be strongly justified in a risk-benefit assessment. The concentration limits are:</w:t>
      </w:r>
    </w:p>
    <w:tbl>
      <w:tblPr>
        <w:tblStyle w:val="TableGrid"/>
        <w:tblW w:type="auto" w:w="0"/>
        <w:jc w:val="center"/>
        <w:tblLook w:firstColumn="1" w:firstRow="1" w:lastColumn="0" w:lastRow="0" w:noHBand="0" w:noVBand="1" w:val="04A0"/>
      </w:tblPr>
      <w:tblGrid>
        <w:gridCol w:w="3120"/>
        <w:gridCol w:w="3120"/>
        <w:gridCol w:w="3120"/>
      </w:tblGrid>
      <w:tr>
        <w:tc>
          <w:tcPr>
            <w:tcW w:type="dxa" w:w="3744"/>
          </w:tcPr>
          <w:p>
            <w:pPr>
              <w:spacing w:after="20" w:before="20" w:line="300" w:lineRule="exact"/>
            </w:pPr>
            <w:r/>
            <w:r>
              <w:rPr>
                <w:rFonts w:ascii="Comic Sans MS" w:hAnsi="Comic Sans MS" w:cs="Comic Sans MS" w:eastAsia="Comic Sans MS"/>
                <w:b/>
                <w:i w:val="0"/>
                <w:color w:val="000000"/>
                <w:sz w:val="22"/>
              </w:rPr>
              <w:t>Class 1 solvent</w:t>
            </w:r>
          </w:p>
        </w:tc>
        <w:tc>
          <w:tcPr>
            <w:tcW w:type="dxa" w:w="1872"/>
          </w:tcPr>
          <w:p>
            <w:pPr>
              <w:spacing w:after="20" w:before="20" w:line="300" w:lineRule="exact"/>
            </w:pPr>
            <w:r/>
            <w:r>
              <w:rPr>
                <w:rFonts w:ascii="Comic Sans MS" w:hAnsi="Comic Sans MS" w:cs="Comic Sans MS" w:eastAsia="Comic Sans MS"/>
                <w:b/>
                <w:i w:val="0"/>
                <w:color w:val="000000"/>
                <w:sz w:val="22"/>
              </w:rPr>
              <w:t>Limit (ppm)</w:t>
            </w:r>
          </w:p>
        </w:tc>
        <w:tc>
          <w:tcPr>
            <w:tcW w:type="dxa" w:w="3744"/>
          </w:tcPr>
          <w:p>
            <w:pPr>
              <w:spacing w:after="20" w:before="20" w:line="300" w:lineRule="exact"/>
            </w:pPr>
            <w:r/>
            <w:r>
              <w:rPr>
                <w:rFonts w:ascii="Comic Sans MS" w:hAnsi="Comic Sans MS" w:cs="Comic Sans MS" w:eastAsia="Comic Sans MS"/>
                <w:b/>
                <w:i w:val="0"/>
                <w:color w:val="000000"/>
                <w:sz w:val="22"/>
              </w:rPr>
              <w:t>Concern</w:t>
            </w:r>
          </w:p>
        </w:tc>
      </w:tr>
      <w:tr>
        <w:tc>
          <w:tcPr>
            <w:tcW w:type="dxa" w:w="3744"/>
          </w:tcPr>
          <w:p>
            <w:pPr>
              <w:spacing w:after="20" w:before="20" w:line="300" w:lineRule="exact"/>
            </w:pPr>
            <w:r/>
            <w:r>
              <w:rPr>
                <w:rFonts w:ascii="Comic Sans MS" w:hAnsi="Comic Sans MS" w:cs="Comic Sans MS" w:eastAsia="Comic Sans MS"/>
                <w:b w:val="0"/>
                <w:i w:val="0"/>
                <w:color w:val="000000"/>
                <w:sz w:val="22"/>
              </w:rPr>
              <w:t>Benzene</w:t>
            </w:r>
          </w:p>
        </w:tc>
        <w:tc>
          <w:tcPr>
            <w:tcW w:type="dxa" w:w="1872"/>
          </w:tcPr>
          <w:p>
            <w:pPr>
              <w:spacing w:after="20" w:before="20" w:line="300" w:lineRule="exact"/>
            </w:pPr>
            <w:r/>
            <w:r>
              <w:rPr>
                <w:rFonts w:ascii="Comic Sans MS" w:hAnsi="Comic Sans MS" w:cs="Comic Sans MS" w:eastAsia="Comic Sans MS"/>
                <w:b w:val="0"/>
                <w:i w:val="0"/>
                <w:color w:val="000000"/>
                <w:sz w:val="22"/>
              </w:rPr>
              <w:t>2</w:t>
            </w:r>
          </w:p>
        </w:tc>
        <w:tc>
          <w:tcPr>
            <w:tcW w:type="dxa" w:w="3744"/>
          </w:tcPr>
          <w:p>
            <w:pPr>
              <w:spacing w:after="20" w:before="20" w:line="300" w:lineRule="exact"/>
            </w:pPr>
            <w:r/>
            <w:r>
              <w:rPr>
                <w:rFonts w:ascii="Comic Sans MS" w:hAnsi="Comic Sans MS" w:cs="Comic Sans MS" w:eastAsia="Comic Sans MS"/>
                <w:b w:val="0"/>
                <w:i w:val="0"/>
                <w:color w:val="000000"/>
                <w:sz w:val="22"/>
              </w:rPr>
              <w:t>Carcinogen</w:t>
            </w:r>
          </w:p>
        </w:tc>
      </w:tr>
      <w:tr>
        <w:tc>
          <w:tcPr>
            <w:tcW w:type="dxa" w:w="3744"/>
          </w:tcPr>
          <w:p>
            <w:pPr>
              <w:spacing w:after="20" w:before="20" w:line="300" w:lineRule="exact"/>
            </w:pPr>
            <w:r/>
            <w:r>
              <w:rPr>
                <w:rFonts w:ascii="Comic Sans MS" w:hAnsi="Comic Sans MS" w:cs="Comic Sans MS" w:eastAsia="Comic Sans MS"/>
                <w:b w:val="0"/>
                <w:i w:val="0"/>
                <w:color w:val="000000"/>
                <w:sz w:val="22"/>
              </w:rPr>
              <w:t>Carbon tetrachloride</w:t>
            </w:r>
          </w:p>
        </w:tc>
        <w:tc>
          <w:tcPr>
            <w:tcW w:type="dxa" w:w="1872"/>
          </w:tcPr>
          <w:p>
            <w:pPr>
              <w:spacing w:after="20" w:before="20" w:line="300" w:lineRule="exact"/>
            </w:pPr>
            <w:r/>
            <w:r>
              <w:rPr>
                <w:rFonts w:ascii="Comic Sans MS" w:hAnsi="Comic Sans MS" w:cs="Comic Sans MS" w:eastAsia="Comic Sans MS"/>
                <w:b w:val="0"/>
                <w:i w:val="0"/>
                <w:color w:val="000000"/>
                <w:sz w:val="22"/>
              </w:rPr>
              <w:t>4</w:t>
            </w:r>
          </w:p>
        </w:tc>
        <w:tc>
          <w:tcPr>
            <w:tcW w:type="dxa" w:w="3744"/>
          </w:tcPr>
          <w:p>
            <w:pPr>
              <w:spacing w:after="20" w:before="20" w:line="300" w:lineRule="exact"/>
            </w:pPr>
            <w:r/>
            <w:r>
              <w:rPr>
                <w:rFonts w:ascii="Comic Sans MS" w:hAnsi="Comic Sans MS" w:cs="Comic Sans MS" w:eastAsia="Comic Sans MS"/>
                <w:b w:val="0"/>
                <w:i w:val="0"/>
                <w:color w:val="000000"/>
                <w:sz w:val="22"/>
              </w:rPr>
              <w:t>Toxic and environmental hazard</w:t>
            </w:r>
          </w:p>
        </w:tc>
      </w:tr>
      <w:tr>
        <w:tc>
          <w:tcPr>
            <w:tcW w:type="dxa" w:w="3744"/>
          </w:tcPr>
          <w:p>
            <w:pPr>
              <w:spacing w:after="20" w:before="20" w:line="300" w:lineRule="exact"/>
            </w:pPr>
            <w:r/>
            <w:r>
              <w:rPr>
                <w:rFonts w:ascii="Comic Sans MS" w:hAnsi="Comic Sans MS" w:cs="Comic Sans MS" w:eastAsia="Comic Sans MS"/>
                <w:b w:val="0"/>
                <w:i w:val="0"/>
                <w:color w:val="000000"/>
                <w:sz w:val="22"/>
              </w:rPr>
              <w:t>1,2-Dichloroethane</w:t>
            </w:r>
          </w:p>
        </w:tc>
        <w:tc>
          <w:tcPr>
            <w:tcW w:type="dxa" w:w="1872"/>
          </w:tcPr>
          <w:p>
            <w:pPr>
              <w:spacing w:after="20" w:before="20" w:line="300" w:lineRule="exact"/>
            </w:pPr>
            <w:r/>
            <w:r>
              <w:rPr>
                <w:rFonts w:ascii="Comic Sans MS" w:hAnsi="Comic Sans MS" w:cs="Comic Sans MS" w:eastAsia="Comic Sans MS"/>
                <w:b w:val="0"/>
                <w:i w:val="0"/>
                <w:color w:val="000000"/>
                <w:sz w:val="22"/>
              </w:rPr>
              <w:t>5</w:t>
            </w:r>
          </w:p>
        </w:tc>
        <w:tc>
          <w:tcPr>
            <w:tcW w:type="dxa" w:w="3744"/>
          </w:tcPr>
          <w:p>
            <w:pPr>
              <w:spacing w:after="20" w:before="20" w:line="300" w:lineRule="exact"/>
            </w:pPr>
            <w:r/>
            <w:r>
              <w:rPr>
                <w:rFonts w:ascii="Comic Sans MS" w:hAnsi="Comic Sans MS" w:cs="Comic Sans MS" w:eastAsia="Comic Sans MS"/>
                <w:b w:val="0"/>
                <w:i w:val="0"/>
                <w:color w:val="000000"/>
                <w:sz w:val="22"/>
              </w:rPr>
              <w:t>Toxic</w:t>
            </w:r>
          </w:p>
        </w:tc>
      </w:tr>
      <w:tr>
        <w:tc>
          <w:tcPr>
            <w:tcW w:type="dxa" w:w="3744"/>
          </w:tcPr>
          <w:p>
            <w:pPr>
              <w:spacing w:after="20" w:before="20" w:line="300" w:lineRule="exact"/>
            </w:pPr>
            <w:r/>
            <w:r>
              <w:rPr>
                <w:rFonts w:ascii="Comic Sans MS" w:hAnsi="Comic Sans MS" w:cs="Comic Sans MS" w:eastAsia="Comic Sans MS"/>
                <w:b w:val="0"/>
                <w:i w:val="0"/>
                <w:color w:val="000000"/>
                <w:sz w:val="22"/>
              </w:rPr>
              <w:t>1,1-Dichloroethene</w:t>
            </w:r>
          </w:p>
        </w:tc>
        <w:tc>
          <w:tcPr>
            <w:tcW w:type="dxa" w:w="1872"/>
          </w:tcPr>
          <w:p>
            <w:pPr>
              <w:spacing w:after="20" w:before="20" w:line="300" w:lineRule="exact"/>
            </w:pPr>
            <w:r/>
            <w:r>
              <w:rPr>
                <w:rFonts w:ascii="Comic Sans MS" w:hAnsi="Comic Sans MS" w:cs="Comic Sans MS" w:eastAsia="Comic Sans MS"/>
                <w:b w:val="0"/>
                <w:i w:val="0"/>
                <w:color w:val="000000"/>
                <w:sz w:val="22"/>
              </w:rPr>
              <w:t>8</w:t>
            </w:r>
          </w:p>
        </w:tc>
        <w:tc>
          <w:tcPr>
            <w:tcW w:type="dxa" w:w="3744"/>
          </w:tcPr>
          <w:p>
            <w:pPr>
              <w:spacing w:after="20" w:before="20" w:line="300" w:lineRule="exact"/>
            </w:pPr>
            <w:r/>
            <w:r>
              <w:rPr>
                <w:rFonts w:ascii="Comic Sans MS" w:hAnsi="Comic Sans MS" w:cs="Comic Sans MS" w:eastAsia="Comic Sans MS"/>
                <w:b w:val="0"/>
                <w:i w:val="0"/>
                <w:color w:val="000000"/>
                <w:sz w:val="22"/>
              </w:rPr>
              <w:t>Toxic</w:t>
            </w:r>
          </w:p>
        </w:tc>
      </w:tr>
      <w:tr>
        <w:tc>
          <w:tcPr>
            <w:tcW w:type="dxa" w:w="3744"/>
          </w:tcPr>
          <w:p>
            <w:pPr>
              <w:spacing w:after="20" w:before="20" w:line="300" w:lineRule="exact"/>
            </w:pPr>
            <w:r/>
            <w:r>
              <w:rPr>
                <w:rFonts w:ascii="Comic Sans MS" w:hAnsi="Comic Sans MS" w:cs="Comic Sans MS" w:eastAsia="Comic Sans MS"/>
                <w:b w:val="0"/>
                <w:i w:val="0"/>
                <w:color w:val="000000"/>
                <w:sz w:val="22"/>
              </w:rPr>
              <w:t>1,1,1-Trichloroethane</w:t>
            </w:r>
          </w:p>
        </w:tc>
        <w:tc>
          <w:tcPr>
            <w:tcW w:type="dxa" w:w="1872"/>
          </w:tcPr>
          <w:p>
            <w:pPr>
              <w:spacing w:after="20" w:before="20" w:line="300" w:lineRule="exact"/>
            </w:pPr>
            <w:r/>
            <w:r>
              <w:rPr>
                <w:rFonts w:ascii="Comic Sans MS" w:hAnsi="Comic Sans MS" w:cs="Comic Sans MS" w:eastAsia="Comic Sans MS"/>
                <w:b w:val="0"/>
                <w:i w:val="0"/>
                <w:color w:val="000000"/>
                <w:sz w:val="22"/>
              </w:rPr>
              <w:t>1500</w:t>
            </w:r>
          </w:p>
        </w:tc>
        <w:tc>
          <w:tcPr>
            <w:tcW w:type="dxa" w:w="3744"/>
          </w:tcPr>
          <w:p>
            <w:pPr>
              <w:spacing w:after="20" w:before="20" w:line="300" w:lineRule="exact"/>
            </w:pPr>
            <w:r/>
            <w:r>
              <w:rPr>
                <w:rFonts w:ascii="Comic Sans MS" w:hAnsi="Comic Sans MS" w:cs="Comic Sans MS" w:eastAsia="Comic Sans MS"/>
                <w:b w:val="0"/>
                <w:i w:val="0"/>
                <w:color w:val="000000"/>
                <w:sz w:val="22"/>
              </w:rPr>
              <w:t>Environmental hazard</w:t>
            </w:r>
          </w:p>
        </w:tc>
      </w:tr>
    </w:tbl>
    <w:p>
      <w:pPr>
        <w:spacing w:after="0" w:line="160" w:lineRule="exact"/>
      </w:pPr>
    </w:p>
    <w:p>
      <w:pPr>
        <w:spacing w:after="160"/>
        <w:jc w:val="both"/>
      </w:pPr>
      <w:r>
        <w:rPr>
          <w:rFonts w:ascii="Comic Sans MS" w:hAnsi="Comic Sans MS" w:cs="Comic Sans MS" w:eastAsia="Comic Sans MS"/>
          <w:b/>
          <w:i w:val="0"/>
          <w:color w:val="000000"/>
          <w:sz w:val="28"/>
        </w:rPr>
        <w:t>Class 2 - solvents to be limited.</w:t>
      </w:r>
      <w:r>
        <w:rPr>
          <w:rFonts w:ascii="Comic Sans MS" w:hAnsi="Comic Sans MS" w:cs="Comic Sans MS" w:eastAsia="Comic Sans MS"/>
          <w:b w:val="0"/>
          <w:i w:val="0"/>
          <w:color w:val="000000"/>
          <w:sz w:val="28"/>
        </w:rPr>
        <w:t xml:space="preserve"> Non-genotoxic animal carcinogens, or agents that may cause other irreversible toxicity such as neurotoxicity or teratogenicity, or that are suspected of other significant but reversible toxicity. They should be limited in order to protect patients. Representative values are:</w:t>
      </w:r>
    </w:p>
    <w:tbl>
      <w:tblPr>
        <w:tblStyle w:val="TableGrid"/>
        <w:tblW w:type="auto" w:w="0"/>
        <w:jc w:val="center"/>
        <w:tblLook w:firstColumn="1" w:firstRow="1" w:lastColumn="0" w:lastRow="0" w:noHBand="0" w:noVBand="1" w:val="04A0"/>
      </w:tblPr>
      <w:tblGrid>
        <w:gridCol w:w="3120"/>
        <w:gridCol w:w="3120"/>
        <w:gridCol w:w="3120"/>
      </w:tblGrid>
      <w:tr>
        <w:tc>
          <w:tcPr>
            <w:tcW w:type="dxa" w:w="3168"/>
          </w:tcPr>
          <w:p>
            <w:pPr>
              <w:spacing w:after="20" w:before="20" w:line="300" w:lineRule="exact"/>
            </w:pPr>
            <w:r/>
            <w:r>
              <w:rPr>
                <w:rFonts w:ascii="Comic Sans MS" w:hAnsi="Comic Sans MS" w:cs="Comic Sans MS" w:eastAsia="Comic Sans MS"/>
                <w:b/>
                <w:i w:val="0"/>
                <w:color w:val="000000"/>
                <w:sz w:val="22"/>
              </w:rPr>
              <w:t>Class 2 solvent</w:t>
            </w:r>
          </w:p>
        </w:tc>
        <w:tc>
          <w:tcPr>
            <w:tcW w:type="dxa" w:w="2448"/>
          </w:tcPr>
          <w:p>
            <w:pPr>
              <w:spacing w:after="20" w:before="20" w:line="300" w:lineRule="exact"/>
            </w:pPr>
            <w:r/>
            <w:r>
              <w:rPr>
                <w:rFonts w:ascii="Comic Sans MS" w:hAnsi="Comic Sans MS" w:cs="Comic Sans MS" w:eastAsia="Comic Sans MS"/>
                <w:b/>
                <w:i w:val="0"/>
                <w:color w:val="000000"/>
                <w:sz w:val="22"/>
              </w:rPr>
              <w:t>PDE (mg/day)</w:t>
            </w:r>
          </w:p>
        </w:tc>
        <w:tc>
          <w:tcPr>
            <w:tcW w:type="dxa" w:w="3168"/>
          </w:tcPr>
          <w:p>
            <w:pPr>
              <w:spacing w:after="20" w:before="20" w:line="300" w:lineRule="exact"/>
            </w:pPr>
            <w:r/>
            <w:r>
              <w:rPr>
                <w:rFonts w:ascii="Comic Sans MS" w:hAnsi="Comic Sans MS" w:cs="Comic Sans MS" w:eastAsia="Comic Sans MS"/>
                <w:b/>
                <w:i w:val="0"/>
                <w:color w:val="000000"/>
                <w:sz w:val="22"/>
              </w:rPr>
              <w:t>Concentration limit (ppm)</w:t>
            </w:r>
          </w:p>
        </w:tc>
      </w:tr>
      <w:tr>
        <w:tc>
          <w:tcPr>
            <w:tcW w:type="dxa" w:w="3168"/>
          </w:tcPr>
          <w:p>
            <w:pPr>
              <w:spacing w:after="20" w:before="20" w:line="300" w:lineRule="exact"/>
            </w:pPr>
            <w:r/>
            <w:r>
              <w:rPr>
                <w:rFonts w:ascii="Comic Sans MS" w:hAnsi="Comic Sans MS" w:cs="Comic Sans MS" w:eastAsia="Comic Sans MS"/>
                <w:b w:val="0"/>
                <w:i w:val="0"/>
                <w:color w:val="000000"/>
                <w:sz w:val="22"/>
              </w:rPr>
              <w:t>Methanol</w:t>
            </w:r>
          </w:p>
        </w:tc>
        <w:tc>
          <w:tcPr>
            <w:tcW w:type="dxa" w:w="2448"/>
          </w:tcPr>
          <w:p>
            <w:pPr>
              <w:spacing w:after="20" w:before="20" w:line="300" w:lineRule="exact"/>
            </w:pPr>
            <w:r/>
            <w:r>
              <w:rPr>
                <w:rFonts w:ascii="Comic Sans MS" w:hAnsi="Comic Sans MS" w:cs="Comic Sans MS" w:eastAsia="Comic Sans MS"/>
                <w:b w:val="0"/>
                <w:i w:val="0"/>
                <w:color w:val="000000"/>
                <w:sz w:val="22"/>
              </w:rPr>
              <w:t>30.0</w:t>
            </w:r>
          </w:p>
        </w:tc>
        <w:tc>
          <w:tcPr>
            <w:tcW w:type="dxa" w:w="3168"/>
          </w:tcPr>
          <w:p>
            <w:pPr>
              <w:spacing w:after="20" w:before="20" w:line="300" w:lineRule="exact"/>
            </w:pPr>
            <w:r/>
            <w:r>
              <w:rPr>
                <w:rFonts w:ascii="Comic Sans MS" w:hAnsi="Comic Sans MS" w:cs="Comic Sans MS" w:eastAsia="Comic Sans MS"/>
                <w:b w:val="0"/>
                <w:i w:val="0"/>
                <w:color w:val="000000"/>
                <w:sz w:val="22"/>
              </w:rPr>
              <w:t>3000</w:t>
            </w:r>
          </w:p>
        </w:tc>
      </w:tr>
      <w:tr>
        <w:tc>
          <w:tcPr>
            <w:tcW w:type="dxa" w:w="3168"/>
          </w:tcPr>
          <w:p>
            <w:pPr>
              <w:spacing w:after="20" w:before="20" w:line="300" w:lineRule="exact"/>
            </w:pPr>
            <w:r/>
            <w:r>
              <w:rPr>
                <w:rFonts w:ascii="Comic Sans MS" w:hAnsi="Comic Sans MS" w:cs="Comic Sans MS" w:eastAsia="Comic Sans MS"/>
                <w:b w:val="0"/>
                <w:i w:val="0"/>
                <w:color w:val="000000"/>
                <w:sz w:val="22"/>
              </w:rPr>
              <w:t>Acetonitrile</w:t>
            </w:r>
          </w:p>
        </w:tc>
        <w:tc>
          <w:tcPr>
            <w:tcW w:type="dxa" w:w="2448"/>
          </w:tcPr>
          <w:p>
            <w:pPr>
              <w:spacing w:after="20" w:before="20" w:line="300" w:lineRule="exact"/>
            </w:pPr>
            <w:r/>
            <w:r>
              <w:rPr>
                <w:rFonts w:ascii="Comic Sans MS" w:hAnsi="Comic Sans MS" w:cs="Comic Sans MS" w:eastAsia="Comic Sans MS"/>
                <w:b w:val="0"/>
                <w:i w:val="0"/>
                <w:color w:val="000000"/>
                <w:sz w:val="22"/>
              </w:rPr>
              <w:t>4.1</w:t>
            </w:r>
          </w:p>
        </w:tc>
        <w:tc>
          <w:tcPr>
            <w:tcW w:type="dxa" w:w="3168"/>
          </w:tcPr>
          <w:p>
            <w:pPr>
              <w:spacing w:after="20" w:before="20" w:line="300" w:lineRule="exact"/>
            </w:pPr>
            <w:r/>
            <w:r>
              <w:rPr>
                <w:rFonts w:ascii="Comic Sans MS" w:hAnsi="Comic Sans MS" w:cs="Comic Sans MS" w:eastAsia="Comic Sans MS"/>
                <w:b w:val="0"/>
                <w:i w:val="0"/>
                <w:color w:val="000000"/>
                <w:sz w:val="22"/>
              </w:rPr>
              <w:t>410</w:t>
            </w:r>
          </w:p>
        </w:tc>
      </w:tr>
      <w:tr>
        <w:tc>
          <w:tcPr>
            <w:tcW w:type="dxa" w:w="3168"/>
          </w:tcPr>
          <w:p>
            <w:pPr>
              <w:spacing w:after="20" w:before="20" w:line="300" w:lineRule="exact"/>
            </w:pPr>
            <w:r/>
            <w:r>
              <w:rPr>
                <w:rFonts w:ascii="Comic Sans MS" w:hAnsi="Comic Sans MS" w:cs="Comic Sans MS" w:eastAsia="Comic Sans MS"/>
                <w:b w:val="0"/>
                <w:i w:val="0"/>
                <w:color w:val="000000"/>
                <w:sz w:val="22"/>
              </w:rPr>
              <w:t>Dichloromethane</w:t>
            </w:r>
          </w:p>
        </w:tc>
        <w:tc>
          <w:tcPr>
            <w:tcW w:type="dxa" w:w="2448"/>
          </w:tcPr>
          <w:p>
            <w:pPr>
              <w:spacing w:after="20" w:before="20" w:line="300" w:lineRule="exact"/>
            </w:pPr>
            <w:r/>
            <w:r>
              <w:rPr>
                <w:rFonts w:ascii="Comic Sans MS" w:hAnsi="Comic Sans MS" w:cs="Comic Sans MS" w:eastAsia="Comic Sans MS"/>
                <w:b w:val="0"/>
                <w:i w:val="0"/>
                <w:color w:val="000000"/>
                <w:sz w:val="22"/>
              </w:rPr>
              <w:t>6.0</w:t>
            </w:r>
          </w:p>
        </w:tc>
        <w:tc>
          <w:tcPr>
            <w:tcW w:type="dxa" w:w="3168"/>
          </w:tcPr>
          <w:p>
            <w:pPr>
              <w:spacing w:after="20" w:before="20" w:line="300" w:lineRule="exact"/>
            </w:pPr>
            <w:r/>
            <w:r>
              <w:rPr>
                <w:rFonts w:ascii="Comic Sans MS" w:hAnsi="Comic Sans MS" w:cs="Comic Sans MS" w:eastAsia="Comic Sans MS"/>
                <w:b w:val="0"/>
                <w:i w:val="0"/>
                <w:color w:val="000000"/>
                <w:sz w:val="22"/>
              </w:rPr>
              <w:t>600</w:t>
            </w:r>
          </w:p>
        </w:tc>
      </w:tr>
      <w:tr>
        <w:tc>
          <w:tcPr>
            <w:tcW w:type="dxa" w:w="3168"/>
          </w:tcPr>
          <w:p>
            <w:pPr>
              <w:spacing w:after="20" w:before="20" w:line="300" w:lineRule="exact"/>
            </w:pPr>
            <w:r/>
            <w:r>
              <w:rPr>
                <w:rFonts w:ascii="Comic Sans MS" w:hAnsi="Comic Sans MS" w:cs="Comic Sans MS" w:eastAsia="Comic Sans MS"/>
                <w:b w:val="0"/>
                <w:i w:val="0"/>
                <w:color w:val="000000"/>
                <w:sz w:val="22"/>
              </w:rPr>
              <w:t>Chloroform</w:t>
            </w:r>
          </w:p>
        </w:tc>
        <w:tc>
          <w:tcPr>
            <w:tcW w:type="dxa" w:w="2448"/>
          </w:tcPr>
          <w:p>
            <w:pPr>
              <w:spacing w:after="20" w:before="20" w:line="300" w:lineRule="exact"/>
            </w:pPr>
            <w:r/>
            <w:r>
              <w:rPr>
                <w:rFonts w:ascii="Comic Sans MS" w:hAnsi="Comic Sans MS" w:cs="Comic Sans MS" w:eastAsia="Comic Sans MS"/>
                <w:b w:val="0"/>
                <w:i w:val="0"/>
                <w:color w:val="000000"/>
                <w:sz w:val="22"/>
              </w:rPr>
              <w:t>0.6</w:t>
            </w:r>
          </w:p>
        </w:tc>
        <w:tc>
          <w:tcPr>
            <w:tcW w:type="dxa" w:w="3168"/>
          </w:tcPr>
          <w:p>
            <w:pPr>
              <w:spacing w:after="20" w:before="20" w:line="300" w:lineRule="exact"/>
            </w:pPr>
            <w:r/>
            <w:r>
              <w:rPr>
                <w:rFonts w:ascii="Comic Sans MS" w:hAnsi="Comic Sans MS" w:cs="Comic Sans MS" w:eastAsia="Comic Sans MS"/>
                <w:b w:val="0"/>
                <w:i w:val="0"/>
                <w:color w:val="000000"/>
                <w:sz w:val="22"/>
              </w:rPr>
              <w:t>60</w:t>
            </w:r>
          </w:p>
        </w:tc>
      </w:tr>
      <w:tr>
        <w:tc>
          <w:tcPr>
            <w:tcW w:type="dxa" w:w="3168"/>
          </w:tcPr>
          <w:p>
            <w:pPr>
              <w:spacing w:after="20" w:before="20" w:line="300" w:lineRule="exact"/>
            </w:pPr>
            <w:r/>
            <w:r>
              <w:rPr>
                <w:rFonts w:ascii="Comic Sans MS" w:hAnsi="Comic Sans MS" w:cs="Comic Sans MS" w:eastAsia="Comic Sans MS"/>
                <w:b w:val="0"/>
                <w:i w:val="0"/>
                <w:color w:val="000000"/>
                <w:sz w:val="22"/>
              </w:rPr>
              <w:t>Hexane</w:t>
            </w:r>
          </w:p>
        </w:tc>
        <w:tc>
          <w:tcPr>
            <w:tcW w:type="dxa" w:w="2448"/>
          </w:tcPr>
          <w:p>
            <w:pPr>
              <w:spacing w:after="20" w:before="20" w:line="300" w:lineRule="exact"/>
            </w:pPr>
            <w:r/>
            <w:r>
              <w:rPr>
                <w:rFonts w:ascii="Comic Sans MS" w:hAnsi="Comic Sans MS" w:cs="Comic Sans MS" w:eastAsia="Comic Sans MS"/>
                <w:b w:val="0"/>
                <w:i w:val="0"/>
                <w:color w:val="000000"/>
                <w:sz w:val="22"/>
              </w:rPr>
              <w:t>2.9</w:t>
            </w:r>
          </w:p>
        </w:tc>
        <w:tc>
          <w:tcPr>
            <w:tcW w:type="dxa" w:w="3168"/>
          </w:tcPr>
          <w:p>
            <w:pPr>
              <w:spacing w:after="20" w:before="20" w:line="300" w:lineRule="exact"/>
            </w:pPr>
            <w:r/>
            <w:r>
              <w:rPr>
                <w:rFonts w:ascii="Comic Sans MS" w:hAnsi="Comic Sans MS" w:cs="Comic Sans MS" w:eastAsia="Comic Sans MS"/>
                <w:b w:val="0"/>
                <w:i w:val="0"/>
                <w:color w:val="000000"/>
                <w:sz w:val="22"/>
              </w:rPr>
              <w:t>290</w:t>
            </w:r>
          </w:p>
        </w:tc>
      </w:tr>
      <w:tr>
        <w:tc>
          <w:tcPr>
            <w:tcW w:type="dxa" w:w="3168"/>
          </w:tcPr>
          <w:p>
            <w:pPr>
              <w:spacing w:after="20" w:before="20" w:line="300" w:lineRule="exact"/>
            </w:pPr>
            <w:r/>
            <w:r>
              <w:rPr>
                <w:rFonts w:ascii="Comic Sans MS" w:hAnsi="Comic Sans MS" w:cs="Comic Sans MS" w:eastAsia="Comic Sans MS"/>
                <w:b w:val="0"/>
                <w:i w:val="0"/>
                <w:color w:val="000000"/>
                <w:sz w:val="22"/>
              </w:rPr>
              <w:t>Toluene</w:t>
            </w:r>
          </w:p>
        </w:tc>
        <w:tc>
          <w:tcPr>
            <w:tcW w:type="dxa" w:w="2448"/>
          </w:tcPr>
          <w:p>
            <w:pPr>
              <w:spacing w:after="20" w:before="20" w:line="300" w:lineRule="exact"/>
            </w:pPr>
            <w:r/>
            <w:r>
              <w:rPr>
                <w:rFonts w:ascii="Comic Sans MS" w:hAnsi="Comic Sans MS" w:cs="Comic Sans MS" w:eastAsia="Comic Sans MS"/>
                <w:b w:val="0"/>
                <w:i w:val="0"/>
                <w:color w:val="000000"/>
                <w:sz w:val="22"/>
              </w:rPr>
              <w:t>8.9</w:t>
            </w:r>
          </w:p>
        </w:tc>
        <w:tc>
          <w:tcPr>
            <w:tcW w:type="dxa" w:w="3168"/>
          </w:tcPr>
          <w:p>
            <w:pPr>
              <w:spacing w:after="20" w:before="20" w:line="300" w:lineRule="exact"/>
            </w:pPr>
            <w:r/>
            <w:r>
              <w:rPr>
                <w:rFonts w:ascii="Comic Sans MS" w:hAnsi="Comic Sans MS" w:cs="Comic Sans MS" w:eastAsia="Comic Sans MS"/>
                <w:b w:val="0"/>
                <w:i w:val="0"/>
                <w:color w:val="000000"/>
                <w:sz w:val="22"/>
              </w:rPr>
              <w:t>890</w:t>
            </w:r>
          </w:p>
        </w:tc>
      </w:tr>
      <w:tr>
        <w:tc>
          <w:tcPr>
            <w:tcW w:type="dxa" w:w="3168"/>
          </w:tcPr>
          <w:p>
            <w:pPr>
              <w:spacing w:after="20" w:before="20" w:line="300" w:lineRule="exact"/>
            </w:pPr>
            <w:r/>
            <w:r>
              <w:rPr>
                <w:rFonts w:ascii="Comic Sans MS" w:hAnsi="Comic Sans MS" w:cs="Comic Sans MS" w:eastAsia="Comic Sans MS"/>
                <w:b w:val="0"/>
                <w:i w:val="0"/>
                <w:color w:val="000000"/>
                <w:sz w:val="22"/>
              </w:rPr>
              <w:t>Xylene</w:t>
            </w:r>
          </w:p>
        </w:tc>
        <w:tc>
          <w:tcPr>
            <w:tcW w:type="dxa" w:w="2448"/>
          </w:tcPr>
          <w:p>
            <w:pPr>
              <w:spacing w:after="20" w:before="20" w:line="300" w:lineRule="exact"/>
            </w:pPr>
            <w:r/>
            <w:r>
              <w:rPr>
                <w:rFonts w:ascii="Comic Sans MS" w:hAnsi="Comic Sans MS" w:cs="Comic Sans MS" w:eastAsia="Comic Sans MS"/>
                <w:b w:val="0"/>
                <w:i w:val="0"/>
                <w:color w:val="000000"/>
                <w:sz w:val="22"/>
              </w:rPr>
              <w:t>21.7</w:t>
            </w:r>
          </w:p>
        </w:tc>
        <w:tc>
          <w:tcPr>
            <w:tcW w:type="dxa" w:w="3168"/>
          </w:tcPr>
          <w:p>
            <w:pPr>
              <w:spacing w:after="20" w:before="20" w:line="300" w:lineRule="exact"/>
            </w:pPr>
            <w:r/>
            <w:r>
              <w:rPr>
                <w:rFonts w:ascii="Comic Sans MS" w:hAnsi="Comic Sans MS" w:cs="Comic Sans MS" w:eastAsia="Comic Sans MS"/>
                <w:b w:val="0"/>
                <w:i w:val="0"/>
                <w:color w:val="000000"/>
                <w:sz w:val="22"/>
              </w:rPr>
              <w:t>2170</w:t>
            </w:r>
          </w:p>
        </w:tc>
      </w:tr>
      <w:tr>
        <w:tc>
          <w:tcPr>
            <w:tcW w:type="dxa" w:w="3168"/>
          </w:tcPr>
          <w:p>
            <w:pPr>
              <w:spacing w:after="20" w:before="20" w:line="300" w:lineRule="exact"/>
            </w:pPr>
            <w:r/>
            <w:r>
              <w:rPr>
                <w:rFonts w:ascii="Comic Sans MS" w:hAnsi="Comic Sans MS" w:cs="Comic Sans MS" w:eastAsia="Comic Sans MS"/>
                <w:b w:val="0"/>
                <w:i w:val="0"/>
                <w:color w:val="000000"/>
                <w:sz w:val="22"/>
              </w:rPr>
              <w:t>Pyridine</w:t>
            </w:r>
          </w:p>
        </w:tc>
        <w:tc>
          <w:tcPr>
            <w:tcW w:type="dxa" w:w="2448"/>
          </w:tcPr>
          <w:p>
            <w:pPr>
              <w:spacing w:after="20" w:before="20" w:line="300" w:lineRule="exact"/>
            </w:pPr>
            <w:r/>
            <w:r>
              <w:rPr>
                <w:rFonts w:ascii="Comic Sans MS" w:hAnsi="Comic Sans MS" w:cs="Comic Sans MS" w:eastAsia="Comic Sans MS"/>
                <w:b w:val="0"/>
                <w:i w:val="0"/>
                <w:color w:val="000000"/>
                <w:sz w:val="22"/>
              </w:rPr>
              <w:t>2.0</w:t>
            </w:r>
          </w:p>
        </w:tc>
        <w:tc>
          <w:tcPr>
            <w:tcW w:type="dxa" w:w="3168"/>
          </w:tcPr>
          <w:p>
            <w:pPr>
              <w:spacing w:after="20" w:before="20" w:line="300" w:lineRule="exact"/>
            </w:pPr>
            <w:r/>
            <w:r>
              <w:rPr>
                <w:rFonts w:ascii="Comic Sans MS" w:hAnsi="Comic Sans MS" w:cs="Comic Sans MS" w:eastAsia="Comic Sans MS"/>
                <w:b w:val="0"/>
                <w:i w:val="0"/>
                <w:color w:val="000000"/>
                <w:sz w:val="22"/>
              </w:rPr>
              <w:t>200</w:t>
            </w:r>
          </w:p>
        </w:tc>
      </w:tr>
      <w:tr>
        <w:tc>
          <w:tcPr>
            <w:tcW w:type="dxa" w:w="3168"/>
          </w:tcPr>
          <w:p>
            <w:pPr>
              <w:spacing w:after="20" w:before="20" w:line="300" w:lineRule="exact"/>
            </w:pPr>
            <w:r/>
            <w:r>
              <w:rPr>
                <w:rFonts w:ascii="Comic Sans MS" w:hAnsi="Comic Sans MS" w:cs="Comic Sans MS" w:eastAsia="Comic Sans MS"/>
                <w:b w:val="0"/>
                <w:i w:val="0"/>
                <w:color w:val="000000"/>
                <w:sz w:val="22"/>
              </w:rPr>
              <w:t>Tetrahydrofuran</w:t>
            </w:r>
          </w:p>
        </w:tc>
        <w:tc>
          <w:tcPr>
            <w:tcW w:type="dxa" w:w="2448"/>
          </w:tcPr>
          <w:p>
            <w:pPr>
              <w:spacing w:after="20" w:before="20" w:line="300" w:lineRule="exact"/>
            </w:pPr>
            <w:r/>
            <w:r>
              <w:rPr>
                <w:rFonts w:ascii="Comic Sans MS" w:hAnsi="Comic Sans MS" w:cs="Comic Sans MS" w:eastAsia="Comic Sans MS"/>
                <w:b w:val="0"/>
                <w:i w:val="0"/>
                <w:color w:val="000000"/>
                <w:sz w:val="22"/>
              </w:rPr>
              <w:t>7.2</w:t>
            </w:r>
          </w:p>
        </w:tc>
        <w:tc>
          <w:tcPr>
            <w:tcW w:type="dxa" w:w="3168"/>
          </w:tcPr>
          <w:p>
            <w:pPr>
              <w:spacing w:after="20" w:before="20" w:line="300" w:lineRule="exact"/>
            </w:pPr>
            <w:r/>
            <w:r>
              <w:rPr>
                <w:rFonts w:ascii="Comic Sans MS" w:hAnsi="Comic Sans MS" w:cs="Comic Sans MS" w:eastAsia="Comic Sans MS"/>
                <w:b w:val="0"/>
                <w:i w:val="0"/>
                <w:color w:val="000000"/>
                <w:sz w:val="22"/>
              </w:rPr>
              <w:t>720</w:t>
            </w:r>
          </w:p>
        </w:tc>
      </w:tr>
      <w:tr>
        <w:tc>
          <w:tcPr>
            <w:tcW w:type="dxa" w:w="3168"/>
          </w:tcPr>
          <w:p>
            <w:pPr>
              <w:spacing w:after="20" w:before="20" w:line="300" w:lineRule="exact"/>
            </w:pPr>
            <w:r/>
            <w:r>
              <w:rPr>
                <w:rFonts w:ascii="Comic Sans MS" w:hAnsi="Comic Sans MS" w:cs="Comic Sans MS" w:eastAsia="Comic Sans MS"/>
                <w:b w:val="0"/>
                <w:i w:val="0"/>
                <w:color w:val="000000"/>
                <w:sz w:val="22"/>
              </w:rPr>
              <w:t>N,N-Dimethylformamide</w:t>
            </w:r>
          </w:p>
        </w:tc>
        <w:tc>
          <w:tcPr>
            <w:tcW w:type="dxa" w:w="2448"/>
          </w:tcPr>
          <w:p>
            <w:pPr>
              <w:spacing w:after="20" w:before="20" w:line="300" w:lineRule="exact"/>
            </w:pPr>
            <w:r/>
            <w:r>
              <w:rPr>
                <w:rFonts w:ascii="Comic Sans MS" w:hAnsi="Comic Sans MS" w:cs="Comic Sans MS" w:eastAsia="Comic Sans MS"/>
                <w:b w:val="0"/>
                <w:i w:val="0"/>
                <w:color w:val="000000"/>
                <w:sz w:val="22"/>
              </w:rPr>
              <w:t>8.8</w:t>
            </w:r>
          </w:p>
        </w:tc>
        <w:tc>
          <w:tcPr>
            <w:tcW w:type="dxa" w:w="3168"/>
          </w:tcPr>
          <w:p>
            <w:pPr>
              <w:spacing w:after="20" w:before="20" w:line="300" w:lineRule="exact"/>
            </w:pPr>
            <w:r/>
            <w:r>
              <w:rPr>
                <w:rFonts w:ascii="Comic Sans MS" w:hAnsi="Comic Sans MS" w:cs="Comic Sans MS" w:eastAsia="Comic Sans MS"/>
                <w:b w:val="0"/>
                <w:i w:val="0"/>
                <w:color w:val="000000"/>
                <w:sz w:val="22"/>
              </w:rPr>
              <w:t>880</w:t>
            </w:r>
          </w:p>
        </w:tc>
      </w:tr>
      <w:tr>
        <w:tc>
          <w:tcPr>
            <w:tcW w:type="dxa" w:w="3168"/>
          </w:tcPr>
          <w:p>
            <w:pPr>
              <w:spacing w:after="20" w:before="20" w:line="300" w:lineRule="exact"/>
            </w:pPr>
            <w:r/>
            <w:r>
              <w:rPr>
                <w:rFonts w:ascii="Comic Sans MS" w:hAnsi="Comic Sans MS" w:cs="Comic Sans MS" w:eastAsia="Comic Sans MS"/>
                <w:b w:val="0"/>
                <w:i w:val="0"/>
                <w:color w:val="000000"/>
                <w:sz w:val="22"/>
              </w:rPr>
              <w:t>N,N-Dimethylacetamide</w:t>
            </w:r>
          </w:p>
        </w:tc>
        <w:tc>
          <w:tcPr>
            <w:tcW w:type="dxa" w:w="2448"/>
          </w:tcPr>
          <w:p>
            <w:pPr>
              <w:spacing w:after="20" w:before="20" w:line="300" w:lineRule="exact"/>
            </w:pPr>
            <w:r/>
            <w:r>
              <w:rPr>
                <w:rFonts w:ascii="Comic Sans MS" w:hAnsi="Comic Sans MS" w:cs="Comic Sans MS" w:eastAsia="Comic Sans MS"/>
                <w:b w:val="0"/>
                <w:i w:val="0"/>
                <w:color w:val="000000"/>
                <w:sz w:val="22"/>
              </w:rPr>
              <w:t>10.9</w:t>
            </w:r>
          </w:p>
        </w:tc>
        <w:tc>
          <w:tcPr>
            <w:tcW w:type="dxa" w:w="3168"/>
          </w:tcPr>
          <w:p>
            <w:pPr>
              <w:spacing w:after="20" w:before="20" w:line="300" w:lineRule="exact"/>
            </w:pPr>
            <w:r/>
            <w:r>
              <w:rPr>
                <w:rFonts w:ascii="Comic Sans MS" w:hAnsi="Comic Sans MS" w:cs="Comic Sans MS" w:eastAsia="Comic Sans MS"/>
                <w:b w:val="0"/>
                <w:i w:val="0"/>
                <w:color w:val="000000"/>
                <w:sz w:val="22"/>
              </w:rPr>
              <w:t>1090</w:t>
            </w:r>
          </w:p>
        </w:tc>
      </w:tr>
      <w:tr>
        <w:tc>
          <w:tcPr>
            <w:tcW w:type="dxa" w:w="3168"/>
          </w:tcPr>
          <w:p>
            <w:pPr>
              <w:spacing w:after="20" w:before="20" w:line="300" w:lineRule="exact"/>
            </w:pPr>
            <w:r/>
            <w:r>
              <w:rPr>
                <w:rFonts w:ascii="Comic Sans MS" w:hAnsi="Comic Sans MS" w:cs="Comic Sans MS" w:eastAsia="Comic Sans MS"/>
                <w:b w:val="0"/>
                <w:i w:val="0"/>
                <w:color w:val="000000"/>
                <w:sz w:val="22"/>
              </w:rPr>
              <w:t>N-Methylpyrrolidone</w:t>
            </w:r>
          </w:p>
        </w:tc>
        <w:tc>
          <w:tcPr>
            <w:tcW w:type="dxa" w:w="2448"/>
          </w:tcPr>
          <w:p>
            <w:pPr>
              <w:spacing w:after="20" w:before="20" w:line="300" w:lineRule="exact"/>
            </w:pPr>
            <w:r/>
            <w:r>
              <w:rPr>
                <w:rFonts w:ascii="Comic Sans MS" w:hAnsi="Comic Sans MS" w:cs="Comic Sans MS" w:eastAsia="Comic Sans MS"/>
                <w:b w:val="0"/>
                <w:i w:val="0"/>
                <w:color w:val="000000"/>
                <w:sz w:val="22"/>
              </w:rPr>
              <w:t>5.3</w:t>
            </w:r>
          </w:p>
        </w:tc>
        <w:tc>
          <w:tcPr>
            <w:tcW w:type="dxa" w:w="3168"/>
          </w:tcPr>
          <w:p>
            <w:pPr>
              <w:spacing w:after="20" w:before="20" w:line="300" w:lineRule="exact"/>
            </w:pPr>
            <w:r/>
            <w:r>
              <w:rPr>
                <w:rFonts w:ascii="Comic Sans MS" w:hAnsi="Comic Sans MS" w:cs="Comic Sans MS" w:eastAsia="Comic Sans MS"/>
                <w:b w:val="0"/>
                <w:i w:val="0"/>
                <w:color w:val="000000"/>
                <w:sz w:val="22"/>
              </w:rPr>
              <w:t>530</w:t>
            </w:r>
          </w:p>
        </w:tc>
      </w:tr>
      <w:tr>
        <w:tc>
          <w:tcPr>
            <w:tcW w:type="dxa" w:w="3168"/>
          </w:tcPr>
          <w:p>
            <w:pPr>
              <w:spacing w:after="20" w:before="20" w:line="300" w:lineRule="exact"/>
            </w:pPr>
            <w:r/>
            <w:r>
              <w:rPr>
                <w:rFonts w:ascii="Comic Sans MS" w:hAnsi="Comic Sans MS" w:cs="Comic Sans MS" w:eastAsia="Comic Sans MS"/>
                <w:b w:val="0"/>
                <w:i w:val="0"/>
                <w:color w:val="000000"/>
                <w:sz w:val="22"/>
              </w:rPr>
              <w:t>1,4-Dioxane</w:t>
            </w:r>
          </w:p>
        </w:tc>
        <w:tc>
          <w:tcPr>
            <w:tcW w:type="dxa" w:w="2448"/>
          </w:tcPr>
          <w:p>
            <w:pPr>
              <w:spacing w:after="20" w:before="20" w:line="300" w:lineRule="exact"/>
            </w:pPr>
            <w:r/>
            <w:r>
              <w:rPr>
                <w:rFonts w:ascii="Comic Sans MS" w:hAnsi="Comic Sans MS" w:cs="Comic Sans MS" w:eastAsia="Comic Sans MS"/>
                <w:b w:val="0"/>
                <w:i w:val="0"/>
                <w:color w:val="000000"/>
                <w:sz w:val="22"/>
              </w:rPr>
              <w:t>3.8</w:t>
            </w:r>
          </w:p>
        </w:tc>
        <w:tc>
          <w:tcPr>
            <w:tcW w:type="dxa" w:w="3168"/>
          </w:tcPr>
          <w:p>
            <w:pPr>
              <w:spacing w:after="20" w:before="20" w:line="300" w:lineRule="exact"/>
            </w:pPr>
            <w:r/>
            <w:r>
              <w:rPr>
                <w:rFonts w:ascii="Comic Sans MS" w:hAnsi="Comic Sans MS" w:cs="Comic Sans MS" w:eastAsia="Comic Sans MS"/>
                <w:b w:val="0"/>
                <w:i w:val="0"/>
                <w:color w:val="000000"/>
                <w:sz w:val="22"/>
              </w:rPr>
              <w:t>380</w:t>
            </w:r>
          </w:p>
        </w:tc>
      </w:tr>
      <w:tr>
        <w:tc>
          <w:tcPr>
            <w:tcW w:type="dxa" w:w="3168"/>
          </w:tcPr>
          <w:p>
            <w:pPr>
              <w:spacing w:after="20" w:before="20" w:line="300" w:lineRule="exact"/>
            </w:pPr>
            <w:r/>
            <w:r>
              <w:rPr>
                <w:rFonts w:ascii="Comic Sans MS" w:hAnsi="Comic Sans MS" w:cs="Comic Sans MS" w:eastAsia="Comic Sans MS"/>
                <w:b w:val="0"/>
                <w:i w:val="0"/>
                <w:color w:val="000000"/>
                <w:sz w:val="22"/>
              </w:rPr>
              <w:t>Cyclohexane</w:t>
            </w:r>
          </w:p>
        </w:tc>
        <w:tc>
          <w:tcPr>
            <w:tcW w:type="dxa" w:w="2448"/>
          </w:tcPr>
          <w:p>
            <w:pPr>
              <w:spacing w:after="20" w:before="20" w:line="300" w:lineRule="exact"/>
            </w:pPr>
            <w:r/>
            <w:r>
              <w:rPr>
                <w:rFonts w:ascii="Comic Sans MS" w:hAnsi="Comic Sans MS" w:cs="Comic Sans MS" w:eastAsia="Comic Sans MS"/>
                <w:b w:val="0"/>
                <w:i w:val="0"/>
                <w:color w:val="000000"/>
                <w:sz w:val="22"/>
              </w:rPr>
              <w:t>38.8</w:t>
            </w:r>
          </w:p>
        </w:tc>
        <w:tc>
          <w:tcPr>
            <w:tcW w:type="dxa" w:w="3168"/>
          </w:tcPr>
          <w:p>
            <w:pPr>
              <w:spacing w:after="20" w:before="20" w:line="300" w:lineRule="exact"/>
            </w:pPr>
            <w:r/>
            <w:r>
              <w:rPr>
                <w:rFonts w:ascii="Comic Sans MS" w:hAnsi="Comic Sans MS" w:cs="Comic Sans MS" w:eastAsia="Comic Sans MS"/>
                <w:b w:val="0"/>
                <w:i w:val="0"/>
                <w:color w:val="000000"/>
                <w:sz w:val="22"/>
              </w:rPr>
              <w:t>3880</w:t>
            </w:r>
          </w:p>
        </w:tc>
      </w:tr>
      <w:tr>
        <w:tc>
          <w:tcPr>
            <w:tcW w:type="dxa" w:w="3168"/>
          </w:tcPr>
          <w:p>
            <w:pPr>
              <w:spacing w:after="20" w:before="20" w:line="300" w:lineRule="exact"/>
            </w:pPr>
            <w:r/>
            <w:r>
              <w:rPr>
                <w:rFonts w:ascii="Comic Sans MS" w:hAnsi="Comic Sans MS" w:cs="Comic Sans MS" w:eastAsia="Comic Sans MS"/>
                <w:b w:val="0"/>
                <w:i w:val="0"/>
                <w:color w:val="000000"/>
                <w:sz w:val="22"/>
              </w:rPr>
              <w:t>Ethyleneglycol</w:t>
            </w:r>
          </w:p>
        </w:tc>
        <w:tc>
          <w:tcPr>
            <w:tcW w:type="dxa" w:w="2448"/>
          </w:tcPr>
          <w:p>
            <w:pPr>
              <w:spacing w:after="20" w:before="20" w:line="300" w:lineRule="exact"/>
            </w:pPr>
            <w:r/>
            <w:r>
              <w:rPr>
                <w:rFonts w:ascii="Comic Sans MS" w:hAnsi="Comic Sans MS" w:cs="Comic Sans MS" w:eastAsia="Comic Sans MS"/>
                <w:b w:val="0"/>
                <w:i w:val="0"/>
                <w:color w:val="000000"/>
                <w:sz w:val="22"/>
              </w:rPr>
              <w:t>6.2</w:t>
            </w:r>
          </w:p>
        </w:tc>
        <w:tc>
          <w:tcPr>
            <w:tcW w:type="dxa" w:w="3168"/>
          </w:tcPr>
          <w:p>
            <w:pPr>
              <w:spacing w:after="20" w:before="20" w:line="300" w:lineRule="exact"/>
            </w:pPr>
            <w:r/>
            <w:r>
              <w:rPr>
                <w:rFonts w:ascii="Comic Sans MS" w:hAnsi="Comic Sans MS" w:cs="Comic Sans MS" w:eastAsia="Comic Sans MS"/>
                <w:b w:val="0"/>
                <w:i w:val="0"/>
                <w:color w:val="000000"/>
                <w:sz w:val="22"/>
              </w:rPr>
              <w:t>620</w:t>
            </w:r>
          </w:p>
        </w:tc>
      </w:tr>
      <w:tr>
        <w:tc>
          <w:tcPr>
            <w:tcW w:type="dxa" w:w="3168"/>
          </w:tcPr>
          <w:p>
            <w:pPr>
              <w:spacing w:after="20" w:before="20" w:line="300" w:lineRule="exact"/>
            </w:pPr>
            <w:r/>
            <w:r>
              <w:rPr>
                <w:rFonts w:ascii="Comic Sans MS" w:hAnsi="Comic Sans MS" w:cs="Comic Sans MS" w:eastAsia="Comic Sans MS"/>
                <w:b w:val="0"/>
                <w:i w:val="0"/>
                <w:color w:val="000000"/>
                <w:sz w:val="22"/>
              </w:rPr>
              <w:t>Methylisobutylketone</w:t>
            </w:r>
          </w:p>
        </w:tc>
        <w:tc>
          <w:tcPr>
            <w:tcW w:type="dxa" w:w="2448"/>
          </w:tcPr>
          <w:p>
            <w:pPr>
              <w:spacing w:after="20" w:before="20" w:line="300" w:lineRule="exact"/>
            </w:pPr>
            <w:r/>
            <w:r>
              <w:rPr>
                <w:rFonts w:ascii="Comic Sans MS" w:hAnsi="Comic Sans MS" w:cs="Comic Sans MS" w:eastAsia="Comic Sans MS"/>
                <w:b w:val="0"/>
                <w:i w:val="0"/>
                <w:color w:val="000000"/>
                <w:sz w:val="22"/>
              </w:rPr>
              <w:t>45</w:t>
            </w:r>
          </w:p>
        </w:tc>
        <w:tc>
          <w:tcPr>
            <w:tcW w:type="dxa" w:w="3168"/>
          </w:tcPr>
          <w:p>
            <w:pPr>
              <w:spacing w:after="20" w:before="20" w:line="300" w:lineRule="exact"/>
            </w:pPr>
            <w:r/>
            <w:r>
              <w:rPr>
                <w:rFonts w:ascii="Comic Sans MS" w:hAnsi="Comic Sans MS" w:cs="Comic Sans MS" w:eastAsia="Comic Sans MS"/>
                <w:b w:val="0"/>
                <w:i w:val="0"/>
                <w:color w:val="000000"/>
                <w:sz w:val="22"/>
              </w:rPr>
              <w:t>4500</w:t>
            </w:r>
          </w:p>
        </w:tc>
      </w:tr>
    </w:tbl>
    <w:p>
      <w:pPr>
        <w:spacing w:after="0" w:line="160" w:lineRule="exact"/>
      </w:pPr>
    </w:p>
    <w:p>
      <w:pPr>
        <w:spacing w:after="160"/>
        <w:jc w:val="both"/>
      </w:pPr>
      <w:r>
        <w:rPr>
          <w:rFonts w:ascii="Comic Sans MS" w:hAnsi="Comic Sans MS" w:cs="Comic Sans MS" w:eastAsia="Comic Sans MS"/>
          <w:b/>
          <w:i w:val="0"/>
          <w:color w:val="000000"/>
          <w:sz w:val="28"/>
        </w:rPr>
        <w:t>Class 3 - solvents with low toxic potential.</w:t>
      </w:r>
      <w:r>
        <w:rPr>
          <w:rFonts w:ascii="Comic Sans MS" w:hAnsi="Comic Sans MS" w:cs="Comic Sans MS" w:eastAsia="Comic Sans MS"/>
          <w:b w:val="0"/>
          <w:i w:val="0"/>
          <w:color w:val="000000"/>
          <w:sz w:val="28"/>
        </w:rPr>
        <w:t xml:space="preserve"> Solvents of low toxic potential to man, for which no health-based exposure limit is needed; they have permitted daily exposures of 50 milligrams or more per day. Amounts of 50 milligrams per day or less, corresponding to 5000 ppm or 0.5 per cent under Option 1, are acceptable without justification. They should be limited by good manufacturing practice or other quality-based requirements. Examples include acetic acid, acetone, anisole, 1-butanol, 2-butanol, butyl acetate, tert-butylmethyl ether, dimethyl sulphoxide, ethanol, ethyl acetate, ethyl ether, formic acid, heptane, isopropyl acetate, methyl acetate, methylethyl ketone, 2-propanol and propyl acetate.</w:t>
      </w:r>
    </w:p>
    <w:p>
      <w:pPr>
        <w:spacing w:after="160"/>
        <w:jc w:val="both"/>
      </w:pPr>
      <w:r>
        <w:rPr>
          <w:rFonts w:ascii="Comic Sans MS" w:hAnsi="Comic Sans MS" w:cs="Comic Sans MS" w:eastAsia="Comic Sans MS"/>
          <w:b w:val="0"/>
          <w:i w:val="0"/>
          <w:color w:val="000000"/>
          <w:sz w:val="28"/>
        </w:rPr>
        <w:t>A further group, sometimes referred to as Class 4, comprises solvents for which no adequate toxicological data were found; manufacturers must justify the residual levels of these.</w:t>
      </w:r>
    </w:p>
    <w:p>
      <w:pPr>
        <w:keepNext/>
        <w:spacing w:before="160" w:after="40"/>
      </w:pPr>
      <w:r>
        <w:rPr>
          <w:rFonts w:ascii="Comic Sans MS" w:hAnsi="Comic Sans MS" w:cs="Comic Sans MS" w:eastAsia="Comic Sans MS"/>
          <w:b/>
          <w:i w:val="0"/>
          <w:color w:val="000000"/>
          <w:sz w:val="28"/>
        </w:rPr>
        <w:t>1.10.3 Options for Setting Limits of Class 2 Solvents</w:t>
      </w:r>
    </w:p>
    <w:p>
      <w:pPr>
        <w:spacing w:after="160"/>
        <w:jc w:val="both"/>
      </w:pPr>
      <w:r>
        <w:rPr>
          <w:rFonts w:ascii="Comic Sans MS" w:hAnsi="Comic Sans MS" w:cs="Comic Sans MS" w:eastAsia="Comic Sans MS"/>
          <w:b/>
          <w:i w:val="0"/>
          <w:color w:val="000000"/>
          <w:sz w:val="28"/>
        </w:rPr>
        <w:t>Option 1.</w:t>
      </w:r>
      <w:r>
        <w:rPr>
          <w:rFonts w:ascii="Comic Sans MS" w:hAnsi="Comic Sans MS" w:cs="Comic Sans MS" w:eastAsia="Comic Sans MS"/>
          <w:b w:val="0"/>
          <w:i w:val="0"/>
          <w:color w:val="000000"/>
          <w:sz w:val="28"/>
        </w:rPr>
        <w:t xml:space="preserve"> The concentration limits in parts per million given in the guideline are used. They are calculated on the assumption that a maximum of 10 grams of product is administered daily, using the relationship</w:t>
      </w:r>
    </w:p>
    <w:p>
      <w:pPr>
        <w:spacing w:after="160"/>
        <w:jc w:val="both"/>
      </w:pPr>
      <w:r>
        <w:rPr>
          <w:rFonts w:ascii="Comic Sans MS" w:hAnsi="Comic Sans MS" w:cs="Comic Sans MS" w:eastAsia="Comic Sans MS"/>
          <w:b/>
          <w:i w:val="0"/>
          <w:color w:val="000000"/>
          <w:sz w:val="28"/>
        </w:rPr>
        <w:t>Concentration (ppm) = (1000 x PDE)/dose</w:t>
      </w:r>
    </w:p>
    <w:p>
      <w:pPr>
        <w:spacing w:after="160"/>
        <w:jc w:val="both"/>
      </w:pPr>
      <w:r>
        <w:rPr>
          <w:rFonts w:ascii="Comic Sans MS" w:hAnsi="Comic Sans MS" w:cs="Comic Sans MS" w:eastAsia="Comic Sans MS"/>
          <w:b w:val="0"/>
          <w:i w:val="0"/>
          <w:color w:val="000000"/>
          <w:sz w:val="28"/>
        </w:rPr>
        <w:t>where the PDE is in milligrams per day and the dose in grams per day. These limits are acceptable for all substances, excipients and products, and may be used when the daily dose is not known or not fixed. If every component of a formulation complies with the Option 1 limits, the components may be used in any proportion, provided the daily dose does not exceed 10 grams.</w:t>
      </w:r>
    </w:p>
    <w:p>
      <w:pPr>
        <w:spacing w:after="160"/>
        <w:jc w:val="both"/>
      </w:pPr>
      <w:r>
        <w:rPr>
          <w:rFonts w:ascii="Comic Sans MS" w:hAnsi="Comic Sans MS" w:cs="Comic Sans MS" w:eastAsia="Comic Sans MS"/>
          <w:b/>
          <w:i w:val="0"/>
          <w:color w:val="000000"/>
          <w:sz w:val="28"/>
        </w:rPr>
        <w:t>Option 2.</w:t>
      </w:r>
      <w:r>
        <w:rPr>
          <w:rFonts w:ascii="Comic Sans MS" w:hAnsi="Comic Sans MS" w:cs="Comic Sans MS" w:eastAsia="Comic Sans MS"/>
          <w:b w:val="0"/>
          <w:i w:val="0"/>
          <w:color w:val="000000"/>
          <w:sz w:val="28"/>
        </w:rPr>
        <w:t xml:space="preserve"> It is not necessary for each component to meet the Option 1 limits. The permitted daily exposure in milligrams per day may instead be combined with the actual known maximum daily dose, using the same equation, to calculate the permitted concentration in the product. Such limits are acceptable provided it has been demonstrated that the residual solvent has been reduced to the practical minimum, and provided the limits are realistic in relation to analytical precision and manufacturing capability. Products administered in doses greater than 10 grams per day must be considered under Option 2.</w:t>
      </w:r>
    </w:p>
    <w:p>
      <w:pPr>
        <w:keepNext/>
        <w:spacing w:before="160" w:after="40"/>
      </w:pPr>
      <w:r>
        <w:rPr>
          <w:rFonts w:ascii="Comic Sans MS" w:hAnsi="Comic Sans MS" w:cs="Comic Sans MS" w:eastAsia="Comic Sans MS"/>
          <w:b/>
          <w:i w:val="0"/>
          <w:color w:val="000000"/>
          <w:sz w:val="28"/>
        </w:rPr>
        <w:t>1.10.4 Analytical Determination</w:t>
      </w:r>
    </w:p>
    <w:p>
      <w:pPr>
        <w:spacing w:after="160"/>
        <w:jc w:val="both"/>
      </w:pPr>
      <w:r>
        <w:rPr>
          <w:rFonts w:ascii="Comic Sans MS" w:hAnsi="Comic Sans MS" w:cs="Comic Sans MS" w:eastAsia="Comic Sans MS"/>
          <w:b w:val="0"/>
          <w:i w:val="0"/>
          <w:color w:val="000000"/>
          <w:sz w:val="28"/>
        </w:rPr>
        <w:t>Residual solvents are determined almost exclusively by gas chromatography, usually with a flame ionisation detector and static headspace sampling, which avoids injecting the non-volatile matrix onto the column. The compendial procedure of the United States Pharmacopeia general chapter on residual solvents, and the corresponding European Pharmacopoeia method, proceed in stages: an identification and limit test using two different columns of differing polarity, followed if necessary by quantification, with mass spectrometric confirmation where identity is in doubt. Water, dimethyl sulphoxide, dimethylformamide or a combination is used as the sample diluent depending on solubility, and the method must be validated for specificity, linearity, accuracy, precision, limit of detection and limit of quantitation.</w:t>
      </w:r>
    </w:p>
    <w:p>
      <w:pPr>
        <w:spacing w:after="160"/>
        <w:jc w:val="both"/>
      </w:pPr>
      <w:r>
        <w:rPr>
          <w:rFonts w:ascii="Comic Sans MS" w:hAnsi="Comic Sans MS" w:cs="Comic Sans MS" w:eastAsia="Comic Sans MS"/>
          <w:b w:val="0"/>
          <w:i w:val="0"/>
          <w:color w:val="000000"/>
          <w:sz w:val="28"/>
        </w:rPr>
        <w:t>Where the calculated cumulative level from all ingredients is below the limit, testing of the finished product need not be performed, and the level may be justified by calculation from the levels in the components.</w:t>
      </w:r>
    </w:p>
    <w:p>
      <w:pPr>
        <w:keepNext/>
        <w:spacing w:before="160" w:after="40"/>
      </w:pPr>
      <w:r>
        <w:rPr>
          <w:rFonts w:ascii="Comic Sans MS" w:hAnsi="Comic Sans MS" w:cs="Comic Sans MS" w:eastAsia="Comic Sans MS"/>
          <w:b/>
          <w:i w:val="0"/>
          <w:color w:val="000000"/>
          <w:sz w:val="28"/>
        </w:rPr>
        <w:t>1.11 Preformulation of Biotechnology-Derived Products</w:t>
      </w:r>
    </w:p>
    <w:p>
      <w:pPr>
        <w:keepNext/>
        <w:spacing w:before="160" w:after="40"/>
      </w:pPr>
      <w:r>
        <w:rPr>
          <w:rFonts w:ascii="Comic Sans MS" w:hAnsi="Comic Sans MS" w:cs="Comic Sans MS" w:eastAsia="Comic Sans MS"/>
          <w:b/>
          <w:i w:val="0"/>
          <w:color w:val="000000"/>
          <w:sz w:val="28"/>
        </w:rPr>
        <w:t>1.11.1 Why they are Different</w:t>
      </w:r>
    </w:p>
    <w:p>
      <w:pPr>
        <w:spacing w:after="160"/>
        <w:jc w:val="both"/>
      </w:pPr>
      <w:r>
        <w:rPr>
          <w:rFonts w:ascii="Comic Sans MS" w:hAnsi="Comic Sans MS" w:cs="Comic Sans MS" w:eastAsia="Comic Sans MS"/>
          <w:b w:val="0"/>
          <w:i w:val="0"/>
          <w:color w:val="000000"/>
          <w:sz w:val="28"/>
        </w:rPr>
        <w:t>Therapeutic proteins, peptides, monoclonal antibodies, enzymes, vaccines and nucleic acid products differ from small molecules in ways that dominate their preformulation: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They are large, structurally complex and heterogeneous, and their activity depends on the maintenance of a precise three-dimensional conformation (primary, secondary, tertiary and, for many, quaternary structure).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They are only marginally stable; the free energy difference between the folded, active state and the unfolded, inactive state is small, so modest changes in temperature, pH, ionic strength or interface can cause loss of activity.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They are surface active and adsorb to glass, plastic, stainless steel, filters and air-liquid interfaces, which can cause both loss of drug and denaturation.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They are susceptible to microbial contamination and cannot usually be terminally heat sterilised.</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They are almost always administered parenterally, because they are digested and poorly absorbed after oral administration, so the formulation must be sterile, isotonic and of acceptable pH.</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Their potency must be assessed by bioassay or immunoassay, and physicochemical assay alone is insufficient.</w:t>
      </w:r>
    </w:p>
    <w:p>
      <w:pPr>
        <w:keepNext/>
        <w:spacing w:before="160" w:after="40"/>
      </w:pPr>
      <w:r>
        <w:rPr>
          <w:rFonts w:ascii="Comic Sans MS" w:hAnsi="Comic Sans MS" w:cs="Comic Sans MS" w:eastAsia="Comic Sans MS"/>
          <w:b/>
          <w:i w:val="0"/>
          <w:color w:val="000000"/>
          <w:sz w:val="28"/>
        </w:rPr>
        <w:t>1.11.2 Degradation Pathways</w:t>
      </w:r>
    </w:p>
    <w:p>
      <w:pPr>
        <w:spacing w:after="160"/>
        <w:jc w:val="both"/>
      </w:pPr>
      <w:r>
        <w:rPr>
          <w:rFonts w:ascii="Comic Sans MS" w:hAnsi="Comic Sans MS" w:cs="Comic Sans MS" w:eastAsia="Comic Sans MS"/>
          <w:b/>
          <w:i w:val="0"/>
          <w:color w:val="000000"/>
          <w:sz w:val="28"/>
        </w:rPr>
        <w:t>Chemical degradation.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Deamidation</w:t>
      </w:r>
      <w:r>
        <w:rPr>
          <w:rFonts w:ascii="Comic Sans MS" w:hAnsi="Comic Sans MS" w:cs="Comic Sans MS" w:eastAsia="Comic Sans MS"/>
          <w:b w:val="0"/>
          <w:i w:val="0"/>
          <w:color w:val="000000"/>
          <w:sz w:val="28"/>
        </w:rPr>
        <w:t xml:space="preserve"> of asparagine and glutamine residues, the commonest chemical route, strongly pH dependent.</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Oxidation</w:t>
      </w:r>
      <w:r>
        <w:rPr>
          <w:rFonts w:ascii="Comic Sans MS" w:hAnsi="Comic Sans MS" w:cs="Comic Sans MS" w:eastAsia="Comic Sans MS"/>
          <w:b w:val="0"/>
          <w:i w:val="0"/>
          <w:color w:val="000000"/>
          <w:sz w:val="28"/>
        </w:rPr>
        <w:t xml:space="preserve"> of methionine, cysteine, tryptophan, histidine and tyrosine, catalysed by trace metals, peroxides, light and oxygen.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Hydrolysis</w:t>
      </w:r>
      <w:r>
        <w:rPr>
          <w:rFonts w:ascii="Comic Sans MS" w:hAnsi="Comic Sans MS" w:cs="Comic Sans MS" w:eastAsia="Comic Sans MS"/>
          <w:b w:val="0"/>
          <w:i w:val="0"/>
          <w:color w:val="000000"/>
          <w:sz w:val="28"/>
        </w:rPr>
        <w:t xml:space="preserve"> of peptide bonds, particularly at aspartic acid residues, and beta-elimination.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Disulphide bond formation, exchange and scrambling,</w:t>
      </w:r>
      <w:r>
        <w:rPr>
          <w:rFonts w:ascii="Comic Sans MS" w:hAnsi="Comic Sans MS" w:cs="Comic Sans MS" w:eastAsia="Comic Sans MS"/>
          <w:b w:val="0"/>
          <w:i w:val="0"/>
          <w:color w:val="000000"/>
          <w:sz w:val="28"/>
        </w:rPr>
        <w:t xml:space="preserve"> which alters the folded structure.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Racemisation and isomerisation,</w:t>
      </w:r>
      <w:r>
        <w:rPr>
          <w:rFonts w:ascii="Comic Sans MS" w:hAnsi="Comic Sans MS" w:cs="Comic Sans MS" w:eastAsia="Comic Sans MS"/>
          <w:b w:val="0"/>
          <w:i w:val="0"/>
          <w:color w:val="000000"/>
          <w:sz w:val="28"/>
        </w:rPr>
        <w:t xml:space="preserve"> including succinimide formation.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Maillard reaction</w:t>
      </w:r>
      <w:r>
        <w:rPr>
          <w:rFonts w:ascii="Comic Sans MS" w:hAnsi="Comic Sans MS" w:cs="Comic Sans MS" w:eastAsia="Comic Sans MS"/>
          <w:b w:val="0"/>
          <w:i w:val="0"/>
          <w:color w:val="000000"/>
          <w:sz w:val="28"/>
        </w:rPr>
        <w:t xml:space="preserve"> with reducing sugars used as excipients, a specific reason for preferring non-reducing sugars such as sucrose and trehalose.</w:t>
      </w:r>
    </w:p>
    <w:p>
      <w:pPr>
        <w:spacing w:after="160"/>
        <w:jc w:val="both"/>
      </w:pPr>
      <w:r>
        <w:rPr>
          <w:rFonts w:ascii="Comic Sans MS" w:hAnsi="Comic Sans MS" w:cs="Comic Sans MS" w:eastAsia="Comic Sans MS"/>
          <w:b/>
          <w:i w:val="0"/>
          <w:color w:val="000000"/>
          <w:sz w:val="28"/>
        </w:rPr>
        <w:t>Physical degradation.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Denaturation,</w:t>
      </w:r>
      <w:r>
        <w:rPr>
          <w:rFonts w:ascii="Comic Sans MS" w:hAnsi="Comic Sans MS" w:cs="Comic Sans MS" w:eastAsia="Comic Sans MS"/>
          <w:b w:val="0"/>
          <w:i w:val="0"/>
          <w:color w:val="000000"/>
          <w:sz w:val="28"/>
        </w:rPr>
        <w:t xml:space="preserve"> the loss of higher-order structure, caused by heat, extremes of pH, organic solvents, chaotropic agents, shear and interfaces; sometimes reversible, often not.</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Aggregation,</w:t>
      </w:r>
      <w:r>
        <w:rPr>
          <w:rFonts w:ascii="Comic Sans MS" w:hAnsi="Comic Sans MS" w:cs="Comic Sans MS" w:eastAsia="Comic Sans MS"/>
          <w:b w:val="0"/>
          <w:i w:val="0"/>
          <w:color w:val="000000"/>
          <w:sz w:val="28"/>
        </w:rPr>
        <w:t xml:space="preserve"> the association of molecules into dimers, higher oligomers, soluble aggregates and visible particulates. It is the single most important physical instability, because aggregates may be inactive and, more seriously, immunogenic.</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Precipitation,</w:t>
      </w:r>
      <w:r>
        <w:rPr>
          <w:rFonts w:ascii="Comic Sans MS" w:hAnsi="Comic Sans MS" w:cs="Comic Sans MS" w:eastAsia="Comic Sans MS"/>
          <w:b w:val="0"/>
          <w:i w:val="0"/>
          <w:color w:val="000000"/>
          <w:sz w:val="28"/>
        </w:rPr>
        <w:t xml:space="preserve"> typically near the isoelectric point where net charge and hence electrostatic repulsion is minimal.</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Surface adsorption</w:t>
      </w:r>
      <w:r>
        <w:rPr>
          <w:rFonts w:ascii="Comic Sans MS" w:hAnsi="Comic Sans MS" w:cs="Comic Sans MS" w:eastAsia="Comic Sans MS"/>
          <w:b w:val="0"/>
          <w:i w:val="0"/>
          <w:color w:val="000000"/>
          <w:sz w:val="28"/>
        </w:rPr>
        <w:t xml:space="preserve"> onto containers, closures, filters and tubing.</w:t>
      </w:r>
    </w:p>
    <w:p>
      <w:pPr>
        <w:keepNext/>
        <w:spacing w:before="160" w:after="40"/>
      </w:pPr>
      <w:r>
        <w:rPr>
          <w:rFonts w:ascii="Comic Sans MS" w:hAnsi="Comic Sans MS" w:cs="Comic Sans MS" w:eastAsia="Comic Sans MS"/>
          <w:b/>
          <w:i w:val="0"/>
          <w:color w:val="000000"/>
          <w:sz w:val="28"/>
        </w:rPr>
        <w:t>1.11.3 Preformulation Studies Performed</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Characterisation of the molecule.</w:t>
      </w:r>
      <w:r>
        <w:rPr>
          <w:rFonts w:ascii="Comic Sans MS" w:hAnsi="Comic Sans MS" w:cs="Comic Sans MS" w:eastAsia="Comic Sans MS"/>
          <w:b w:val="0"/>
          <w:i w:val="0"/>
          <w:color w:val="000000"/>
          <w:sz w:val="28"/>
        </w:rPr>
        <w:t xml:space="preserve"> Primary structure and peptide mapping, molecular mass, isoelectric point, extinction coefficient, carbohydrate structure and other post-translational modifications, and disulphide linkage.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pH-stability profile.</w:t>
      </w:r>
      <w:r>
        <w:rPr>
          <w:rFonts w:ascii="Comic Sans MS" w:hAnsi="Comic Sans MS" w:cs="Comic Sans MS" w:eastAsia="Comic Sans MS"/>
          <w:b w:val="0"/>
          <w:i w:val="0"/>
          <w:color w:val="000000"/>
          <w:sz w:val="28"/>
        </w:rPr>
        <w:t xml:space="preserve"> Conformational and chemical stability are measured across a range of pH values, and the pH of maximum stability is identified. This frequently differs from the pH of maximum solubility, and a compromise must be struck.</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Thermal stability.</w:t>
      </w:r>
      <w:r>
        <w:rPr>
          <w:rFonts w:ascii="Comic Sans MS" w:hAnsi="Comic Sans MS" w:cs="Comic Sans MS" w:eastAsia="Comic Sans MS"/>
          <w:b w:val="0"/>
          <w:i w:val="0"/>
          <w:color w:val="000000"/>
          <w:sz w:val="28"/>
        </w:rPr>
        <w:t xml:space="preserve"> The melting or unfolding transition temperature, Tm, is measured by differential scanning calorimetry; a higher Tm generally indicates a more robust molecule. For lyophilised products, the glass transition temperature of the maximally freeze-concentrated solution, Tg prime, and the collapse temperature are determined by modulated DSC and freeze-drying microscopy, since the primary drying temperature must be kept below them.</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Solubility and the effect of ionic strength and excipients,</w:t>
      </w:r>
      <w:r>
        <w:rPr>
          <w:rFonts w:ascii="Comic Sans MS" w:hAnsi="Comic Sans MS" w:cs="Comic Sans MS" w:eastAsia="Comic Sans MS"/>
          <w:b w:val="0"/>
          <w:i w:val="0"/>
          <w:color w:val="000000"/>
          <w:sz w:val="28"/>
        </w:rPr>
        <w:t xml:space="preserve"> including the identification of any salting-in or salting-out behaviour.</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Aggregation propensity,</w:t>
      </w:r>
      <w:r>
        <w:rPr>
          <w:rFonts w:ascii="Comic Sans MS" w:hAnsi="Comic Sans MS" w:cs="Comic Sans MS" w:eastAsia="Comic Sans MS"/>
          <w:b w:val="0"/>
          <w:i w:val="0"/>
          <w:color w:val="000000"/>
          <w:sz w:val="28"/>
        </w:rPr>
        <w:t xml:space="preserve"> studied by size exclusion chromatography, analytical ultracentrifugation, dynamic and static light scattering, field-flow fractionation, and sub-visible particle counting.</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Conformational analysis</w:t>
      </w:r>
      <w:r>
        <w:rPr>
          <w:rFonts w:ascii="Comic Sans MS" w:hAnsi="Comic Sans MS" w:cs="Comic Sans MS" w:eastAsia="Comic Sans MS"/>
          <w:b w:val="0"/>
          <w:i w:val="0"/>
          <w:color w:val="000000"/>
          <w:sz w:val="28"/>
        </w:rPr>
        <w:t xml:space="preserve"> by circular dichroism, fluorescence spectroscopy, Fourier transform infrared spectroscopy and, where possible, nuclear magnetic resonance.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Forced degradation</w:t>
      </w:r>
      <w:r>
        <w:rPr>
          <w:rFonts w:ascii="Comic Sans MS" w:hAnsi="Comic Sans MS" w:cs="Comic Sans MS" w:eastAsia="Comic Sans MS"/>
          <w:b w:val="0"/>
          <w:i w:val="0"/>
          <w:color w:val="000000"/>
          <w:sz w:val="28"/>
        </w:rPr>
        <w:t xml:space="preserve"> under thermal, oxidative, photolytic, freeze-thaw, agitation and shear stress, to establish degradation pathways and to demonstrate that the analytical methods are stability indicating.</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Excipient screening.</w:t>
      </w:r>
      <w:r>
        <w:rPr>
          <w:rFonts w:ascii="Comic Sans MS" w:hAnsi="Comic Sans MS" w:cs="Comic Sans MS" w:eastAsia="Comic Sans MS"/>
          <w:b w:val="0"/>
          <w:i w:val="0"/>
          <w:color w:val="000000"/>
          <w:sz w:val="28"/>
        </w:rPr>
        <w:t xml:space="preserve"> Buffers (acetate, citrate, histidine, phosphate, succinate, tris); tonicity modifiers (sodium chloride, mannitol, glycerol); stabilisers and cryoprotectants or lyoprotectants (sucrose, trehalose, mannitol, glycine, amino acids); surfactants to suppress interfacial denaturation and adsorption (polysorbate 20 and 80, poloxamer 188); antioxidants and metal chelators; and preservatives for multidose presentations (benzyl alcohol, metacresol, phenol), which must themselves be checked for their effect on aggregation.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Container closure and device compatibility,</w:t>
      </w:r>
      <w:r>
        <w:rPr>
          <w:rFonts w:ascii="Comic Sans MS" w:hAnsi="Comic Sans MS" w:cs="Comic Sans MS" w:eastAsia="Comic Sans MS"/>
          <w:b w:val="0"/>
          <w:i w:val="0"/>
          <w:color w:val="000000"/>
          <w:sz w:val="28"/>
        </w:rPr>
        <w:t xml:space="preserve"> including extractables and leachables, silicone oil from prefilled syringes, tungsten residues, and adsorption to the container surface.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Freeze-thaw and agitation studies,</w:t>
      </w:r>
      <w:r>
        <w:rPr>
          <w:rFonts w:ascii="Comic Sans MS" w:hAnsi="Comic Sans MS" w:cs="Comic Sans MS" w:eastAsia="Comic Sans MS"/>
          <w:b w:val="0"/>
          <w:i w:val="0"/>
          <w:color w:val="000000"/>
          <w:sz w:val="28"/>
        </w:rPr>
        <w:t xml:space="preserve"> reflecting real handling and transport.</w:t>
      </w:r>
    </w:p>
    <w:p>
      <w:pPr>
        <w:keepNext/>
        <w:spacing w:before="160" w:after="40"/>
      </w:pPr>
      <w:r>
        <w:rPr>
          <w:rFonts w:ascii="Comic Sans MS" w:hAnsi="Comic Sans MS" w:cs="Comic Sans MS" w:eastAsia="Comic Sans MS"/>
          <w:b/>
          <w:i w:val="0"/>
          <w:color w:val="000000"/>
          <w:sz w:val="28"/>
        </w:rPr>
        <w:t>1.11.4 Formulation Strategies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Selection of the pH of maximum stability with a buffer of low concentration, chosen to avoid pH shifts on freezing (phosphate buffers are avoided in frozen products because selective crystallisation of the dibasic salt causes a large pH drop).</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Addition of sugars and polyols, which stabilise by preferential exclusion in solution and by water substitution and vitrification in the dried state.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Addition of non-ionic surfactants at low levels to prevent interfacial and adsorptive losses.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Lyophilisation where an aqueous solution is insufficiently stable, with an amorphous stabiliser to keep the protein in a rigid glassy matrix, and a defined residual moisture specification.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Control of oxygen, light and trace metals; use of inert headspace.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Selection of container closure systems and of siliconisation and coating strategies that minimise adsorption and particulate formation.</w:t>
      </w:r>
    </w:p>
    <w:p>
      <w:pPr>
        <w:keepNext/>
        <w:spacing w:before="160" w:after="40"/>
      </w:pPr>
      <w:r>
        <w:rPr>
          <w:rFonts w:ascii="Comic Sans MS" w:hAnsi="Comic Sans MS" w:cs="Comic Sans MS" w:eastAsia="Comic Sans MS"/>
          <w:b/>
          <w:i w:val="0"/>
          <w:color w:val="000000"/>
          <w:sz w:val="28"/>
        </w:rPr>
        <w:t>1.11.5 Reference Guidelines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ICH Q6B</w:t>
      </w:r>
      <w:r>
        <w:rPr>
          <w:rFonts w:ascii="Comic Sans MS" w:hAnsi="Comic Sans MS" w:cs="Comic Sans MS" w:eastAsia="Comic Sans MS"/>
          <w:b w:val="0"/>
          <w:i w:val="0"/>
          <w:color w:val="000000"/>
          <w:sz w:val="28"/>
        </w:rPr>
        <w:t xml:space="preserve"> - Specifications: test procedures and acceptance criteria for biotechnological and biological products. The central guideline for characterisation and specification setting.</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ICH Q5C</w:t>
      </w:r>
      <w:r>
        <w:rPr>
          <w:rFonts w:ascii="Comic Sans MS" w:hAnsi="Comic Sans MS" w:cs="Comic Sans MS" w:eastAsia="Comic Sans MS"/>
          <w:b w:val="0"/>
          <w:i w:val="0"/>
          <w:color w:val="000000"/>
          <w:sz w:val="28"/>
        </w:rPr>
        <w:t xml:space="preserve"> - Stability testing of biotechnological and biological products. Recognises that these products require product-specific protocols, real-time real-condition data, potency assays, and that accelerated data alone cannot be used to extrapolate shelf life.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ICH Q5A, Q5B, Q5D and Q5E</w:t>
      </w:r>
      <w:r>
        <w:rPr>
          <w:rFonts w:ascii="Comic Sans MS" w:hAnsi="Comic Sans MS" w:cs="Comic Sans MS" w:eastAsia="Comic Sans MS"/>
          <w:b w:val="0"/>
          <w:i w:val="0"/>
          <w:color w:val="000000"/>
          <w:sz w:val="28"/>
        </w:rPr>
        <w:t xml:space="preserve"> - viral safety, analysis of the expression construct, cell substrate derivation and characterisation, and comparability after manufacturing changes.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ICH Q8, Q9, Q10 and Q11</w:t>
      </w:r>
      <w:r>
        <w:rPr>
          <w:rFonts w:ascii="Comic Sans MS" w:hAnsi="Comic Sans MS" w:cs="Comic Sans MS" w:eastAsia="Comic Sans MS"/>
          <w:b w:val="0"/>
          <w:i w:val="0"/>
          <w:color w:val="000000"/>
          <w:sz w:val="28"/>
        </w:rPr>
        <w:t xml:space="preserve"> - pharmaceutical development, quality risk management, pharmaceutical quality system, and development and manufacture of drug substances, providing the quality-by-design framework.</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ICH Q1A(R2) and Q1B</w:t>
      </w:r>
      <w:r>
        <w:rPr>
          <w:rFonts w:ascii="Comic Sans MS" w:hAnsi="Comic Sans MS" w:cs="Comic Sans MS" w:eastAsia="Comic Sans MS"/>
          <w:b w:val="0"/>
          <w:i w:val="0"/>
          <w:color w:val="000000"/>
          <w:sz w:val="28"/>
        </w:rPr>
        <w:t xml:space="preserve"> - general stability and photostability principles, applied with the modifications of Q5C.</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WHO Technical Report Series guidelines</w:t>
      </w:r>
      <w:r>
        <w:rPr>
          <w:rFonts w:ascii="Comic Sans MS" w:hAnsi="Comic Sans MS" w:cs="Comic Sans MS" w:eastAsia="Comic Sans MS"/>
          <w:b w:val="0"/>
          <w:i w:val="0"/>
          <w:color w:val="000000"/>
          <w:sz w:val="28"/>
        </w:rPr>
        <w:t xml:space="preserve"> on the evaluation of biotherapeutic protein products and of similar biotherapeutic products, and the corresponding </w:t>
      </w:r>
      <w:r>
        <w:rPr>
          <w:rFonts w:ascii="Comic Sans MS" w:hAnsi="Comic Sans MS" w:cs="Comic Sans MS" w:eastAsia="Comic Sans MS"/>
          <w:b/>
          <w:i w:val="0"/>
          <w:color w:val="000000"/>
          <w:sz w:val="28"/>
        </w:rPr>
        <w:t>CDSCO and Department of Biotechnology Guidelines on Similar Biologics</w:t>
      </w:r>
      <w:r>
        <w:rPr>
          <w:rFonts w:ascii="Comic Sans MS" w:hAnsi="Comic Sans MS" w:cs="Comic Sans MS" w:eastAsia="Comic Sans MS"/>
          <w:b w:val="0"/>
          <w:i w:val="0"/>
          <w:color w:val="000000"/>
          <w:sz w:val="28"/>
        </w:rPr>
        <w:t xml:space="preserve"> in India.</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Pharmacopoeial general chapters on biotechnology-derived articles in the Indian, United States and European Pharmacopoeias.</w:t>
      </w:r>
    </w:p>
    <w:p>
      <w:pPr>
        <w:keepNext/>
        <w:spacing w:before="160" w:after="40"/>
      </w:pPr>
      <w:r>
        <w:rPr>
          <w:rFonts w:ascii="Comic Sans MS" w:hAnsi="Comic Sans MS" w:cs="Comic Sans MS" w:eastAsia="Comic Sans MS"/>
          <w:b/>
          <w:i w:val="0"/>
          <w:color w:val="000000"/>
          <w:sz w:val="28"/>
        </w:rPr>
        <w:t>1.12 Summary of Unit I</w:t>
      </w:r>
    </w:p>
    <w:p>
      <w:pPr>
        <w:spacing w:after="160"/>
        <w:jc w:val="both"/>
      </w:pPr>
      <w:r>
        <w:rPr>
          <w:rFonts w:ascii="Comic Sans MS" w:hAnsi="Comic Sans MS" w:cs="Comic Sans MS" w:eastAsia="Comic Sans MS"/>
          <w:b w:val="0"/>
          <w:i w:val="0"/>
          <w:color w:val="000000"/>
          <w:sz w:val="28"/>
        </w:rPr>
        <w:t>Preformulation converts an unknown molecule into a characterised material about which rational formulation decisions can be made. Its physical arm defines solubility, pKa, partition coefficient, particle size, density, flow, melting behaviour and hygroscopicity; its chemical arm defines the degradation pathways and the conditions that suppress them; its solid-state arm defines crystallinity, polymorphism and compaction behaviour; and its analytical arm, principally DSC, DTA, thermogravimetry, X-ray diffraction and infrared spectroscopy, provides the evidence. Compatibility studies then narrow the excipient choice, residual solvent control ensures toxicological acceptability, and, for biotechnology-derived products, the whole exercise is reoriented around the preservation of three-dimensional structure. Time and material invested at this stage are repaid many times over in the speed and reliability of the development that follows.</w:t>
      </w:r>
    </w:p>
    <w:p>
      <w:r>
        <w:br w:type="page"/>
      </w:r>
    </w:p>
    <w:p>
      <w:pPr>
        <w:keepNext/>
        <w:spacing w:before="200" w:after="120" w:line="540" w:lineRule="exact"/>
        <w:jc w:val="both"/>
      </w:pPr>
      <w:r>
        <w:rPr>
          <w:rFonts w:ascii="Comic Sans MS" w:hAnsi="Comic Sans MS" w:cs="Comic Sans MS" w:eastAsia="Comic Sans MS"/>
          <w:b/>
          <w:i w:val="0"/>
          <w:color w:val="FF0000"/>
          <w:sz w:val="36"/>
        </w:rPr>
        <w:t>Unit II - Dissolution Study</w:t>
      </w:r>
    </w:p>
    <w:p>
      <w:pPr>
        <w:keepNext/>
        <w:spacing w:before="160" w:after="40"/>
      </w:pPr>
      <w:r>
        <w:rPr>
          <w:rFonts w:ascii="Comic Sans MS" w:hAnsi="Comic Sans MS" w:cs="Comic Sans MS" w:eastAsia="Comic Sans MS"/>
          <w:b/>
          <w:i w:val="0"/>
          <w:color w:val="000000"/>
          <w:sz w:val="28"/>
        </w:rPr>
        <w:t>2.1 Introduction and Definitions</w:t>
      </w:r>
    </w:p>
    <w:p>
      <w:pPr>
        <w:spacing w:after="160"/>
        <w:jc w:val="both"/>
      </w:pPr>
      <w:r>
        <w:rPr>
          <w:rFonts w:ascii="Comic Sans MS" w:hAnsi="Comic Sans MS" w:cs="Comic Sans MS" w:eastAsia="Comic Sans MS"/>
          <w:b/>
          <w:i w:val="0"/>
          <w:color w:val="000000"/>
          <w:sz w:val="28"/>
        </w:rPr>
        <w:t>Dissolution</w:t>
      </w:r>
      <w:r>
        <w:rPr>
          <w:rFonts w:ascii="Comic Sans MS" w:hAnsi="Comic Sans MS" w:cs="Comic Sans MS" w:eastAsia="Comic Sans MS"/>
          <w:b w:val="0"/>
          <w:i w:val="0"/>
          <w:color w:val="000000"/>
          <w:sz w:val="28"/>
        </w:rPr>
        <w:t xml:space="preserve"> is the process by which a solid substance enters the solvent phase to form a solution. For a drug administered in a solid dosage form, dissolution is the step in which the drug leaves the dosage form and passes into solution in the gastrointestinal fluids, and it is a prerequisite for absorption, because only dissolved drug can cross the intestinal membrane.</w:t>
      </w:r>
    </w:p>
    <w:p>
      <w:pPr>
        <w:spacing w:after="160"/>
        <w:jc w:val="both"/>
      </w:pPr>
      <w:r>
        <w:rPr>
          <w:rFonts w:ascii="Comic Sans MS" w:hAnsi="Comic Sans MS" w:cs="Comic Sans MS" w:eastAsia="Comic Sans MS"/>
          <w:b/>
          <w:i w:val="0"/>
          <w:color w:val="000000"/>
          <w:sz w:val="28"/>
        </w:rPr>
        <w:t>Dissolution rate</w:t>
      </w:r>
      <w:r>
        <w:rPr>
          <w:rFonts w:ascii="Comic Sans MS" w:hAnsi="Comic Sans MS" w:cs="Comic Sans MS" w:eastAsia="Comic Sans MS"/>
          <w:b w:val="0"/>
          <w:i w:val="0"/>
          <w:color w:val="000000"/>
          <w:sz w:val="28"/>
        </w:rPr>
        <w:t xml:space="preserve"> is the amount of drug that dissolves in unit time under standardised conditions of liquid-solid interface, temperature and solvent composition.</w:t>
      </w:r>
    </w:p>
    <w:p>
      <w:pPr>
        <w:spacing w:after="160"/>
        <w:jc w:val="both"/>
      </w:pPr>
      <w:r>
        <w:rPr>
          <w:rFonts w:ascii="Comic Sans MS" w:hAnsi="Comic Sans MS" w:cs="Comic Sans MS" w:eastAsia="Comic Sans MS"/>
          <w:b/>
          <w:i w:val="0"/>
          <w:color w:val="000000"/>
          <w:sz w:val="28"/>
        </w:rPr>
        <w:t>Intrinsic dissolution rate</w:t>
      </w:r>
      <w:r>
        <w:rPr>
          <w:rFonts w:ascii="Comic Sans MS" w:hAnsi="Comic Sans MS" w:cs="Comic Sans MS" w:eastAsia="Comic Sans MS"/>
          <w:b w:val="0"/>
          <w:i w:val="0"/>
          <w:color w:val="000000"/>
          <w:sz w:val="28"/>
        </w:rPr>
        <w:t xml:space="preserve"> is the dissolution rate of a pure drug substance measured from a constant surface area, usually a compressed non-disintegrating disc, and is expressed in milligrams per minute per square centimetre. Because the surface area is fixed, the intrinsic dissolution rate is a property of the drug substance itself and is used to compare salts, polymorphs and particle engineering strategies.</w:t>
      </w:r>
    </w:p>
    <w:p>
      <w:pPr>
        <w:spacing w:after="160"/>
        <w:jc w:val="both"/>
      </w:pPr>
      <w:r>
        <w:rPr>
          <w:rFonts w:ascii="Comic Sans MS" w:hAnsi="Comic Sans MS" w:cs="Comic Sans MS" w:eastAsia="Comic Sans MS"/>
          <w:b w:val="0"/>
          <w:i w:val="0"/>
          <w:color w:val="000000"/>
          <w:sz w:val="28"/>
        </w:rPr>
        <w:t xml:space="preserve">For an immediate-release solid dosage form, absorption may be limited either by the rate of dissolution or by the rate of permeation across the gut wall. When dissolution is the slower of the two steps, absorption is said to be </w:t>
      </w:r>
      <w:r>
        <w:rPr>
          <w:rFonts w:ascii="Comic Sans MS" w:hAnsi="Comic Sans MS" w:cs="Comic Sans MS" w:eastAsia="Comic Sans MS"/>
          <w:b/>
          <w:i w:val="0"/>
          <w:color w:val="000000"/>
          <w:sz w:val="28"/>
        </w:rPr>
        <w:t>dissolution rate limited</w:t>
      </w:r>
      <w:r>
        <w:rPr>
          <w:rFonts w:ascii="Comic Sans MS" w:hAnsi="Comic Sans MS" w:cs="Comic Sans MS" w:eastAsia="Comic Sans MS"/>
          <w:b w:val="0"/>
          <w:i w:val="0"/>
          <w:color w:val="000000"/>
          <w:sz w:val="28"/>
        </w:rPr>
        <w:t>, and in that situation the dissolution test becomes the single most informative in vitro test that can be performed on the product.</w:t>
      </w:r>
    </w:p>
    <w:p>
      <w:pPr>
        <w:keepNext/>
        <w:spacing w:before="160" w:after="40"/>
      </w:pPr>
      <w:r>
        <w:rPr>
          <w:rFonts w:ascii="Comic Sans MS" w:hAnsi="Comic Sans MS" w:cs="Comic Sans MS" w:eastAsia="Comic Sans MS"/>
          <w:b/>
          <w:i w:val="0"/>
          <w:color w:val="000000"/>
          <w:sz w:val="28"/>
        </w:rPr>
        <w:t>2.2 Theoretical Basis of Dissolution</w:t>
      </w:r>
    </w:p>
    <w:p>
      <w:pPr>
        <w:keepNext/>
        <w:spacing w:before="160" w:after="40"/>
      </w:pPr>
      <w:r>
        <w:rPr>
          <w:rFonts w:ascii="Comic Sans MS" w:hAnsi="Comic Sans MS" w:cs="Comic Sans MS" w:eastAsia="Comic Sans MS"/>
          <w:b/>
          <w:i w:val="0"/>
          <w:color w:val="000000"/>
          <w:sz w:val="28"/>
        </w:rPr>
        <w:t>2.2.1 The Noyes-Whitney Equation</w:t>
      </w:r>
    </w:p>
    <w:p>
      <w:pPr>
        <w:spacing w:after="160"/>
        <w:jc w:val="both"/>
      </w:pPr>
      <w:r>
        <w:rPr>
          <w:rFonts w:ascii="Comic Sans MS" w:hAnsi="Comic Sans MS" w:cs="Comic Sans MS" w:eastAsia="Comic Sans MS"/>
          <w:b w:val="0"/>
          <w:i w:val="0"/>
          <w:color w:val="000000"/>
          <w:sz w:val="28"/>
        </w:rPr>
        <w:t>Noyes and Whitney observed in 1897 that the rate of dissolution of a solid is proportional to the difference between the concentration of the saturated solution and the concentration existing at any time. In its elementary form:</w:t>
      </w:r>
    </w:p>
    <w:p>
      <w:pPr>
        <w:spacing w:after="160"/>
        <w:jc w:val="both"/>
      </w:pPr>
      <w:r>
        <w:rPr>
          <w:rFonts w:ascii="Comic Sans MS" w:hAnsi="Comic Sans MS" w:cs="Comic Sans MS" w:eastAsia="Comic Sans MS"/>
          <w:b/>
          <w:i w:val="0"/>
          <w:color w:val="000000"/>
          <w:sz w:val="28"/>
        </w:rPr>
        <w:t>dC/dt = K (Cs - Ct)</w:t>
      </w:r>
    </w:p>
    <w:p>
      <w:pPr>
        <w:spacing w:after="160"/>
        <w:jc w:val="both"/>
      </w:pPr>
      <w:r>
        <w:rPr>
          <w:rFonts w:ascii="Comic Sans MS" w:hAnsi="Comic Sans MS" w:cs="Comic Sans MS" w:eastAsia="Comic Sans MS"/>
          <w:b w:val="0"/>
          <w:i w:val="0"/>
          <w:color w:val="000000"/>
          <w:sz w:val="28"/>
        </w:rPr>
        <w:t>where dC/dt is the dissolution rate, Cs is the saturation solubility of the drug in the dissolution medium, Ct is the concentration in the bulk at time t, and K is a constant.</w:t>
      </w:r>
    </w:p>
    <w:p>
      <w:pPr>
        <w:keepNext/>
        <w:spacing w:before="160" w:after="40"/>
      </w:pPr>
      <w:r>
        <w:rPr>
          <w:rFonts w:ascii="Comic Sans MS" w:hAnsi="Comic Sans MS" w:cs="Comic Sans MS" w:eastAsia="Comic Sans MS"/>
          <w:b/>
          <w:i w:val="0"/>
          <w:color w:val="000000"/>
          <w:sz w:val="28"/>
        </w:rPr>
        <w:t>2.2.2 The Nernst-Brunner Modification</w:t>
      </w:r>
    </w:p>
    <w:p>
      <w:pPr>
        <w:spacing w:after="160"/>
        <w:jc w:val="both"/>
      </w:pPr>
      <w:r>
        <w:rPr>
          <w:rFonts w:ascii="Comic Sans MS" w:hAnsi="Comic Sans MS" w:cs="Comic Sans MS" w:eastAsia="Comic Sans MS"/>
          <w:b w:val="0"/>
          <w:i w:val="0"/>
          <w:color w:val="000000"/>
          <w:sz w:val="28"/>
        </w:rPr>
        <w:t>Nernst and Brunner incorporated the concept of a stagnant diffusion layer of thickness h adhering to the solid surface, and applied Fick's first law of diffusion, giving the form in which the equation is normally used:</w:t>
      </w:r>
    </w:p>
    <w:p>
      <w:pPr>
        <w:spacing w:after="160"/>
        <w:jc w:val="both"/>
      </w:pPr>
      <w:r>
        <w:rPr>
          <w:rFonts w:ascii="Comic Sans MS" w:hAnsi="Comic Sans MS" w:cs="Comic Sans MS" w:eastAsia="Comic Sans MS"/>
          <w:b/>
          <w:i w:val="0"/>
          <w:color w:val="000000"/>
          <w:sz w:val="28"/>
        </w:rPr>
        <w:t>dC/dt = (D A / V h)(Cs - Ct)</w:t>
      </w:r>
    </w:p>
    <w:p>
      <w:pPr>
        <w:spacing w:after="160"/>
        <w:jc w:val="both"/>
      </w:pPr>
      <w:r>
        <w:rPr>
          <w:rFonts w:ascii="Comic Sans MS" w:hAnsi="Comic Sans MS" w:cs="Comic Sans MS" w:eastAsia="Comic Sans MS"/>
          <w:b w:val="0"/>
          <w:i w:val="0"/>
          <w:color w:val="000000"/>
          <w:sz w:val="28"/>
        </w:rPr>
        <w:t>where D is the diffusion coefficient of the drug in the medium, A is the effective surface area of the dissolving solid, V is the volume of the dissolution medium and h is the thickness of the diffusion layer. The term D/h is often replaced by the intrinsic dissolution rate constant.</w:t>
      </w:r>
    </w:p>
    <w:p>
      <w:pPr>
        <w:spacing w:after="160"/>
        <w:jc w:val="both"/>
      </w:pPr>
      <w:r>
        <w:rPr>
          <w:rFonts w:ascii="Comic Sans MS" w:hAnsi="Comic Sans MS" w:cs="Comic Sans MS" w:eastAsia="Comic Sans MS"/>
          <w:b/>
          <w:i w:val="0"/>
          <w:color w:val="000000"/>
          <w:sz w:val="28"/>
        </w:rPr>
        <w:t>Sink conditions</w:t>
      </w:r>
      <w:r>
        <w:rPr>
          <w:rFonts w:ascii="Comic Sans MS" w:hAnsi="Comic Sans MS" w:cs="Comic Sans MS" w:eastAsia="Comic Sans MS"/>
          <w:b w:val="0"/>
          <w:i w:val="0"/>
          <w:color w:val="000000"/>
          <w:sz w:val="28"/>
        </w:rPr>
        <w:t xml:space="preserve"> exist when Ct is very much smaller than Cs, conventionally when the bulk concentration does not exceed about one third, and preferably one tenth, of the saturation solubility. Under sink conditions the term (Cs - Ct) approximates to Cs, the driving force becomes constant, and the dissolution rate is at its maximum and is independent of the amount already dissolved. Dissolution tests are deliberately designed to operate under sink conditions so that the test reflects the properties of the dosage form rather than the approach to saturation.</w:t>
      </w:r>
    </w:p>
    <w:p>
      <w:pPr>
        <w:keepNext/>
        <w:spacing w:before="160" w:after="40"/>
      </w:pPr>
      <w:r>
        <w:rPr>
          <w:rFonts w:ascii="Comic Sans MS" w:hAnsi="Comic Sans MS" w:cs="Comic Sans MS" w:eastAsia="Comic Sans MS"/>
          <w:b/>
          <w:i w:val="0"/>
          <w:color w:val="000000"/>
          <w:sz w:val="28"/>
        </w:rPr>
        <w:t>2.2.3 Factors Governing Dissolution Rate, Derived from the Equation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Surface area (A).</w:t>
      </w:r>
      <w:r>
        <w:rPr>
          <w:rFonts w:ascii="Comic Sans MS" w:hAnsi="Comic Sans MS" w:cs="Comic Sans MS" w:eastAsia="Comic Sans MS"/>
          <w:b w:val="0"/>
          <w:i w:val="0"/>
          <w:color w:val="000000"/>
          <w:sz w:val="28"/>
        </w:rPr>
        <w:t xml:space="preserve"> Increased by particle size reduction, micronisation, nanonisation and by improved wetting. This is the most commonly exploited variable.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Saturation solubility (Cs).</w:t>
      </w:r>
      <w:r>
        <w:rPr>
          <w:rFonts w:ascii="Comic Sans MS" w:hAnsi="Comic Sans MS" w:cs="Comic Sans MS" w:eastAsia="Comic Sans MS"/>
          <w:b w:val="0"/>
          <w:i w:val="0"/>
          <w:color w:val="000000"/>
          <w:sz w:val="28"/>
        </w:rPr>
        <w:t xml:space="preserve"> Increased by salt formation, by selecting a metastable polymorph or the amorphous form, by complexation, by solid dispersion, by cosolvency and by adjusting the pH of the microenvironment.</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Diffusion coefficient (D).</w:t>
      </w:r>
      <w:r>
        <w:rPr>
          <w:rFonts w:ascii="Comic Sans MS" w:hAnsi="Comic Sans MS" w:cs="Comic Sans MS" w:eastAsia="Comic Sans MS"/>
          <w:b w:val="0"/>
          <w:i w:val="0"/>
          <w:color w:val="000000"/>
          <w:sz w:val="28"/>
        </w:rPr>
        <w:t xml:space="preserve"> Decreases as the viscosity of the medium increases; relevant where viscosity-enhancing excipients or food effects are involved.</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Diffusion layer thickness (h).</w:t>
      </w:r>
      <w:r>
        <w:rPr>
          <w:rFonts w:ascii="Comic Sans MS" w:hAnsi="Comic Sans MS" w:cs="Comic Sans MS" w:eastAsia="Comic Sans MS"/>
          <w:b w:val="0"/>
          <w:i w:val="0"/>
          <w:color w:val="000000"/>
          <w:sz w:val="28"/>
        </w:rPr>
        <w:t xml:space="preserve"> Decreased by increasing agitation, which is why hydrodynamics and stirring rate are critical test variables.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Volume of medium (V).</w:t>
      </w:r>
      <w:r>
        <w:rPr>
          <w:rFonts w:ascii="Comic Sans MS" w:hAnsi="Comic Sans MS" w:cs="Comic Sans MS" w:eastAsia="Comic Sans MS"/>
          <w:b w:val="0"/>
          <w:i w:val="0"/>
          <w:color w:val="000000"/>
          <w:sz w:val="28"/>
        </w:rPr>
        <w:t xml:space="preserve"> A larger volume maintains sink conditions.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Temperature.</w:t>
      </w:r>
      <w:r>
        <w:rPr>
          <w:rFonts w:ascii="Comic Sans MS" w:hAnsi="Comic Sans MS" w:cs="Comic Sans MS" w:eastAsia="Comic Sans MS"/>
          <w:b w:val="0"/>
          <w:i w:val="0"/>
          <w:color w:val="000000"/>
          <w:sz w:val="28"/>
        </w:rPr>
        <w:t xml:space="preserve"> Affects solubility and diffusivity, hence the requirement to control the medium at 37 plus or minus 0.5 degrees Celsius.</w:t>
      </w:r>
    </w:p>
    <w:p>
      <w:pPr>
        <w:keepNext/>
        <w:spacing w:before="160" w:after="40"/>
      </w:pPr>
      <w:r>
        <w:rPr>
          <w:rFonts w:ascii="Comic Sans MS" w:hAnsi="Comic Sans MS" w:cs="Comic Sans MS" w:eastAsia="Comic Sans MS"/>
          <w:b/>
          <w:i w:val="0"/>
          <w:color w:val="000000"/>
          <w:sz w:val="28"/>
        </w:rPr>
        <w:t>2.2.4 Theories of Dissolution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Diffusion layer model (film theory).</w:t>
      </w:r>
      <w:r>
        <w:rPr>
          <w:rFonts w:ascii="Comic Sans MS" w:hAnsi="Comic Sans MS" w:cs="Comic Sans MS" w:eastAsia="Comic Sans MS"/>
          <w:b w:val="0"/>
          <w:i w:val="0"/>
          <w:color w:val="000000"/>
          <w:sz w:val="28"/>
        </w:rPr>
        <w:t xml:space="preserve"> The most widely accepted model. Dissolution at the solid surface is rapid and an instantaneously saturated stagnant layer forms; transport of drug across this layer into the bulk is the rate-determining step. The Noyes-Whitney and Nernst-Brunner equations follow from it.</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Interfacial barrier model (limited solvation theory).</w:t>
      </w:r>
      <w:r>
        <w:rPr>
          <w:rFonts w:ascii="Comic Sans MS" w:hAnsi="Comic Sans MS" w:cs="Comic Sans MS" w:eastAsia="Comic Sans MS"/>
          <w:b w:val="0"/>
          <w:i w:val="0"/>
          <w:color w:val="000000"/>
          <w:sz w:val="28"/>
        </w:rPr>
        <w:t xml:space="preserve"> Assumes that the interfacial reaction at the solid-liquid boundary, that is the escape of a molecule from the crystal lattice and its solvation, is slow and rate determining, so that the layer adjacent to the solid is not saturated. This model applies to substances of very low solubility or highly ordered lattices.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Danckwerts model (surface renewal theory).</w:t>
      </w:r>
      <w:r>
        <w:rPr>
          <w:rFonts w:ascii="Comic Sans MS" w:hAnsi="Comic Sans MS" w:cs="Comic Sans MS" w:eastAsia="Comic Sans MS"/>
          <w:b w:val="0"/>
          <w:i w:val="0"/>
          <w:color w:val="000000"/>
          <w:sz w:val="28"/>
        </w:rPr>
        <w:t xml:space="preserve"> Packets of solvent reach the solid surface by eddy diffusion, absorb drug, and are replaced by fresh solvent. Dissolution therefore depends on the rate of surface renewal rather than on a static layer, and this model best represents vigorously agitated systems.</w:t>
      </w:r>
    </w:p>
    <w:p>
      <w:pPr>
        <w:keepNext/>
        <w:spacing w:before="160" w:after="40"/>
      </w:pPr>
      <w:r>
        <w:rPr>
          <w:rFonts w:ascii="Comic Sans MS" w:hAnsi="Comic Sans MS" w:cs="Comic Sans MS" w:eastAsia="Comic Sans MS"/>
          <w:b/>
          <w:i w:val="0"/>
          <w:color w:val="000000"/>
          <w:sz w:val="28"/>
        </w:rPr>
        <w:t>2.3 Importance of the Dissolution Study</w:t>
      </w:r>
    </w:p>
    <w:p>
      <w:pPr>
        <w:spacing w:after="160"/>
        <w:jc w:val="both"/>
      </w:pPr>
      <w:r>
        <w:rPr>
          <w:rFonts w:ascii="Comic Sans MS" w:hAnsi="Comic Sans MS" w:cs="Comic Sans MS" w:eastAsia="Comic Sans MS"/>
          <w:b w:val="0"/>
          <w:i w:val="0"/>
          <w:color w:val="000000"/>
          <w:sz w:val="28"/>
        </w:rPr>
        <w:t>The dissolution test has moved, over some sixty years, from being a research curiosity to being the most important performance test applied to solid oral dosage forms. Its importance may be considered under the following headings.</w:t>
      </w:r>
    </w:p>
    <w:p>
      <w:pPr>
        <w:keepNext/>
        <w:spacing w:before="160" w:after="40"/>
      </w:pPr>
      <w:r>
        <w:rPr>
          <w:rFonts w:ascii="Comic Sans MS" w:hAnsi="Comic Sans MS" w:cs="Comic Sans MS" w:eastAsia="Comic Sans MS"/>
          <w:b/>
          <w:i w:val="0"/>
          <w:color w:val="000000"/>
          <w:sz w:val="28"/>
        </w:rPr>
        <w:t>2.3.1 As a Predictor of In Vivo Performance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 xml:space="preserve">For dissolution rate limited drugs, the in vitro dissolution profile can be correlated with the in vivo absorption profile, giving an </w:t>
      </w:r>
      <w:r>
        <w:rPr>
          <w:rFonts w:ascii="Comic Sans MS" w:hAnsi="Comic Sans MS" w:cs="Comic Sans MS" w:eastAsia="Comic Sans MS"/>
          <w:b/>
          <w:i w:val="0"/>
          <w:color w:val="000000"/>
          <w:sz w:val="28"/>
        </w:rPr>
        <w:t>in vitro-in vivo correlation (IVIVC)</w:t>
      </w:r>
      <w:r>
        <w:rPr>
          <w:rFonts w:ascii="Comic Sans MS" w:hAnsi="Comic Sans MS" w:cs="Comic Sans MS" w:eastAsia="Comic Sans MS"/>
          <w:b w:val="0"/>
          <w:i w:val="0"/>
          <w:color w:val="000000"/>
          <w:sz w:val="28"/>
        </w:rPr>
        <w:t>. Where such a correlation is established and validated, the dissolution test becomes a surrogate for a bioequivalence study.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It explains and predicts the bioavailability differences that arise from changes in particle size, polymorphic form, salt form, excipients or manufacturing process.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It can detect the therapeutic failures caused by over-compression, excessive lubrication or inappropriate coating, which no other simple test will reveal. The historical cases of digoxin tablets in the 1970s and of phenytoin capsules in Australia, in which formulation changes produced clinically significant changes in blood levels, established the need for routine dissolution testing.</w:t>
      </w:r>
    </w:p>
    <w:p>
      <w:pPr>
        <w:keepNext/>
        <w:spacing w:before="160" w:after="40"/>
      </w:pPr>
      <w:r>
        <w:rPr>
          <w:rFonts w:ascii="Comic Sans MS" w:hAnsi="Comic Sans MS" w:cs="Comic Sans MS" w:eastAsia="Comic Sans MS"/>
          <w:b/>
          <w:i w:val="0"/>
          <w:color w:val="000000"/>
          <w:sz w:val="28"/>
        </w:rPr>
        <w:t>2.3.2 As a Formulation Development Tool</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Screening and ranking of prototype formulations during development, and identification of the formulation and process variables that control release.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Optimisation of excipient type and level, particularly disintegrants, binders, lubricants, surfactants and release-controlling polymers.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Selection of the solid form of the drug, and demonstration of the benefit of solubility enhancement approaches.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Design and verification of modified release products, including enteric-coated, sustained-release, delayed-release and pulsatile systems, and elucidation of the release mechanism.</w:t>
      </w:r>
    </w:p>
    <w:p>
      <w:pPr>
        <w:keepNext/>
        <w:spacing w:before="160" w:after="40"/>
      </w:pPr>
      <w:r>
        <w:rPr>
          <w:rFonts w:ascii="Comic Sans MS" w:hAnsi="Comic Sans MS" w:cs="Comic Sans MS" w:eastAsia="Comic Sans MS"/>
          <w:b/>
          <w:i w:val="0"/>
          <w:color w:val="000000"/>
          <w:sz w:val="28"/>
        </w:rPr>
        <w:t>2.3.3 As a Quality Control and Regulatory Tool</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Routine batch release testing and demonstration of batch-to-batch uniformity.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Demonstration of stability of product performance throughout shelf life, since dissolution slowing is a common consequence of ageing, of coating changes and of moisture uptake.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Support for scale-up and post-approval changes, where comparative dissolution profiles may permit a change to be made without a new bioequivalence study, as set out in the SUPAC guidance.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Support for BCS-based biowaivers and for waivers of lower strengths of the same formulation.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Establishment of specifications, and demonstration of comparability between the test product and the reference listed product in generic development.</w:t>
      </w:r>
    </w:p>
    <w:p>
      <w:pPr>
        <w:keepNext/>
        <w:spacing w:before="160" w:after="40"/>
      </w:pPr>
      <w:r>
        <w:rPr>
          <w:rFonts w:ascii="Comic Sans MS" w:hAnsi="Comic Sans MS" w:cs="Comic Sans MS" w:eastAsia="Comic Sans MS"/>
          <w:b/>
          <w:i w:val="0"/>
          <w:color w:val="000000"/>
          <w:sz w:val="28"/>
        </w:rPr>
        <w:t>2.4 Objectives of the Dissolution Study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To ensure that the drug is released from the dosage form completely and at the intended rate.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To provide a discriminatory test capable of detecting meaningful changes in formulation or process, while remaining insensitive to trivial variation.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To provide a surrogate for in vivo performance wherever an in vitro-in vivo relationship can be demonstrated.</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To establish the release mechanism and to support the rational design of modified release systems.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To provide data for setting and justifying specifications.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To demonstrate the consistency of manufacture and the stability of performance on storage.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To permit comparison of the test product with a reference product, and to support regulatory flexibility.</w:t>
      </w:r>
    </w:p>
    <w:p>
      <w:pPr>
        <w:keepNext/>
        <w:spacing w:before="160" w:after="40"/>
      </w:pPr>
      <w:r>
        <w:rPr>
          <w:rFonts w:ascii="Comic Sans MS" w:hAnsi="Comic Sans MS" w:cs="Comic Sans MS" w:eastAsia="Comic Sans MS"/>
          <w:b/>
          <w:i w:val="0"/>
          <w:color w:val="000000"/>
          <w:sz w:val="28"/>
        </w:rPr>
        <w:t>2.5 Dissolution Apparatus</w:t>
      </w:r>
    </w:p>
    <w:p>
      <w:pPr>
        <w:spacing w:after="160"/>
        <w:jc w:val="both"/>
      </w:pPr>
      <w:r>
        <w:rPr>
          <w:rFonts w:ascii="Comic Sans MS" w:hAnsi="Comic Sans MS" w:cs="Comic Sans MS" w:eastAsia="Comic Sans MS"/>
          <w:b w:val="0"/>
          <w:i w:val="0"/>
          <w:color w:val="000000"/>
          <w:sz w:val="28"/>
        </w:rPr>
        <w:t>The pharmacopoeias describe seven official apparatus. The first four are general in application; the remainder were introduced for transdermal and other specialised dosage forms.</w:t>
      </w:r>
    </w:p>
    <w:p>
      <w:pPr>
        <w:keepNext/>
        <w:spacing w:before="160" w:after="40"/>
      </w:pPr>
      <w:r>
        <w:rPr>
          <w:rFonts w:ascii="Comic Sans MS" w:hAnsi="Comic Sans MS" w:cs="Comic Sans MS" w:eastAsia="Comic Sans MS"/>
          <w:b/>
          <w:i w:val="0"/>
          <w:color w:val="000000"/>
          <w:sz w:val="28"/>
        </w:rPr>
        <w:t>2.5.1 Apparatus 1 - Rotating Basket</w:t>
      </w:r>
    </w:p>
    <w:p>
      <w:pPr>
        <w:spacing w:after="160"/>
        <w:jc w:val="both"/>
      </w:pPr>
      <w:r>
        <w:rPr>
          <w:rFonts w:ascii="Comic Sans MS" w:hAnsi="Comic Sans MS" w:cs="Comic Sans MS" w:eastAsia="Comic Sans MS"/>
          <w:b w:val="0"/>
          <w:i w:val="0"/>
          <w:color w:val="000000"/>
          <w:sz w:val="28"/>
        </w:rPr>
        <w:t>A cylindrical basket of stainless steel mesh, normally 40 mesh, is attached to a shaft and rotates in a cylindrical vessel with a hemispherical bottom of nominal capacity 1000 millilitres. The dosage unit is placed inside the basket.</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Typical conditions.</w:t>
      </w:r>
      <w:r>
        <w:rPr>
          <w:rFonts w:ascii="Comic Sans MS" w:hAnsi="Comic Sans MS" w:cs="Comic Sans MS" w:eastAsia="Comic Sans MS"/>
          <w:b w:val="0"/>
          <w:i w:val="0"/>
          <w:color w:val="000000"/>
          <w:sz w:val="28"/>
        </w:rPr>
        <w:t xml:space="preserve"> Volume 500 to 1000 millilitres, rotation speed 50 to 100 revolutions per minute, most commonly 100.</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Applications.</w:t>
      </w:r>
      <w:r>
        <w:rPr>
          <w:rFonts w:ascii="Comic Sans MS" w:hAnsi="Comic Sans MS" w:cs="Comic Sans MS" w:eastAsia="Comic Sans MS"/>
          <w:b w:val="0"/>
          <w:i w:val="0"/>
          <w:color w:val="000000"/>
          <w:sz w:val="28"/>
        </w:rPr>
        <w:t xml:space="preserve"> Capsules, floating dosage forms, dosage forms that tend to disintegrate into fine particles or to stick to the vessel bottom, and enteric-coated products.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Advantages.</w:t>
      </w:r>
      <w:r>
        <w:rPr>
          <w:rFonts w:ascii="Comic Sans MS" w:hAnsi="Comic Sans MS" w:cs="Comic Sans MS" w:eastAsia="Comic Sans MS"/>
          <w:b w:val="0"/>
          <w:i w:val="0"/>
          <w:color w:val="000000"/>
          <w:sz w:val="28"/>
        </w:rPr>
        <w:t xml:space="preserve"> The unit is confined in a fixed position, pH change during the test is easy, and it is well suited to capsules.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Disadvantages.</w:t>
      </w:r>
      <w:r>
        <w:rPr>
          <w:rFonts w:ascii="Comic Sans MS" w:hAnsi="Comic Sans MS" w:cs="Comic Sans MS" w:eastAsia="Comic Sans MS"/>
          <w:b w:val="0"/>
          <w:i w:val="0"/>
          <w:color w:val="000000"/>
          <w:sz w:val="28"/>
        </w:rPr>
        <w:t xml:space="preserve"> The mesh may clog with gummy or swelling excipients or with gelatin, hydrodynamics are less well defined, degassing is critical, and cleaning is more difficult.</w:t>
      </w:r>
    </w:p>
    <w:p>
      <w:pPr>
        <w:keepNext/>
        <w:spacing w:before="160" w:after="40"/>
      </w:pPr>
      <w:r>
        <w:rPr>
          <w:rFonts w:ascii="Comic Sans MS" w:hAnsi="Comic Sans MS" w:cs="Comic Sans MS" w:eastAsia="Comic Sans MS"/>
          <w:b/>
          <w:i w:val="0"/>
          <w:color w:val="000000"/>
          <w:sz w:val="28"/>
        </w:rPr>
        <w:t>2.5.2 Apparatus 2 - Paddle</w:t>
      </w:r>
    </w:p>
    <w:p>
      <w:pPr>
        <w:spacing w:after="160"/>
        <w:jc w:val="both"/>
      </w:pPr>
      <w:r>
        <w:rPr>
          <w:rFonts w:ascii="Comic Sans MS" w:hAnsi="Comic Sans MS" w:cs="Comic Sans MS" w:eastAsia="Comic Sans MS"/>
          <w:b w:val="0"/>
          <w:i w:val="0"/>
          <w:color w:val="000000"/>
          <w:sz w:val="28"/>
        </w:rPr>
        <w:t>A paddle of defined geometry, formed from a blade and shaft, is used as the stirring element in the same vessel. The dosage unit is dropped to the bottom of the vessel before rotation begins; a sinker such as a few turns of platinum wire or a standard basket sinker may be used to prevent floating.</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Typical conditions.</w:t>
      </w:r>
      <w:r>
        <w:rPr>
          <w:rFonts w:ascii="Comic Sans MS" w:hAnsi="Comic Sans MS" w:cs="Comic Sans MS" w:eastAsia="Comic Sans MS"/>
          <w:b w:val="0"/>
          <w:i w:val="0"/>
          <w:color w:val="000000"/>
          <w:sz w:val="28"/>
        </w:rPr>
        <w:t xml:space="preserve"> Volume 500, 900 or 1000 millilitres, rotation speed 50 to 75 revolutions per minute, most commonly 50 for immediate release tablets.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Applications.</w:t>
      </w:r>
      <w:r>
        <w:rPr>
          <w:rFonts w:ascii="Comic Sans MS" w:hAnsi="Comic Sans MS" w:cs="Comic Sans MS" w:eastAsia="Comic Sans MS"/>
          <w:b w:val="0"/>
          <w:i w:val="0"/>
          <w:color w:val="000000"/>
          <w:sz w:val="28"/>
        </w:rPr>
        <w:t xml:space="preserve"> The default apparatus for immediate-release and many modified-release tablets; also used for capsules with a sinker.</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Advantages.</w:t>
      </w:r>
      <w:r>
        <w:rPr>
          <w:rFonts w:ascii="Comic Sans MS" w:hAnsi="Comic Sans MS" w:cs="Comic Sans MS" w:eastAsia="Comic Sans MS"/>
          <w:b w:val="0"/>
          <w:i w:val="0"/>
          <w:color w:val="000000"/>
          <w:sz w:val="28"/>
        </w:rPr>
        <w:t xml:space="preserve"> Simple, robust, well characterised, easy to automate and the most widely used.</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Disadvantages.</w:t>
      </w:r>
      <w:r>
        <w:rPr>
          <w:rFonts w:ascii="Comic Sans MS" w:hAnsi="Comic Sans MS" w:cs="Comic Sans MS" w:eastAsia="Comic Sans MS"/>
          <w:b w:val="0"/>
          <w:i w:val="0"/>
          <w:color w:val="000000"/>
          <w:sz w:val="28"/>
        </w:rPr>
        <w:t xml:space="preserve"> </w:t>
      </w:r>
      <w:r>
        <w:rPr>
          <w:rFonts w:ascii="Comic Sans MS" w:hAnsi="Comic Sans MS" w:cs="Comic Sans MS" w:eastAsia="Comic Sans MS"/>
          <w:b/>
          <w:i w:val="0"/>
          <w:color w:val="000000"/>
          <w:sz w:val="28"/>
        </w:rPr>
        <w:t>Coning</w:t>
      </w:r>
      <w:r>
        <w:rPr>
          <w:rFonts w:ascii="Comic Sans MS" w:hAnsi="Comic Sans MS" w:cs="Comic Sans MS" w:eastAsia="Comic Sans MS"/>
          <w:b w:val="0"/>
          <w:i w:val="0"/>
          <w:color w:val="000000"/>
          <w:sz w:val="28"/>
        </w:rPr>
        <w:t xml:space="preserve"> or mounding of undissolved excipient beneath the paddle produces artificially low and variable results; the position of the unit in the vessel is not controlled; and the hydrodynamics are inhomogeneous, with a low-shear zone directly under the paddle. Coning is addressed by increasing the speed to 75 revolutions per minute, by using peak vessels, or by moving to the basket at 100 revolutions per minute.</w:t>
      </w:r>
    </w:p>
    <w:p>
      <w:pPr>
        <w:keepNext/>
        <w:spacing w:before="160" w:after="40"/>
      </w:pPr>
      <w:r>
        <w:rPr>
          <w:rFonts w:ascii="Comic Sans MS" w:hAnsi="Comic Sans MS" w:cs="Comic Sans MS" w:eastAsia="Comic Sans MS"/>
          <w:b/>
          <w:i w:val="0"/>
          <w:color w:val="000000"/>
          <w:sz w:val="28"/>
        </w:rPr>
        <w:t>2.5.3 Apparatus 3 - Reciprocating Cylinder</w:t>
      </w:r>
    </w:p>
    <w:p>
      <w:pPr>
        <w:spacing w:after="160"/>
        <w:jc w:val="both"/>
      </w:pPr>
      <w:r>
        <w:rPr>
          <w:rFonts w:ascii="Comic Sans MS" w:hAnsi="Comic Sans MS" w:cs="Comic Sans MS" w:eastAsia="Comic Sans MS"/>
          <w:b w:val="0"/>
          <w:i w:val="0"/>
          <w:color w:val="000000"/>
          <w:sz w:val="28"/>
        </w:rPr>
        <w:t>A glass cylinder with mesh at top and bottom holds the dosage unit and reciprocates vertically in a row of flat-bottomed outer vessels, so that the unit can be transferred sequentially through several media.</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Typical conditions.</w:t>
      </w:r>
      <w:r>
        <w:rPr>
          <w:rFonts w:ascii="Comic Sans MS" w:hAnsi="Comic Sans MS" w:cs="Comic Sans MS" w:eastAsia="Comic Sans MS"/>
          <w:b w:val="0"/>
          <w:i w:val="0"/>
          <w:color w:val="000000"/>
          <w:sz w:val="28"/>
        </w:rPr>
        <w:t xml:space="preserve"> Volume 200 to 250 millilitres per vessel, dip rate 5 to 30 cycles per minute.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Applications.</w:t>
      </w:r>
      <w:r>
        <w:rPr>
          <w:rFonts w:ascii="Comic Sans MS" w:hAnsi="Comic Sans MS" w:cs="Comic Sans MS" w:eastAsia="Comic Sans MS"/>
          <w:b w:val="0"/>
          <w:i w:val="0"/>
          <w:color w:val="000000"/>
          <w:sz w:val="28"/>
        </w:rPr>
        <w:t xml:space="preserve"> Extended-release products, chewable tablets, and above all situations requiring sequential exposure to media of different pH to simulate gastrointestinal transit.</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Advantages.</w:t>
      </w:r>
      <w:r>
        <w:rPr>
          <w:rFonts w:ascii="Comic Sans MS" w:hAnsi="Comic Sans MS" w:cs="Comic Sans MS" w:eastAsia="Comic Sans MS"/>
          <w:b w:val="0"/>
          <w:i w:val="0"/>
          <w:color w:val="000000"/>
          <w:sz w:val="28"/>
        </w:rPr>
        <w:t xml:space="preserve"> Easy pH change, good agitation with little coning, and small volumes.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Disadvantages.</w:t>
      </w:r>
      <w:r>
        <w:rPr>
          <w:rFonts w:ascii="Comic Sans MS" w:hAnsi="Comic Sans MS" w:cs="Comic Sans MS" w:eastAsia="Comic Sans MS"/>
          <w:b w:val="0"/>
          <w:i w:val="0"/>
          <w:color w:val="000000"/>
          <w:sz w:val="28"/>
        </w:rPr>
        <w:t xml:space="preserve"> Small volume may compromise sink conditions for poorly soluble drugs, and evaporation and loss of fine particles through the mesh can occur.</w:t>
      </w:r>
    </w:p>
    <w:p>
      <w:pPr>
        <w:keepNext/>
        <w:spacing w:before="160" w:after="40"/>
      </w:pPr>
      <w:r>
        <w:rPr>
          <w:rFonts w:ascii="Comic Sans MS" w:hAnsi="Comic Sans MS" w:cs="Comic Sans MS" w:eastAsia="Comic Sans MS"/>
          <w:b/>
          <w:i w:val="0"/>
          <w:color w:val="000000"/>
          <w:sz w:val="28"/>
        </w:rPr>
        <w:t>2.5.4 Apparatus 4 - Flow-Through Cell</w:t>
      </w:r>
    </w:p>
    <w:p>
      <w:pPr>
        <w:spacing w:after="160"/>
        <w:jc w:val="both"/>
      </w:pPr>
      <w:r>
        <w:rPr>
          <w:rFonts w:ascii="Comic Sans MS" w:hAnsi="Comic Sans MS" w:cs="Comic Sans MS" w:eastAsia="Comic Sans MS"/>
          <w:b w:val="0"/>
          <w:i w:val="0"/>
          <w:color w:val="000000"/>
          <w:sz w:val="28"/>
        </w:rPr>
        <w:t>Medium is pumped, usually by a piston pump giving a sinusoidal flow, upward through a small cell containing the dosage unit supported on glass beads. The medium may be recirculated or, more usefully, passed once through to waste (open system).</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Typical conditions.</w:t>
      </w:r>
      <w:r>
        <w:rPr>
          <w:rFonts w:ascii="Comic Sans MS" w:hAnsi="Comic Sans MS" w:cs="Comic Sans MS" w:eastAsia="Comic Sans MS"/>
          <w:b w:val="0"/>
          <w:i w:val="0"/>
          <w:color w:val="000000"/>
          <w:sz w:val="28"/>
        </w:rPr>
        <w:t xml:space="preserve"> Flow rate 4, 8 or 16 millilitres per minute; cell diameter 12 or 22.6 millimetres.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Applications.</w:t>
      </w:r>
      <w:r>
        <w:rPr>
          <w:rFonts w:ascii="Comic Sans MS" w:hAnsi="Comic Sans MS" w:cs="Comic Sans MS" w:eastAsia="Comic Sans MS"/>
          <w:b w:val="0"/>
          <w:i w:val="0"/>
          <w:color w:val="000000"/>
          <w:sz w:val="28"/>
        </w:rPr>
        <w:t xml:space="preserve"> Very poorly soluble drugs, low-dose products, implants, suppositories, powders, granules, soft gelatin capsules and drug-eluting devices.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Advantages.</w:t>
      </w:r>
      <w:r>
        <w:rPr>
          <w:rFonts w:ascii="Comic Sans MS" w:hAnsi="Comic Sans MS" w:cs="Comic Sans MS" w:eastAsia="Comic Sans MS"/>
          <w:b w:val="0"/>
          <w:i w:val="0"/>
          <w:color w:val="000000"/>
          <w:sz w:val="28"/>
        </w:rPr>
        <w:t xml:space="preserve"> Perfect sink conditions are readily maintained because fresh medium continuously replaces saturated medium; the pH can be changed easily; and very large effective volumes can be used with small sample amounts.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Disadvantages.</w:t>
      </w:r>
      <w:r>
        <w:rPr>
          <w:rFonts w:ascii="Comic Sans MS" w:hAnsi="Comic Sans MS" w:cs="Comic Sans MS" w:eastAsia="Comic Sans MS"/>
          <w:b w:val="0"/>
          <w:i w:val="0"/>
          <w:color w:val="000000"/>
          <w:sz w:val="28"/>
        </w:rPr>
        <w:t xml:space="preserve"> Large volumes of medium are consumed, deaeration is critical, the apparatus is complex and laborious, and filter blockage can occur.</w:t>
      </w:r>
    </w:p>
    <w:p>
      <w:pPr>
        <w:keepNext/>
        <w:spacing w:before="160" w:after="40"/>
      </w:pPr>
      <w:r>
        <w:rPr>
          <w:rFonts w:ascii="Comic Sans MS" w:hAnsi="Comic Sans MS" w:cs="Comic Sans MS" w:eastAsia="Comic Sans MS"/>
          <w:b/>
          <w:i w:val="0"/>
          <w:color w:val="000000"/>
          <w:sz w:val="28"/>
        </w:rPr>
        <w:t>2.5.5 Apparatus 5 - Paddle Over Disc</w:t>
      </w:r>
    </w:p>
    <w:p>
      <w:pPr>
        <w:spacing w:after="160"/>
        <w:jc w:val="both"/>
      </w:pPr>
      <w:r>
        <w:rPr>
          <w:rFonts w:ascii="Comic Sans MS" w:hAnsi="Comic Sans MS" w:cs="Comic Sans MS" w:eastAsia="Comic Sans MS"/>
          <w:b w:val="0"/>
          <w:i w:val="0"/>
          <w:color w:val="000000"/>
          <w:sz w:val="28"/>
        </w:rPr>
        <w:t xml:space="preserve">The dosage form is attached to a stainless steel disc or screen assembly placed at the bottom of the vessel, with a standard paddle rotating above it. Volume 900 millilitres, speed usually 50 revolutions per minute, temperature 32 degrees Celsius for topical products. Used chiefly for </w:t>
      </w:r>
      <w:r>
        <w:rPr>
          <w:rFonts w:ascii="Comic Sans MS" w:hAnsi="Comic Sans MS" w:cs="Comic Sans MS" w:eastAsia="Comic Sans MS"/>
          <w:b/>
          <w:i w:val="0"/>
          <w:color w:val="000000"/>
          <w:sz w:val="28"/>
        </w:rPr>
        <w:t>transdermal patches</w:t>
      </w:r>
      <w:r>
        <w:rPr>
          <w:rFonts w:ascii="Comic Sans MS" w:hAnsi="Comic Sans MS" w:cs="Comic Sans MS" w:eastAsia="Comic Sans MS"/>
          <w:b w:val="0"/>
          <w:i w:val="0"/>
          <w:color w:val="000000"/>
          <w:sz w:val="28"/>
        </w:rPr>
        <w:t xml:space="preserve"> and topical semisolids.</w:t>
      </w:r>
    </w:p>
    <w:p>
      <w:pPr>
        <w:keepNext/>
        <w:spacing w:before="160" w:after="40"/>
      </w:pPr>
      <w:r>
        <w:rPr>
          <w:rFonts w:ascii="Comic Sans MS" w:hAnsi="Comic Sans MS" w:cs="Comic Sans MS" w:eastAsia="Comic Sans MS"/>
          <w:b/>
          <w:i w:val="0"/>
          <w:color w:val="000000"/>
          <w:sz w:val="28"/>
        </w:rPr>
        <w:t>2.5.6 Apparatus 6 - Rotating Cylinder</w:t>
      </w:r>
    </w:p>
    <w:p>
      <w:pPr>
        <w:spacing w:after="160"/>
        <w:jc w:val="both"/>
      </w:pPr>
      <w:r>
        <w:rPr>
          <w:rFonts w:ascii="Comic Sans MS" w:hAnsi="Comic Sans MS" w:cs="Comic Sans MS" w:eastAsia="Comic Sans MS"/>
          <w:b w:val="0"/>
          <w:i w:val="0"/>
          <w:color w:val="000000"/>
          <w:sz w:val="28"/>
        </w:rPr>
        <w:t xml:space="preserve">The basket of Apparatus 1 is replaced by a stainless steel cylinder to which the patch is attached with the release surface outward; the cylinder rotates in the medium. Also used for </w:t>
      </w:r>
      <w:r>
        <w:rPr>
          <w:rFonts w:ascii="Comic Sans MS" w:hAnsi="Comic Sans MS" w:cs="Comic Sans MS" w:eastAsia="Comic Sans MS"/>
          <w:b/>
          <w:i w:val="0"/>
          <w:color w:val="000000"/>
          <w:sz w:val="28"/>
        </w:rPr>
        <w:t>transdermal delivery systems</w:t>
      </w:r>
      <w:r>
        <w:rPr>
          <w:rFonts w:ascii="Comic Sans MS" w:hAnsi="Comic Sans MS" w:cs="Comic Sans MS" w:eastAsia="Comic Sans MS"/>
          <w:b w:val="0"/>
          <w:i w:val="0"/>
          <w:color w:val="000000"/>
          <w:sz w:val="28"/>
        </w:rPr>
        <w:t>, at 32 degrees Celsius.</w:t>
      </w:r>
    </w:p>
    <w:p>
      <w:pPr>
        <w:keepNext/>
        <w:spacing w:before="160" w:after="40"/>
      </w:pPr>
      <w:r>
        <w:rPr>
          <w:rFonts w:ascii="Comic Sans MS" w:hAnsi="Comic Sans MS" w:cs="Comic Sans MS" w:eastAsia="Comic Sans MS"/>
          <w:b/>
          <w:i w:val="0"/>
          <w:color w:val="000000"/>
          <w:sz w:val="28"/>
        </w:rPr>
        <w:t>2.5.7 Apparatus 7 - Reciprocating Holder</w:t>
      </w:r>
    </w:p>
    <w:p>
      <w:pPr>
        <w:spacing w:after="160"/>
        <w:jc w:val="both"/>
      </w:pPr>
      <w:r>
        <w:rPr>
          <w:rFonts w:ascii="Comic Sans MS" w:hAnsi="Comic Sans MS" w:cs="Comic Sans MS" w:eastAsia="Comic Sans MS"/>
          <w:b w:val="0"/>
          <w:i w:val="0"/>
          <w:color w:val="000000"/>
          <w:sz w:val="28"/>
        </w:rPr>
        <w:t xml:space="preserve">The dosage form is held on a suitable holder, such as a disc, cylinder or angled disc, which reciprocates vertically in small volumes of medium, typically at about 30 cycles per minute. Used for </w:t>
      </w:r>
      <w:r>
        <w:rPr>
          <w:rFonts w:ascii="Comic Sans MS" w:hAnsi="Comic Sans MS" w:cs="Comic Sans MS" w:eastAsia="Comic Sans MS"/>
          <w:b/>
          <w:i w:val="0"/>
          <w:color w:val="000000"/>
          <w:sz w:val="28"/>
        </w:rPr>
        <w:t>transdermal systems, coated stents, implants and non-disintegrating extended-release dosage forms.</w:t>
      </w:r>
    </w:p>
    <w:p>
      <w:pPr>
        <w:keepNext/>
        <w:spacing w:before="160" w:after="40"/>
      </w:pPr>
      <w:r>
        <w:rPr>
          <w:rFonts w:ascii="Comic Sans MS" w:hAnsi="Comic Sans MS" w:cs="Comic Sans MS" w:eastAsia="Comic Sans MS"/>
          <w:b/>
          <w:i w:val="0"/>
          <w:color w:val="000000"/>
          <w:sz w:val="28"/>
        </w:rPr>
        <w:t>2.5.8 Non-Compendial and Biorelevant Apparatus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Rotating disc (Wood's) apparatus,</w:t>
      </w:r>
      <w:r>
        <w:rPr>
          <w:rFonts w:ascii="Comic Sans MS" w:hAnsi="Comic Sans MS" w:cs="Comic Sans MS" w:eastAsia="Comic Sans MS"/>
          <w:b w:val="0"/>
          <w:i w:val="0"/>
          <w:color w:val="000000"/>
          <w:sz w:val="28"/>
        </w:rPr>
        <w:t xml:space="preserve"> used to measure intrinsic dissolution rate from a compact of fixed surface area.</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Peak or PEAK vessels,</w:t>
      </w:r>
      <w:r>
        <w:rPr>
          <w:rFonts w:ascii="Comic Sans MS" w:hAnsi="Comic Sans MS" w:cs="Comic Sans MS" w:eastAsia="Comic Sans MS"/>
          <w:b w:val="0"/>
          <w:i w:val="0"/>
          <w:color w:val="000000"/>
          <w:sz w:val="28"/>
        </w:rPr>
        <w:t xml:space="preserve"> modified vessels with a raised cone at the base designed to eliminate coning in the paddle apparatus.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Mini-vessels and small-volume apparatus,</w:t>
      </w:r>
      <w:r>
        <w:rPr>
          <w:rFonts w:ascii="Comic Sans MS" w:hAnsi="Comic Sans MS" w:cs="Comic Sans MS" w:eastAsia="Comic Sans MS"/>
          <w:b w:val="0"/>
          <w:i w:val="0"/>
          <w:color w:val="000000"/>
          <w:sz w:val="28"/>
        </w:rPr>
        <w:t xml:space="preserve"> for low-dose and early development work where drug substance is scarce.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Biphasic dissolution systems,</w:t>
      </w:r>
      <w:r>
        <w:rPr>
          <w:rFonts w:ascii="Comic Sans MS" w:hAnsi="Comic Sans MS" w:cs="Comic Sans MS" w:eastAsia="Comic Sans MS"/>
          <w:b w:val="0"/>
          <w:i w:val="0"/>
          <w:color w:val="000000"/>
          <w:sz w:val="28"/>
        </w:rPr>
        <w:t xml:space="preserve"> in which an organic layer such as octanol overlies the aqueous medium and continuously extracts dissolved drug, thereby maintaining sink conditions and simulating absorption.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Dynamic gastrointestinal simulators,</w:t>
      </w:r>
      <w:r>
        <w:rPr>
          <w:rFonts w:ascii="Comic Sans MS" w:hAnsi="Comic Sans MS" w:cs="Comic Sans MS" w:eastAsia="Comic Sans MS"/>
          <w:b w:val="0"/>
          <w:i w:val="0"/>
          <w:color w:val="000000"/>
          <w:sz w:val="28"/>
        </w:rPr>
        <w:t xml:space="preserve"> such as the artificial stomach-duodenum model and the TIM series, which reproduce transit, secretion, pH change and emptying.</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Dissolution-permeation systems,</w:t>
      </w:r>
      <w:r>
        <w:rPr>
          <w:rFonts w:ascii="Comic Sans MS" w:hAnsi="Comic Sans MS" w:cs="Comic Sans MS" w:eastAsia="Comic Sans MS"/>
          <w:b w:val="0"/>
          <w:i w:val="0"/>
          <w:color w:val="000000"/>
          <w:sz w:val="28"/>
        </w:rPr>
        <w:t xml:space="preserve"> in which a permeation barrier such as a Caco-2 monolayer or an artificial membrane is coupled to the dissolution vessel.</w:t>
      </w:r>
    </w:p>
    <w:p>
      <w:pPr>
        <w:keepNext/>
        <w:spacing w:before="160" w:after="40"/>
      </w:pPr>
      <w:r>
        <w:rPr>
          <w:rFonts w:ascii="Comic Sans MS" w:hAnsi="Comic Sans MS" w:cs="Comic Sans MS" w:eastAsia="Comic Sans MS"/>
          <w:b/>
          <w:i w:val="0"/>
          <w:color w:val="000000"/>
          <w:sz w:val="28"/>
        </w:rPr>
        <w:t>2.6 Standard Test Conditions and Acceptance Criteria</w:t>
      </w:r>
    </w:p>
    <w:p>
      <w:pPr>
        <w:keepNext/>
        <w:spacing w:before="160" w:after="40"/>
      </w:pPr>
      <w:r>
        <w:rPr>
          <w:rFonts w:ascii="Comic Sans MS" w:hAnsi="Comic Sans MS" w:cs="Comic Sans MS" w:eastAsia="Comic Sans MS"/>
          <w:b/>
          <w:i w:val="0"/>
          <w:color w:val="000000"/>
          <w:sz w:val="28"/>
        </w:rPr>
        <w:t>2.6.1 General Conditions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Temperature</w:t>
      </w:r>
      <w:r>
        <w:rPr>
          <w:rFonts w:ascii="Comic Sans MS" w:hAnsi="Comic Sans MS" w:cs="Comic Sans MS" w:eastAsia="Comic Sans MS"/>
          <w:b w:val="0"/>
          <w:i w:val="0"/>
          <w:color w:val="000000"/>
          <w:sz w:val="28"/>
        </w:rPr>
        <w:t xml:space="preserve"> 37 plus or minus 0.5 degrees Celsius for oral products; 32 plus or minus 0.5 degrees Celsius for transdermal and topical products.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Volume</w:t>
      </w:r>
      <w:r>
        <w:rPr>
          <w:rFonts w:ascii="Comic Sans MS" w:hAnsi="Comic Sans MS" w:cs="Comic Sans MS" w:eastAsia="Comic Sans MS"/>
          <w:b w:val="0"/>
          <w:i w:val="0"/>
          <w:color w:val="000000"/>
          <w:sz w:val="28"/>
        </w:rPr>
        <w:t xml:space="preserve"> usually 500, 900 or 1000 millilitres; the smallest volume that maintains sink conditions is preferred for discrimination.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Agitation</w:t>
      </w:r>
      <w:r>
        <w:rPr>
          <w:rFonts w:ascii="Comic Sans MS" w:hAnsi="Comic Sans MS" w:cs="Comic Sans MS" w:eastAsia="Comic Sans MS"/>
          <w:b w:val="0"/>
          <w:i w:val="0"/>
          <w:color w:val="000000"/>
          <w:sz w:val="28"/>
        </w:rPr>
        <w:t xml:space="preserve"> the lowest speed that gives adequate hydrodynamics without masking differences; 50 revolutions per minute for the paddle and 100 for the basket are the usual starting points.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Deaeration</w:t>
      </w:r>
      <w:r>
        <w:rPr>
          <w:rFonts w:ascii="Comic Sans MS" w:hAnsi="Comic Sans MS" w:cs="Comic Sans MS" w:eastAsia="Comic Sans MS"/>
          <w:b w:val="0"/>
          <w:i w:val="0"/>
          <w:color w:val="000000"/>
          <w:sz w:val="28"/>
        </w:rPr>
        <w:t xml:space="preserve"> of the medium is required, since dissolved air forms bubbles on the dosage unit and on the vessel wall, alters wetting and buoyancy and gives erratic results. Heating, vacuum filtration or helium sparging is used.</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Sampling</w:t>
      </w:r>
      <w:r>
        <w:rPr>
          <w:rFonts w:ascii="Comic Sans MS" w:hAnsi="Comic Sans MS" w:cs="Comic Sans MS" w:eastAsia="Comic Sans MS"/>
          <w:b w:val="0"/>
          <w:i w:val="0"/>
          <w:color w:val="000000"/>
          <w:sz w:val="28"/>
        </w:rPr>
        <w:t xml:space="preserve"> at defined times from a defined position, midway between the surface of the medium and the top of the rotating element, and not less than one centimetre from the vessel wall; replacement of the withdrawn volume or correction for it must be specified.</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Filtration</w:t>
      </w:r>
      <w:r>
        <w:rPr>
          <w:rFonts w:ascii="Comic Sans MS" w:hAnsi="Comic Sans MS" w:cs="Comic Sans MS" w:eastAsia="Comic Sans MS"/>
          <w:b w:val="0"/>
          <w:i w:val="0"/>
          <w:color w:val="000000"/>
          <w:sz w:val="28"/>
        </w:rPr>
        <w:t xml:space="preserve"> immediately on withdrawal, using a filter that does not adsorb the drug and that removes undissolved particles, since continued dissolution of suspended fines would otherwise falsify the result.</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Analysis</w:t>
      </w:r>
      <w:r>
        <w:rPr>
          <w:rFonts w:ascii="Comic Sans MS" w:hAnsi="Comic Sans MS" w:cs="Comic Sans MS" w:eastAsia="Comic Sans MS"/>
          <w:b w:val="0"/>
          <w:i w:val="0"/>
          <w:color w:val="000000"/>
          <w:sz w:val="28"/>
        </w:rPr>
        <w:t xml:space="preserve"> by ultraviolet spectrophotometry or high performance liquid chromatography; the method must be validated in the dissolution medium and should account for excipient interference.</w:t>
      </w:r>
    </w:p>
    <w:p>
      <w:pPr>
        <w:keepNext/>
        <w:spacing w:before="160" w:after="40"/>
      </w:pPr>
      <w:r>
        <w:rPr>
          <w:rFonts w:ascii="Comic Sans MS" w:hAnsi="Comic Sans MS" w:cs="Comic Sans MS" w:eastAsia="Comic Sans MS"/>
          <w:b/>
          <w:i w:val="0"/>
          <w:color w:val="000000"/>
          <w:sz w:val="28"/>
        </w:rPr>
        <w:t>2.6.2 Acceptance Criteria for Immediate-Release Products</w:t>
      </w:r>
    </w:p>
    <w:p>
      <w:pPr>
        <w:spacing w:after="160"/>
        <w:jc w:val="both"/>
      </w:pPr>
      <w:r>
        <w:rPr>
          <w:rFonts w:ascii="Comic Sans MS" w:hAnsi="Comic Sans MS" w:cs="Comic Sans MS" w:eastAsia="Comic Sans MS"/>
          <w:b w:val="0"/>
          <w:i w:val="0"/>
          <w:color w:val="000000"/>
          <w:sz w:val="28"/>
        </w:rPr>
        <w:t>A staged, sequential approach is used, in which Q is the specified amount of dissolved drug expressed as a percentage of the labelled content.</w:t>
      </w:r>
    </w:p>
    <w:tbl>
      <w:tblPr>
        <w:tblStyle w:val="TableGrid"/>
        <w:tblW w:type="auto" w:w="0"/>
        <w:jc w:val="center"/>
        <w:tblLook w:firstColumn="1" w:firstRow="1" w:lastColumn="0" w:lastRow="0" w:noHBand="0" w:noVBand="1" w:val="04A0"/>
      </w:tblPr>
      <w:tblGrid>
        <w:gridCol w:w="3120"/>
        <w:gridCol w:w="3120"/>
        <w:gridCol w:w="3120"/>
      </w:tblGrid>
      <w:tr>
        <w:tc>
          <w:tcPr>
            <w:tcW w:type="dxa" w:w="1440"/>
          </w:tcPr>
          <w:p>
            <w:pPr>
              <w:spacing w:after="20" w:before="20" w:line="300" w:lineRule="exact"/>
            </w:pPr>
            <w:r/>
            <w:r>
              <w:rPr>
                <w:rFonts w:ascii="Comic Sans MS" w:hAnsi="Comic Sans MS" w:cs="Comic Sans MS" w:eastAsia="Comic Sans MS"/>
                <w:b/>
                <w:i w:val="0"/>
                <w:color w:val="000000"/>
                <w:sz w:val="22"/>
              </w:rPr>
              <w:t>Stage</w:t>
            </w:r>
          </w:p>
        </w:tc>
        <w:tc>
          <w:tcPr>
            <w:tcW w:type="dxa" w:w="1872"/>
          </w:tcPr>
          <w:p>
            <w:pPr>
              <w:spacing w:after="20" w:before="20" w:line="300" w:lineRule="exact"/>
            </w:pPr>
            <w:r/>
            <w:r>
              <w:rPr>
                <w:rFonts w:ascii="Comic Sans MS" w:hAnsi="Comic Sans MS" w:cs="Comic Sans MS" w:eastAsia="Comic Sans MS"/>
                <w:b/>
                <w:i w:val="0"/>
                <w:color w:val="000000"/>
                <w:sz w:val="22"/>
              </w:rPr>
              <w:t>Number tested</w:t>
            </w:r>
          </w:p>
        </w:tc>
        <w:tc>
          <w:tcPr>
            <w:tcW w:type="dxa" w:w="5184"/>
          </w:tcPr>
          <w:p>
            <w:pPr>
              <w:spacing w:after="20" w:before="20" w:line="300" w:lineRule="exact"/>
            </w:pPr>
            <w:r/>
            <w:r>
              <w:rPr>
                <w:rFonts w:ascii="Comic Sans MS" w:hAnsi="Comic Sans MS" w:cs="Comic Sans MS" w:eastAsia="Comic Sans MS"/>
                <w:b/>
                <w:i w:val="0"/>
                <w:color w:val="000000"/>
                <w:sz w:val="22"/>
              </w:rPr>
              <w:t>Criteria</w:t>
            </w:r>
          </w:p>
        </w:tc>
      </w:tr>
      <w:tr>
        <w:tc>
          <w:tcPr>
            <w:tcW w:type="dxa" w:w="1440"/>
          </w:tcPr>
          <w:p>
            <w:pPr>
              <w:spacing w:after="20" w:before="20" w:line="300" w:lineRule="exact"/>
            </w:pPr>
            <w:r/>
            <w:r>
              <w:rPr>
                <w:rFonts w:ascii="Comic Sans MS" w:hAnsi="Comic Sans MS" w:cs="Comic Sans MS" w:eastAsia="Comic Sans MS"/>
                <w:b w:val="0"/>
                <w:i w:val="0"/>
                <w:color w:val="000000"/>
                <w:sz w:val="22"/>
              </w:rPr>
              <w:t>S1</w:t>
            </w:r>
          </w:p>
        </w:tc>
        <w:tc>
          <w:tcPr>
            <w:tcW w:type="dxa" w:w="1872"/>
          </w:tcPr>
          <w:p>
            <w:pPr>
              <w:spacing w:after="20" w:before="20" w:line="300" w:lineRule="exact"/>
            </w:pPr>
            <w:r/>
            <w:r>
              <w:rPr>
                <w:rFonts w:ascii="Comic Sans MS" w:hAnsi="Comic Sans MS" w:cs="Comic Sans MS" w:eastAsia="Comic Sans MS"/>
                <w:b w:val="0"/>
                <w:i w:val="0"/>
                <w:color w:val="000000"/>
                <w:sz w:val="22"/>
              </w:rPr>
              <w:t>6</w:t>
            </w:r>
          </w:p>
        </w:tc>
        <w:tc>
          <w:tcPr>
            <w:tcW w:type="dxa" w:w="5184"/>
          </w:tcPr>
          <w:p>
            <w:pPr>
              <w:spacing w:after="20" w:before="20" w:line="300" w:lineRule="exact"/>
            </w:pPr>
            <w:r/>
            <w:r>
              <w:rPr>
                <w:rFonts w:ascii="Comic Sans MS" w:hAnsi="Comic Sans MS" w:cs="Comic Sans MS" w:eastAsia="Comic Sans MS"/>
                <w:b w:val="0"/>
                <w:i w:val="0"/>
                <w:color w:val="000000"/>
                <w:sz w:val="22"/>
              </w:rPr>
              <w:t>Each unit is not less than Q plus 5 per cent.</w:t>
            </w:r>
          </w:p>
        </w:tc>
      </w:tr>
      <w:tr>
        <w:tc>
          <w:tcPr>
            <w:tcW w:type="dxa" w:w="1440"/>
          </w:tcPr>
          <w:p>
            <w:pPr>
              <w:spacing w:after="20" w:before="20" w:line="300" w:lineRule="exact"/>
            </w:pPr>
            <w:r/>
            <w:r>
              <w:rPr>
                <w:rFonts w:ascii="Comic Sans MS" w:hAnsi="Comic Sans MS" w:cs="Comic Sans MS" w:eastAsia="Comic Sans MS"/>
                <w:b w:val="0"/>
                <w:i w:val="0"/>
                <w:color w:val="000000"/>
                <w:sz w:val="22"/>
              </w:rPr>
              <w:t>S2</w:t>
            </w:r>
          </w:p>
        </w:tc>
        <w:tc>
          <w:tcPr>
            <w:tcW w:type="dxa" w:w="1872"/>
          </w:tcPr>
          <w:p>
            <w:pPr>
              <w:spacing w:after="20" w:before="20" w:line="300" w:lineRule="exact"/>
            </w:pPr>
            <w:r/>
            <w:r>
              <w:rPr>
                <w:rFonts w:ascii="Comic Sans MS" w:hAnsi="Comic Sans MS" w:cs="Comic Sans MS" w:eastAsia="Comic Sans MS"/>
                <w:b w:val="0"/>
                <w:i w:val="0"/>
                <w:color w:val="000000"/>
                <w:sz w:val="22"/>
              </w:rPr>
              <w:t>6 more (12 total)</w:t>
            </w:r>
          </w:p>
        </w:tc>
        <w:tc>
          <w:tcPr>
            <w:tcW w:type="dxa" w:w="5184"/>
          </w:tcPr>
          <w:p>
            <w:pPr>
              <w:spacing w:after="20" w:before="20" w:line="300" w:lineRule="exact"/>
            </w:pPr>
            <w:r/>
            <w:r>
              <w:rPr>
                <w:rFonts w:ascii="Comic Sans MS" w:hAnsi="Comic Sans MS" w:cs="Comic Sans MS" w:eastAsia="Comic Sans MS"/>
                <w:b w:val="0"/>
                <w:i w:val="0"/>
                <w:color w:val="000000"/>
                <w:sz w:val="22"/>
              </w:rPr>
              <w:t>Average of the 12 units is equal to or greater than Q, and no unit is less than Q minus 15 per cent.</w:t>
            </w:r>
          </w:p>
        </w:tc>
      </w:tr>
      <w:tr>
        <w:tc>
          <w:tcPr>
            <w:tcW w:type="dxa" w:w="1440"/>
          </w:tcPr>
          <w:p>
            <w:pPr>
              <w:spacing w:after="20" w:before="20" w:line="300" w:lineRule="exact"/>
            </w:pPr>
            <w:r/>
            <w:r>
              <w:rPr>
                <w:rFonts w:ascii="Comic Sans MS" w:hAnsi="Comic Sans MS" w:cs="Comic Sans MS" w:eastAsia="Comic Sans MS"/>
                <w:b w:val="0"/>
                <w:i w:val="0"/>
                <w:color w:val="000000"/>
                <w:sz w:val="22"/>
              </w:rPr>
              <w:t>S3</w:t>
            </w:r>
          </w:p>
        </w:tc>
        <w:tc>
          <w:tcPr>
            <w:tcW w:type="dxa" w:w="1872"/>
          </w:tcPr>
          <w:p>
            <w:pPr>
              <w:spacing w:after="20" w:before="20" w:line="300" w:lineRule="exact"/>
            </w:pPr>
            <w:r/>
            <w:r>
              <w:rPr>
                <w:rFonts w:ascii="Comic Sans MS" w:hAnsi="Comic Sans MS" w:cs="Comic Sans MS" w:eastAsia="Comic Sans MS"/>
                <w:b w:val="0"/>
                <w:i w:val="0"/>
                <w:color w:val="000000"/>
                <w:sz w:val="22"/>
              </w:rPr>
              <w:t>12 more (24 total)</w:t>
            </w:r>
          </w:p>
        </w:tc>
        <w:tc>
          <w:tcPr>
            <w:tcW w:type="dxa" w:w="5184"/>
          </w:tcPr>
          <w:p>
            <w:pPr>
              <w:spacing w:after="20" w:before="20" w:line="300" w:lineRule="exact"/>
            </w:pPr>
            <w:r/>
            <w:r>
              <w:rPr>
                <w:rFonts w:ascii="Comic Sans MS" w:hAnsi="Comic Sans MS" w:cs="Comic Sans MS" w:eastAsia="Comic Sans MS"/>
                <w:b w:val="0"/>
                <w:i w:val="0"/>
                <w:color w:val="000000"/>
                <w:sz w:val="22"/>
              </w:rPr>
              <w:t>Average of the 24 units is equal to or greater than Q; not more than 2 units are less than Q minus 15 per cent; and no unit is less than Q minus 25 per cent.</w:t>
            </w:r>
          </w:p>
        </w:tc>
      </w:tr>
    </w:tbl>
    <w:p>
      <w:pPr>
        <w:spacing w:after="0" w:line="160" w:lineRule="exact"/>
      </w:pPr>
    </w:p>
    <w:p>
      <w:pPr>
        <w:spacing w:after="160"/>
        <w:jc w:val="both"/>
      </w:pPr>
      <w:r>
        <w:rPr>
          <w:rFonts w:ascii="Comic Sans MS" w:hAnsi="Comic Sans MS" w:cs="Comic Sans MS" w:eastAsia="Comic Sans MS"/>
          <w:b w:val="0"/>
          <w:i w:val="0"/>
          <w:color w:val="000000"/>
          <w:sz w:val="28"/>
        </w:rPr>
        <w:t>A typical specification for a conventional immediate-release tablet is "not less than 80 per cent (Q) of the labelled amount dissolved in 30 minutes". Testing proceeds to the next stage only if the preceding stage is not met.</w:t>
      </w:r>
    </w:p>
    <w:p>
      <w:pPr>
        <w:keepNext/>
        <w:spacing w:before="160" w:after="40"/>
      </w:pPr>
      <w:r>
        <w:rPr>
          <w:rFonts w:ascii="Comic Sans MS" w:hAnsi="Comic Sans MS" w:cs="Comic Sans MS" w:eastAsia="Comic Sans MS"/>
          <w:b/>
          <w:i w:val="0"/>
          <w:color w:val="000000"/>
          <w:sz w:val="28"/>
        </w:rPr>
        <w:t>2.6.3 Acceptance Criteria for Delayed-Release (Enteric-Coated) Products</w:t>
      </w:r>
    </w:p>
    <w:p>
      <w:pPr>
        <w:spacing w:after="160"/>
        <w:jc w:val="both"/>
      </w:pPr>
      <w:r>
        <w:rPr>
          <w:rFonts w:ascii="Comic Sans MS" w:hAnsi="Comic Sans MS" w:cs="Comic Sans MS" w:eastAsia="Comic Sans MS"/>
          <w:b w:val="0"/>
          <w:i w:val="0"/>
          <w:color w:val="000000"/>
          <w:sz w:val="28"/>
        </w:rPr>
        <w:t>Two stages are used.</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Acid stage.</w:t>
      </w:r>
      <w:r>
        <w:rPr>
          <w:rFonts w:ascii="Comic Sans MS" w:hAnsi="Comic Sans MS" w:cs="Comic Sans MS" w:eastAsia="Comic Sans MS"/>
          <w:b w:val="0"/>
          <w:i w:val="0"/>
          <w:color w:val="000000"/>
          <w:sz w:val="28"/>
        </w:rPr>
        <w:t xml:space="preserve"> The units are tested in 0.1 molar hydrochloric acid, usually for 2 hours. The requirement is that no individual value exceeds 10 per cent dissolved, confirming the integrity of the enteric coat.</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Buffer stage.</w:t>
      </w:r>
      <w:r>
        <w:rPr>
          <w:rFonts w:ascii="Comic Sans MS" w:hAnsi="Comic Sans MS" w:cs="Comic Sans MS" w:eastAsia="Comic Sans MS"/>
          <w:b w:val="0"/>
          <w:i w:val="0"/>
          <w:color w:val="000000"/>
          <w:sz w:val="28"/>
        </w:rPr>
        <w:t xml:space="preserve"> The medium is changed to pH 6.8 phosphate buffer, either by transferring the units or by adding concentrated buffer, and the usual immediate-release style staged criteria are applied.</w:t>
      </w:r>
    </w:p>
    <w:p>
      <w:pPr>
        <w:keepNext/>
        <w:spacing w:before="160" w:after="40"/>
      </w:pPr>
      <w:r>
        <w:rPr>
          <w:rFonts w:ascii="Comic Sans MS" w:hAnsi="Comic Sans MS" w:cs="Comic Sans MS" w:eastAsia="Comic Sans MS"/>
          <w:b/>
          <w:i w:val="0"/>
          <w:color w:val="000000"/>
          <w:sz w:val="28"/>
        </w:rPr>
        <w:t>2.6.4 Acceptance Criteria for Extended-Release Products</w:t>
      </w:r>
    </w:p>
    <w:p>
      <w:pPr>
        <w:spacing w:after="160"/>
        <w:jc w:val="both"/>
      </w:pPr>
      <w:r>
        <w:rPr>
          <w:rFonts w:ascii="Comic Sans MS" w:hAnsi="Comic Sans MS" w:cs="Comic Sans MS" w:eastAsia="Comic Sans MS"/>
          <w:b w:val="0"/>
          <w:i w:val="0"/>
          <w:color w:val="000000"/>
          <w:sz w:val="28"/>
        </w:rPr>
        <w:t>At least three sampling points are specified: an early point, usually within 1 to 2 hours, to demonstrate the absence of dose dumping; a middle point to define the shape of the profile; and a final point to demonstrate essentially complete release. Criteria are expressed as ranges at each point, and a corresponding staged L1, L2 and L3 acceptance table is applied.</w:t>
      </w:r>
    </w:p>
    <w:p>
      <w:pPr>
        <w:keepNext/>
        <w:spacing w:before="160" w:after="40"/>
      </w:pPr>
      <w:r>
        <w:rPr>
          <w:rFonts w:ascii="Comic Sans MS" w:hAnsi="Comic Sans MS" w:cs="Comic Sans MS" w:eastAsia="Comic Sans MS"/>
          <w:b/>
          <w:i w:val="0"/>
          <w:color w:val="000000"/>
          <w:sz w:val="28"/>
        </w:rPr>
        <w:t>2.7 In Vitro-In Vivo Correlation</w:t>
      </w:r>
    </w:p>
    <w:p>
      <w:pPr>
        <w:spacing w:after="160"/>
        <w:jc w:val="both"/>
      </w:pPr>
      <w:r>
        <w:rPr>
          <w:rFonts w:ascii="Comic Sans MS" w:hAnsi="Comic Sans MS" w:cs="Comic Sans MS" w:eastAsia="Comic Sans MS"/>
          <w:b w:val="0"/>
          <w:i w:val="0"/>
          <w:color w:val="000000"/>
          <w:sz w:val="28"/>
        </w:rPr>
        <w:t>An in vitro-in vivo correlation is a predictive mathematical model describing the relationship between an in vitro property of a dosage form, usually the dissolution profile, and a relevant in vivo response, usually the plasma concentration profile or the amount absorbed. Four levels are recognised.</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Level A.</w:t>
      </w:r>
      <w:r>
        <w:rPr>
          <w:rFonts w:ascii="Comic Sans MS" w:hAnsi="Comic Sans MS" w:cs="Comic Sans MS" w:eastAsia="Comic Sans MS"/>
          <w:b w:val="0"/>
          <w:i w:val="0"/>
          <w:color w:val="000000"/>
          <w:sz w:val="28"/>
        </w:rPr>
        <w:t xml:space="preserve"> A point-to-point relationship between the in vitro dissolution profile and the in vivo input (absorption) profile, usually obtained by deconvolution. This is the highest and most informative level, and is the only one that can serve as a full surrogate for bioequivalence.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Level B.</w:t>
      </w:r>
      <w:r>
        <w:rPr>
          <w:rFonts w:ascii="Comic Sans MS" w:hAnsi="Comic Sans MS" w:cs="Comic Sans MS" w:eastAsia="Comic Sans MS"/>
          <w:b w:val="0"/>
          <w:i w:val="0"/>
          <w:color w:val="000000"/>
          <w:sz w:val="28"/>
        </w:rPr>
        <w:t xml:space="preserve"> A comparison of the mean in vitro dissolution time with the mean in vivo residence time or mean absorption time, using the principles of statistical moment analysis. It uses all the data but is not point to point, and different profiles can give the same mean, so it is not usually acceptable alone for regulatory purposes.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Level C.</w:t>
      </w:r>
      <w:r>
        <w:rPr>
          <w:rFonts w:ascii="Comic Sans MS" w:hAnsi="Comic Sans MS" w:cs="Comic Sans MS" w:eastAsia="Comic Sans MS"/>
          <w:b w:val="0"/>
          <w:i w:val="0"/>
          <w:color w:val="000000"/>
          <w:sz w:val="28"/>
        </w:rPr>
        <w:t xml:space="preserve"> A single-point relationship between one dissolution parameter, for example the time to 50 per cent dissolution, and one pharmacokinetic parameter, such as the area under the curve or the maximum concentration. It is the weakest level and is useful only in early development.</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Multiple Level C.</w:t>
      </w:r>
      <w:r>
        <w:rPr>
          <w:rFonts w:ascii="Comic Sans MS" w:hAnsi="Comic Sans MS" w:cs="Comic Sans MS" w:eastAsia="Comic Sans MS"/>
          <w:b w:val="0"/>
          <w:i w:val="0"/>
          <w:color w:val="000000"/>
          <w:sz w:val="28"/>
        </w:rPr>
        <w:t xml:space="preserve"> A relationship between one or more pharmacokinetic parameters and the amount dissolved at several time points. If a multiple Level C correlation can be established, a Level A correlation is usually achievable and is preferred.</w:t>
      </w:r>
    </w:p>
    <w:p>
      <w:pPr>
        <w:keepNext/>
        <w:spacing w:before="160" w:after="40"/>
      </w:pPr>
      <w:r>
        <w:rPr>
          <w:rFonts w:ascii="Comic Sans MS" w:hAnsi="Comic Sans MS" w:cs="Comic Sans MS" w:eastAsia="Comic Sans MS"/>
          <w:b/>
          <w:i w:val="0"/>
          <w:color w:val="000000"/>
          <w:sz w:val="28"/>
        </w:rPr>
        <w:t>2.8 The Biopharmaceutics Classification System</w:t>
      </w:r>
    </w:p>
    <w:p>
      <w:pPr>
        <w:keepNext/>
        <w:spacing w:before="160" w:after="40"/>
      </w:pPr>
      <w:r>
        <w:rPr>
          <w:rFonts w:ascii="Comic Sans MS" w:hAnsi="Comic Sans MS" w:cs="Comic Sans MS" w:eastAsia="Comic Sans MS"/>
          <w:b/>
          <w:i w:val="0"/>
          <w:color w:val="000000"/>
          <w:sz w:val="28"/>
        </w:rPr>
        <w:t>2.8.1 Concept and Definitions</w:t>
      </w:r>
    </w:p>
    <w:p>
      <w:pPr>
        <w:spacing w:after="160"/>
        <w:jc w:val="both"/>
      </w:pPr>
      <w:r>
        <w:rPr>
          <w:rFonts w:ascii="Comic Sans MS" w:hAnsi="Comic Sans MS" w:cs="Comic Sans MS" w:eastAsia="Comic Sans MS"/>
          <w:b w:val="0"/>
          <w:i w:val="0"/>
          <w:color w:val="000000"/>
          <w:sz w:val="28"/>
        </w:rPr>
        <w:t xml:space="preserve">The Biopharmaceutics Classification System, proposed by Amidon and colleagues in 1995, is a scientific framework that classifies drug substances according to their </w:t>
      </w:r>
      <w:r>
        <w:rPr>
          <w:rFonts w:ascii="Comic Sans MS" w:hAnsi="Comic Sans MS" w:cs="Comic Sans MS" w:eastAsia="Comic Sans MS"/>
          <w:b/>
          <w:i w:val="0"/>
          <w:color w:val="000000"/>
          <w:sz w:val="28"/>
        </w:rPr>
        <w:t>aqueous solubility</w:t>
      </w:r>
      <w:r>
        <w:rPr>
          <w:rFonts w:ascii="Comic Sans MS" w:hAnsi="Comic Sans MS" w:cs="Comic Sans MS" w:eastAsia="Comic Sans MS"/>
          <w:b w:val="0"/>
          <w:i w:val="0"/>
          <w:color w:val="000000"/>
          <w:sz w:val="28"/>
        </w:rPr>
        <w:t xml:space="preserve"> and </w:t>
      </w:r>
      <w:r>
        <w:rPr>
          <w:rFonts w:ascii="Comic Sans MS" w:hAnsi="Comic Sans MS" w:cs="Comic Sans MS" w:eastAsia="Comic Sans MS"/>
          <w:b/>
          <w:i w:val="0"/>
          <w:color w:val="000000"/>
          <w:sz w:val="28"/>
        </w:rPr>
        <w:t>intestinal permeability</w:t>
      </w:r>
      <w:r>
        <w:rPr>
          <w:rFonts w:ascii="Comic Sans MS" w:hAnsi="Comic Sans MS" w:cs="Comic Sans MS" w:eastAsia="Comic Sans MS"/>
          <w:b w:val="0"/>
          <w:i w:val="0"/>
          <w:color w:val="000000"/>
          <w:sz w:val="28"/>
        </w:rPr>
        <w:t>, the two properties that, together with dissolution, fundamentally control the rate and extent of oral absorption.</w:t>
      </w:r>
    </w:p>
    <w:p>
      <w:pPr>
        <w:spacing w:after="160"/>
        <w:jc w:val="both"/>
      </w:pPr>
      <w:r>
        <w:rPr>
          <w:rFonts w:ascii="Comic Sans MS" w:hAnsi="Comic Sans MS" w:cs="Comic Sans MS" w:eastAsia="Comic Sans MS"/>
          <w:b w:val="0"/>
          <w:i w:val="0"/>
          <w:color w:val="000000"/>
          <w:sz w:val="28"/>
        </w:rPr>
        <w:t>The regulatory definitions, as harmonised in ICH M9, are: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Highly soluble.</w:t>
      </w:r>
      <w:r>
        <w:rPr>
          <w:rFonts w:ascii="Comic Sans MS" w:hAnsi="Comic Sans MS" w:cs="Comic Sans MS" w:eastAsia="Comic Sans MS"/>
          <w:b w:val="0"/>
          <w:i w:val="0"/>
          <w:color w:val="000000"/>
          <w:sz w:val="28"/>
        </w:rPr>
        <w:t xml:space="preserve"> A drug substance is highly soluble when the highest single therapeutic dose is completely soluble in 250 millilitres or less of aqueous media over the pH range 1.2 to 6.8 at 37 plus or minus 1 degree Celsius. At least three pH values within this range, including buffers at pH 1.2, 4.5 and 6.8, must be evaluated, and the solubility at the pH of lowest solubility must also be determined if it lies within the range. The lowest measured solubility over the range is used for classification. The volume of 250 millilitres corresponds to the volume of water with which a dosage form is customarily swallowed.</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Highly permeable.</w:t>
      </w:r>
      <w:r>
        <w:rPr>
          <w:rFonts w:ascii="Comic Sans MS" w:hAnsi="Comic Sans MS" w:cs="Comic Sans MS" w:eastAsia="Comic Sans MS"/>
          <w:b w:val="0"/>
          <w:i w:val="0"/>
          <w:color w:val="000000"/>
          <w:sz w:val="28"/>
        </w:rPr>
        <w:t xml:space="preserve"> A drug substance is highly permeable when the extent of absorption is 85 per cent or more. This is preferably established from human pharmacokinetic data, that is an absolute bioavailability of 85 per cent or more, or recovery in urine of 85 per cent or more of the administered dose as unchanged drug or as the sum of parent drug together with Phase 1 oxidative and Phase 2 conjugative metabolites. Permeability may alternatively be assessed using validated in vitro methods such as Caco-2 cell monolayers.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Rapidly dissolving.</w:t>
      </w:r>
      <w:r>
        <w:rPr>
          <w:rFonts w:ascii="Comic Sans MS" w:hAnsi="Comic Sans MS" w:cs="Comic Sans MS" w:eastAsia="Comic Sans MS"/>
          <w:b w:val="0"/>
          <w:i w:val="0"/>
          <w:color w:val="000000"/>
          <w:sz w:val="28"/>
        </w:rPr>
        <w:t xml:space="preserve"> A product is rapidly dissolving when 85 per cent or more of the labelled amount dissolves in 30 minutes or less under the specified conditions; and </w:t>
      </w:r>
      <w:r>
        <w:rPr>
          <w:rFonts w:ascii="Comic Sans MS" w:hAnsi="Comic Sans MS" w:cs="Comic Sans MS" w:eastAsia="Comic Sans MS"/>
          <w:b/>
          <w:i w:val="0"/>
          <w:color w:val="000000"/>
          <w:sz w:val="28"/>
        </w:rPr>
        <w:t>very rapidly dissolving</w:t>
      </w:r>
      <w:r>
        <w:rPr>
          <w:rFonts w:ascii="Comic Sans MS" w:hAnsi="Comic Sans MS" w:cs="Comic Sans MS" w:eastAsia="Comic Sans MS"/>
          <w:b w:val="0"/>
          <w:i w:val="0"/>
          <w:color w:val="000000"/>
          <w:sz w:val="28"/>
        </w:rPr>
        <w:t xml:space="preserve"> when 85 per cent or more dissolves in 15 minutes or less.</w:t>
      </w:r>
    </w:p>
    <w:p>
      <w:pPr>
        <w:keepNext/>
        <w:spacing w:before="160" w:after="40"/>
      </w:pPr>
      <w:r>
        <w:rPr>
          <w:rFonts w:ascii="Comic Sans MS" w:hAnsi="Comic Sans MS" w:cs="Comic Sans MS" w:eastAsia="Comic Sans MS"/>
          <w:b/>
          <w:i w:val="0"/>
          <w:color w:val="000000"/>
          <w:sz w:val="28"/>
        </w:rPr>
        <w:t>2.8.2 The Four Classes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296"/>
          </w:tcPr>
          <w:p>
            <w:pPr>
              <w:spacing w:after="20" w:before="20" w:line="300" w:lineRule="exact"/>
            </w:pPr>
            <w:r/>
            <w:r>
              <w:rPr>
                <w:rFonts w:ascii="Comic Sans MS" w:hAnsi="Comic Sans MS" w:cs="Comic Sans MS" w:eastAsia="Comic Sans MS"/>
                <w:b/>
                <w:i w:val="0"/>
                <w:color w:val="000000"/>
                <w:sz w:val="22"/>
              </w:rPr>
              <w:t>Class</w:t>
            </w:r>
          </w:p>
        </w:tc>
        <w:tc>
          <w:tcPr>
            <w:tcW w:type="dxa" w:w="2448"/>
          </w:tcPr>
          <w:p>
            <w:pPr>
              <w:spacing w:after="20" w:before="20" w:line="300" w:lineRule="exact"/>
            </w:pPr>
            <w:r/>
            <w:r>
              <w:rPr>
                <w:rFonts w:ascii="Comic Sans MS" w:hAnsi="Comic Sans MS" w:cs="Comic Sans MS" w:eastAsia="Comic Sans MS"/>
                <w:b/>
                <w:i w:val="0"/>
                <w:color w:val="000000"/>
                <w:sz w:val="22"/>
              </w:rPr>
              <w:t>Solubility</w:t>
            </w:r>
          </w:p>
        </w:tc>
        <w:tc>
          <w:tcPr>
            <w:tcW w:type="dxa" w:w="2448"/>
          </w:tcPr>
          <w:p>
            <w:pPr>
              <w:spacing w:after="20" w:before="20" w:line="300" w:lineRule="exact"/>
            </w:pPr>
            <w:r/>
            <w:r>
              <w:rPr>
                <w:rFonts w:ascii="Comic Sans MS" w:hAnsi="Comic Sans MS" w:cs="Comic Sans MS" w:eastAsia="Comic Sans MS"/>
                <w:b/>
                <w:i w:val="0"/>
                <w:color w:val="000000"/>
                <w:sz w:val="22"/>
              </w:rPr>
              <w:t>Permeability</w:t>
            </w:r>
          </w:p>
        </w:tc>
        <w:tc>
          <w:tcPr>
            <w:tcW w:type="dxa" w:w="3168"/>
          </w:tcPr>
          <w:p>
            <w:pPr>
              <w:spacing w:after="20" w:before="20" w:line="300" w:lineRule="exact"/>
            </w:pPr>
            <w:r/>
            <w:r>
              <w:rPr>
                <w:rFonts w:ascii="Comic Sans MS" w:hAnsi="Comic Sans MS" w:cs="Comic Sans MS" w:eastAsia="Comic Sans MS"/>
                <w:b/>
                <w:i w:val="0"/>
                <w:color w:val="000000"/>
                <w:sz w:val="22"/>
              </w:rPr>
              <w:t>Rate-limiting step and comment</w:t>
            </w:r>
          </w:p>
        </w:tc>
      </w:tr>
      <w:tr>
        <w:tc>
          <w:tcPr>
            <w:tcW w:type="dxa" w:w="1296"/>
          </w:tcPr>
          <w:p>
            <w:pPr>
              <w:spacing w:after="20" w:before="20" w:line="300" w:lineRule="exact"/>
            </w:pPr>
            <w:r/>
            <w:r>
              <w:rPr>
                <w:rFonts w:ascii="Comic Sans MS" w:hAnsi="Comic Sans MS" w:cs="Comic Sans MS" w:eastAsia="Comic Sans MS"/>
                <w:b w:val="0"/>
                <w:i w:val="0"/>
                <w:color w:val="000000"/>
                <w:sz w:val="22"/>
              </w:rPr>
              <w:t>I</w:t>
            </w:r>
          </w:p>
        </w:tc>
        <w:tc>
          <w:tcPr>
            <w:tcW w:type="dxa" w:w="2448"/>
          </w:tcPr>
          <w:p>
            <w:pPr>
              <w:spacing w:after="20" w:before="20" w:line="300" w:lineRule="exact"/>
            </w:pPr>
            <w:r/>
            <w:r>
              <w:rPr>
                <w:rFonts w:ascii="Comic Sans MS" w:hAnsi="Comic Sans MS" w:cs="Comic Sans MS" w:eastAsia="Comic Sans MS"/>
                <w:b w:val="0"/>
                <w:i w:val="0"/>
                <w:color w:val="000000"/>
                <w:sz w:val="22"/>
              </w:rPr>
              <w:t>High</w:t>
            </w:r>
          </w:p>
        </w:tc>
        <w:tc>
          <w:tcPr>
            <w:tcW w:type="dxa" w:w="2448"/>
          </w:tcPr>
          <w:p>
            <w:pPr>
              <w:spacing w:after="20" w:before="20" w:line="300" w:lineRule="exact"/>
            </w:pPr>
            <w:r/>
            <w:r>
              <w:rPr>
                <w:rFonts w:ascii="Comic Sans MS" w:hAnsi="Comic Sans MS" w:cs="Comic Sans MS" w:eastAsia="Comic Sans MS"/>
                <w:b w:val="0"/>
                <w:i w:val="0"/>
                <w:color w:val="000000"/>
                <w:sz w:val="22"/>
              </w:rPr>
              <w:t>High</w:t>
            </w:r>
          </w:p>
        </w:tc>
        <w:tc>
          <w:tcPr>
            <w:tcW w:type="dxa" w:w="3168"/>
          </w:tcPr>
          <w:p>
            <w:pPr>
              <w:spacing w:after="20" w:before="20" w:line="300" w:lineRule="exact"/>
            </w:pPr>
            <w:r/>
            <w:r>
              <w:rPr>
                <w:rFonts w:ascii="Comic Sans MS" w:hAnsi="Comic Sans MS" w:cs="Comic Sans MS" w:eastAsia="Comic Sans MS"/>
                <w:b w:val="0"/>
                <w:i w:val="0"/>
                <w:color w:val="000000"/>
                <w:sz w:val="22"/>
              </w:rPr>
              <w:t>Neither solubility nor permeability limits absorption; gastric emptying may limit the rate. Behaves like an oral solution.</w:t>
            </w:r>
          </w:p>
        </w:tc>
      </w:tr>
      <w:tr>
        <w:tc>
          <w:tcPr>
            <w:tcW w:type="dxa" w:w="1296"/>
          </w:tcPr>
          <w:p>
            <w:pPr>
              <w:spacing w:after="20" w:before="20" w:line="300" w:lineRule="exact"/>
            </w:pPr>
            <w:r/>
            <w:r>
              <w:rPr>
                <w:rFonts w:ascii="Comic Sans MS" w:hAnsi="Comic Sans MS" w:cs="Comic Sans MS" w:eastAsia="Comic Sans MS"/>
                <w:b w:val="0"/>
                <w:i w:val="0"/>
                <w:color w:val="000000"/>
                <w:sz w:val="22"/>
              </w:rPr>
              <w:t>II</w:t>
            </w:r>
          </w:p>
        </w:tc>
        <w:tc>
          <w:tcPr>
            <w:tcW w:type="dxa" w:w="2448"/>
          </w:tcPr>
          <w:p>
            <w:pPr>
              <w:spacing w:after="20" w:before="20" w:line="300" w:lineRule="exact"/>
            </w:pPr>
            <w:r/>
            <w:r>
              <w:rPr>
                <w:rFonts w:ascii="Comic Sans MS" w:hAnsi="Comic Sans MS" w:cs="Comic Sans MS" w:eastAsia="Comic Sans MS"/>
                <w:b w:val="0"/>
                <w:i w:val="0"/>
                <w:color w:val="000000"/>
                <w:sz w:val="22"/>
              </w:rPr>
              <w:t>Low</w:t>
            </w:r>
          </w:p>
        </w:tc>
        <w:tc>
          <w:tcPr>
            <w:tcW w:type="dxa" w:w="2448"/>
          </w:tcPr>
          <w:p>
            <w:pPr>
              <w:spacing w:after="20" w:before="20" w:line="300" w:lineRule="exact"/>
            </w:pPr>
            <w:r/>
            <w:r>
              <w:rPr>
                <w:rFonts w:ascii="Comic Sans MS" w:hAnsi="Comic Sans MS" w:cs="Comic Sans MS" w:eastAsia="Comic Sans MS"/>
                <w:b w:val="0"/>
                <w:i w:val="0"/>
                <w:color w:val="000000"/>
                <w:sz w:val="22"/>
              </w:rPr>
              <w:t>High</w:t>
            </w:r>
          </w:p>
        </w:tc>
        <w:tc>
          <w:tcPr>
            <w:tcW w:type="dxa" w:w="3168"/>
          </w:tcPr>
          <w:p>
            <w:pPr>
              <w:spacing w:after="20" w:before="20" w:line="300" w:lineRule="exact"/>
            </w:pPr>
            <w:r/>
            <w:r>
              <w:rPr>
                <w:rFonts w:ascii="Comic Sans MS" w:hAnsi="Comic Sans MS" w:cs="Comic Sans MS" w:eastAsia="Comic Sans MS"/>
                <w:b w:val="0"/>
                <w:i w:val="0"/>
                <w:color w:val="000000"/>
                <w:sz w:val="22"/>
              </w:rPr>
              <w:t>Dissolution is rate limiting; good candidates for IVIVC and for solubility enhancement.</w:t>
            </w:r>
          </w:p>
        </w:tc>
      </w:tr>
      <w:tr>
        <w:tc>
          <w:tcPr>
            <w:tcW w:type="dxa" w:w="1296"/>
          </w:tcPr>
          <w:p>
            <w:pPr>
              <w:spacing w:after="20" w:before="20" w:line="300" w:lineRule="exact"/>
            </w:pPr>
            <w:r/>
            <w:r>
              <w:rPr>
                <w:rFonts w:ascii="Comic Sans MS" w:hAnsi="Comic Sans MS" w:cs="Comic Sans MS" w:eastAsia="Comic Sans MS"/>
                <w:b w:val="0"/>
                <w:i w:val="0"/>
                <w:color w:val="000000"/>
                <w:sz w:val="22"/>
              </w:rPr>
              <w:t>III</w:t>
            </w:r>
          </w:p>
        </w:tc>
        <w:tc>
          <w:tcPr>
            <w:tcW w:type="dxa" w:w="2448"/>
          </w:tcPr>
          <w:p>
            <w:pPr>
              <w:spacing w:after="20" w:before="20" w:line="300" w:lineRule="exact"/>
            </w:pPr>
            <w:r/>
            <w:r>
              <w:rPr>
                <w:rFonts w:ascii="Comic Sans MS" w:hAnsi="Comic Sans MS" w:cs="Comic Sans MS" w:eastAsia="Comic Sans MS"/>
                <w:b w:val="0"/>
                <w:i w:val="0"/>
                <w:color w:val="000000"/>
                <w:sz w:val="22"/>
              </w:rPr>
              <w:t>High</w:t>
            </w:r>
          </w:p>
        </w:tc>
        <w:tc>
          <w:tcPr>
            <w:tcW w:type="dxa" w:w="2448"/>
          </w:tcPr>
          <w:p>
            <w:pPr>
              <w:spacing w:after="20" w:before="20" w:line="300" w:lineRule="exact"/>
            </w:pPr>
            <w:r/>
            <w:r>
              <w:rPr>
                <w:rFonts w:ascii="Comic Sans MS" w:hAnsi="Comic Sans MS" w:cs="Comic Sans MS" w:eastAsia="Comic Sans MS"/>
                <w:b w:val="0"/>
                <w:i w:val="0"/>
                <w:color w:val="000000"/>
                <w:sz w:val="22"/>
              </w:rPr>
              <w:t>Low</w:t>
            </w:r>
          </w:p>
        </w:tc>
        <w:tc>
          <w:tcPr>
            <w:tcW w:type="dxa" w:w="3168"/>
          </w:tcPr>
          <w:p>
            <w:pPr>
              <w:spacing w:after="20" w:before="20" w:line="300" w:lineRule="exact"/>
            </w:pPr>
            <w:r/>
            <w:r>
              <w:rPr>
                <w:rFonts w:ascii="Comic Sans MS" w:hAnsi="Comic Sans MS" w:cs="Comic Sans MS" w:eastAsia="Comic Sans MS"/>
                <w:b w:val="0"/>
                <w:i w:val="0"/>
                <w:color w:val="000000"/>
                <w:sz w:val="22"/>
              </w:rPr>
              <w:t>Permeability is rate limiting; absorption depends on transit time and permeation enhancement.</w:t>
            </w:r>
          </w:p>
        </w:tc>
      </w:tr>
      <w:tr>
        <w:tc>
          <w:tcPr>
            <w:tcW w:type="dxa" w:w="1296"/>
          </w:tcPr>
          <w:p>
            <w:pPr>
              <w:spacing w:after="20" w:before="20" w:line="300" w:lineRule="exact"/>
            </w:pPr>
            <w:r/>
            <w:r>
              <w:rPr>
                <w:rFonts w:ascii="Comic Sans MS" w:hAnsi="Comic Sans MS" w:cs="Comic Sans MS" w:eastAsia="Comic Sans MS"/>
                <w:b w:val="0"/>
                <w:i w:val="0"/>
                <w:color w:val="000000"/>
                <w:sz w:val="22"/>
              </w:rPr>
              <w:t>IV</w:t>
            </w:r>
          </w:p>
        </w:tc>
        <w:tc>
          <w:tcPr>
            <w:tcW w:type="dxa" w:w="2448"/>
          </w:tcPr>
          <w:p>
            <w:pPr>
              <w:spacing w:after="20" w:before="20" w:line="300" w:lineRule="exact"/>
            </w:pPr>
            <w:r/>
            <w:r>
              <w:rPr>
                <w:rFonts w:ascii="Comic Sans MS" w:hAnsi="Comic Sans MS" w:cs="Comic Sans MS" w:eastAsia="Comic Sans MS"/>
                <w:b w:val="0"/>
                <w:i w:val="0"/>
                <w:color w:val="000000"/>
                <w:sz w:val="22"/>
              </w:rPr>
              <w:t>Low</w:t>
            </w:r>
          </w:p>
        </w:tc>
        <w:tc>
          <w:tcPr>
            <w:tcW w:type="dxa" w:w="2448"/>
          </w:tcPr>
          <w:p>
            <w:pPr>
              <w:spacing w:after="20" w:before="20" w:line="300" w:lineRule="exact"/>
            </w:pPr>
            <w:r/>
            <w:r>
              <w:rPr>
                <w:rFonts w:ascii="Comic Sans MS" w:hAnsi="Comic Sans MS" w:cs="Comic Sans MS" w:eastAsia="Comic Sans MS"/>
                <w:b w:val="0"/>
                <w:i w:val="0"/>
                <w:color w:val="000000"/>
                <w:sz w:val="22"/>
              </w:rPr>
              <w:t>Low</w:t>
            </w:r>
          </w:p>
        </w:tc>
        <w:tc>
          <w:tcPr>
            <w:tcW w:type="dxa" w:w="3168"/>
          </w:tcPr>
          <w:p>
            <w:pPr>
              <w:spacing w:after="20" w:before="20" w:line="300" w:lineRule="exact"/>
            </w:pPr>
            <w:r/>
            <w:r>
              <w:rPr>
                <w:rFonts w:ascii="Comic Sans MS" w:hAnsi="Comic Sans MS" w:cs="Comic Sans MS" w:eastAsia="Comic Sans MS"/>
                <w:b w:val="0"/>
                <w:i w:val="0"/>
                <w:color w:val="000000"/>
                <w:sz w:val="22"/>
              </w:rPr>
              <w:t>Both properties limit absorption; poor and variable oral bioavailability, often requiring a non-oral route or extensive formulation intervention.</w:t>
            </w:r>
          </w:p>
        </w:tc>
      </w:tr>
    </w:tbl>
    <w:p>
      <w:pPr>
        <w:spacing w:after="0" w:line="160" w:lineRule="exact"/>
      </w:pPr>
    </w:p>
    <w:p>
      <w:pPr>
        <w:spacing w:after="160"/>
        <w:jc w:val="both"/>
      </w:pPr>
      <w:r>
        <w:rPr>
          <w:rFonts w:ascii="Comic Sans MS" w:hAnsi="Comic Sans MS" w:cs="Comic Sans MS" w:eastAsia="Comic Sans MS"/>
          <w:b w:val="0"/>
          <w:i w:val="0"/>
          <w:color w:val="000000"/>
          <w:sz w:val="28"/>
        </w:rPr>
        <w:t>Representative examples commonly cited are: Class I, metoprolol, propranolol, paracetamol, diltiazem, verapamil; Class II, carbamazepine, ketoconazole, nifedipine, ibuprofen, glibenclamide, danazol, phenytoin; Class III, atenolol, cimetidine, ranitidine, metformin, acyclovir; Class IV, furosemide, hydrochlorothiazide, chlorothiazide, taxol, ritonavir.</w:t>
      </w:r>
    </w:p>
    <w:p>
      <w:pPr>
        <w:keepNext/>
        <w:spacing w:before="160" w:after="40"/>
      </w:pPr>
      <w:r>
        <w:rPr>
          <w:rFonts w:ascii="Comic Sans MS" w:hAnsi="Comic Sans MS" w:cs="Comic Sans MS" w:eastAsia="Comic Sans MS"/>
          <w:b/>
          <w:i w:val="0"/>
          <w:color w:val="000000"/>
          <w:sz w:val="28"/>
        </w:rPr>
        <w:t>2.8.3 Significance of the BCS for Dissolution Studies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It determines whether a dissolution test can be biopredictive.</w:t>
      </w:r>
      <w:r>
        <w:rPr>
          <w:rFonts w:ascii="Comic Sans MS" w:hAnsi="Comic Sans MS" w:cs="Comic Sans MS" w:eastAsia="Comic Sans MS"/>
          <w:b w:val="0"/>
          <w:i w:val="0"/>
          <w:color w:val="000000"/>
          <w:sz w:val="28"/>
        </w:rPr>
        <w:t xml:space="preserve"> For Class II drugs, dissolution is the rate-limiting step, so the dissolution profile has the greatest chance of correlating with in vivo performance and a Level A correlation is expected. For Class I drugs, dissolution is rapid and non-limiting, so a simple single-point test suffices and a correlation is expected only if release is slower than gastric emptying. For Class III drugs, permeability limits absorption and dissolution testing is of limited predictive value, although rapid dissolution remains a requirement. For Class IV drugs, in vitro-in vivo relationships are generally poor.</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It guides the choice of test conditions.</w:t>
      </w:r>
      <w:r>
        <w:rPr>
          <w:rFonts w:ascii="Comic Sans MS" w:hAnsi="Comic Sans MS" w:cs="Comic Sans MS" w:eastAsia="Comic Sans MS"/>
          <w:b w:val="0"/>
          <w:i w:val="0"/>
          <w:color w:val="000000"/>
          <w:sz w:val="28"/>
        </w:rPr>
        <w:t xml:space="preserve"> Class II drugs generally require surfactant-containing or biorelevant media to achieve sink conditions, whereas Class I and III drugs can normally be tested in simple aqueous buffers.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It determines the discriminatory power required.</w:t>
      </w:r>
      <w:r>
        <w:rPr>
          <w:rFonts w:ascii="Comic Sans MS" w:hAnsi="Comic Sans MS" w:cs="Comic Sans MS" w:eastAsia="Comic Sans MS"/>
          <w:b w:val="0"/>
          <w:i w:val="0"/>
          <w:color w:val="000000"/>
          <w:sz w:val="28"/>
        </w:rPr>
        <w:t xml:space="preserve"> For Class II products the test must be sensitive to particle size, solid form and excipient changes; for Class I products such sensitivity is unnecessary and may even be undesirable.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It provides the basis for biowaivers,</w:t>
      </w:r>
      <w:r>
        <w:rPr>
          <w:rFonts w:ascii="Comic Sans MS" w:hAnsi="Comic Sans MS" w:cs="Comic Sans MS" w:eastAsia="Comic Sans MS"/>
          <w:b w:val="0"/>
          <w:i w:val="0"/>
          <w:color w:val="000000"/>
          <w:sz w:val="28"/>
        </w:rPr>
        <w:t xml:space="preserve"> as described below, and therefore determines whether the dissolution test can replace a clinical study.</w:t>
      </w:r>
    </w:p>
    <w:p>
      <w:pPr>
        <w:keepNext/>
        <w:spacing w:before="160" w:after="40"/>
      </w:pPr>
      <w:r>
        <w:rPr>
          <w:rFonts w:ascii="Comic Sans MS" w:hAnsi="Comic Sans MS" w:cs="Comic Sans MS" w:eastAsia="Comic Sans MS"/>
          <w:b/>
          <w:i w:val="0"/>
          <w:color w:val="000000"/>
          <w:sz w:val="28"/>
        </w:rPr>
        <w:t>2.8.4 BCS-Based Biowaivers</w:t>
      </w:r>
    </w:p>
    <w:p>
      <w:pPr>
        <w:spacing w:after="160"/>
        <w:jc w:val="both"/>
      </w:pPr>
      <w:r>
        <w:rPr>
          <w:rFonts w:ascii="Comic Sans MS" w:hAnsi="Comic Sans MS" w:cs="Comic Sans MS" w:eastAsia="Comic Sans MS"/>
          <w:b w:val="0"/>
          <w:i w:val="0"/>
          <w:color w:val="000000"/>
          <w:sz w:val="28"/>
        </w:rPr>
        <w:t>A biowaiver is the regulatory acceptance of in vitro dissolution data in place of an in vivo bioequivalence study. Under ICH M9 the approach is applicable to immediate-release, solid, orally administered dosage forms with systemic action, and is restricted to drug substances of BCS Class I and Class III.</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Class I.</w:t>
      </w:r>
      <w:r>
        <w:rPr>
          <w:rFonts w:ascii="Comic Sans MS" w:hAnsi="Comic Sans MS" w:cs="Comic Sans MS" w:eastAsia="Comic Sans MS"/>
          <w:b w:val="0"/>
          <w:i w:val="0"/>
          <w:color w:val="000000"/>
          <w:sz w:val="28"/>
        </w:rPr>
        <w:t xml:space="preserve"> Both the test and the reference product must display either very rapid dissolution (85 per cent or more in 15 minutes or less) or rapid dissolution (85 per cent or more in 30 minutes or less) together with demonstrated similarity of the dissolution profiles by the f2 test, under all the defined conditions. Excipients that may affect absorption should be qualitatively the same and quantitatively similar, within plus or minus 10 per cent.</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Class III.</w:t>
      </w:r>
      <w:r>
        <w:rPr>
          <w:rFonts w:ascii="Comic Sans MS" w:hAnsi="Comic Sans MS" w:cs="Comic Sans MS" w:eastAsia="Comic Sans MS"/>
          <w:b w:val="0"/>
          <w:i w:val="0"/>
          <w:color w:val="000000"/>
          <w:sz w:val="28"/>
        </w:rPr>
        <w:t xml:space="preserve"> Both products must display very rapid dissolution, that is 85 per cent or more in 15 minutes or less. Because Class III drugs are more susceptible to excipient effects, all excipients must be qualitatively the same and quantitatively similar, with the exception of film-coat and capsule-shell components.</w:t>
      </w:r>
    </w:p>
    <w:p>
      <w:pPr>
        <w:spacing w:after="160"/>
        <w:jc w:val="both"/>
      </w:pPr>
      <w:r>
        <w:rPr>
          <w:rFonts w:ascii="Comic Sans MS" w:hAnsi="Comic Sans MS" w:cs="Comic Sans MS" w:eastAsia="Comic Sans MS"/>
          <w:b w:val="0"/>
          <w:i w:val="0"/>
          <w:color w:val="000000"/>
          <w:sz w:val="28"/>
        </w:rPr>
        <w:t>The prescribed comparative dissolution conditions are the paddle apparatus at 50 revolutions per minute or the basket apparatus at 100 revolutions per minute, a medium volume of 900 millilitres or less, a temperature of 37 plus or minus 1 degree Celsius, at least 12 units of each product, and the three pharmacopoeial buffers of pH 1.2, 4.5 and 6.8. Surfactants and organic solvents are not permitted, since they would mask real differences.</w:t>
      </w:r>
    </w:p>
    <w:p>
      <w:pPr>
        <w:spacing w:after="160"/>
        <w:jc w:val="both"/>
      </w:pPr>
      <w:r>
        <w:rPr>
          <w:rFonts w:ascii="Comic Sans MS" w:hAnsi="Comic Sans MS" w:cs="Comic Sans MS" w:eastAsia="Comic Sans MS"/>
          <w:b w:val="0"/>
          <w:i w:val="0"/>
          <w:color w:val="000000"/>
          <w:sz w:val="28"/>
        </w:rPr>
        <w:t xml:space="preserve">Biowaivers are </w:t>
      </w:r>
      <w:r>
        <w:rPr>
          <w:rFonts w:ascii="Comic Sans MS" w:hAnsi="Comic Sans MS" w:cs="Comic Sans MS" w:eastAsia="Comic Sans MS"/>
          <w:b/>
          <w:i w:val="0"/>
          <w:color w:val="000000"/>
          <w:sz w:val="28"/>
        </w:rPr>
        <w:t>not</w:t>
      </w:r>
      <w:r>
        <w:rPr>
          <w:rFonts w:ascii="Comic Sans MS" w:hAnsi="Comic Sans MS" w:cs="Comic Sans MS" w:eastAsia="Comic Sans MS"/>
          <w:b w:val="0"/>
          <w:i w:val="0"/>
          <w:color w:val="000000"/>
          <w:sz w:val="28"/>
        </w:rPr>
        <w:t xml:space="preserve"> applicable to drugs with a narrow therapeutic index, to products intended for absorption in the oral cavity, to modified-release products, or to fixed-dose combinations containing a drug outside Class I or III, except as specifically provided.</w:t>
      </w:r>
    </w:p>
    <w:p>
      <w:pPr>
        <w:keepNext/>
        <w:spacing w:before="160" w:after="40"/>
      </w:pPr>
      <w:r>
        <w:rPr>
          <w:rFonts w:ascii="Comic Sans MS" w:hAnsi="Comic Sans MS" w:cs="Comic Sans MS" w:eastAsia="Comic Sans MS"/>
          <w:b/>
          <w:i w:val="0"/>
          <w:color w:val="000000"/>
          <w:sz w:val="28"/>
        </w:rPr>
        <w:t>2.8.5 Application of the BCS in Dosage Form Development</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Early classification focuses development effort.</w:t>
      </w:r>
      <w:r>
        <w:rPr>
          <w:rFonts w:ascii="Comic Sans MS" w:hAnsi="Comic Sans MS" w:cs="Comic Sans MS" w:eastAsia="Comic Sans MS"/>
          <w:b w:val="0"/>
          <w:i w:val="0"/>
          <w:color w:val="000000"/>
          <w:sz w:val="28"/>
        </w:rPr>
        <w:t xml:space="preserve"> Determining the provisional class as soon as solubility and permeability data exist tells the formulator whether the problem is dissolution, permeation or both.</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Class I.</w:t>
      </w:r>
      <w:r>
        <w:rPr>
          <w:rFonts w:ascii="Comic Sans MS" w:hAnsi="Comic Sans MS" w:cs="Comic Sans MS" w:eastAsia="Comic Sans MS"/>
          <w:b w:val="0"/>
          <w:i w:val="0"/>
          <w:color w:val="000000"/>
          <w:sz w:val="28"/>
        </w:rPr>
        <w:t xml:space="preserve"> Conventional immediate-release formulations suffice. The main risk is that the formulation should not be made unnecessarily slow to release; modified-release forms are technically straightforward and often desirable to reduce dosing frequency.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Class II.</w:t>
      </w:r>
      <w:r>
        <w:rPr>
          <w:rFonts w:ascii="Comic Sans MS" w:hAnsi="Comic Sans MS" w:cs="Comic Sans MS" w:eastAsia="Comic Sans MS"/>
          <w:b w:val="0"/>
          <w:i w:val="0"/>
          <w:color w:val="000000"/>
          <w:sz w:val="28"/>
        </w:rPr>
        <w:t xml:space="preserve"> All effort is directed at solubility and dissolution enhancement: particle size reduction and nanosizing, salt and co-crystal formation, amorphous solid dispersions, lipid-based and self-emulsifying systems, complexation with cyclodextrins and use of surfactants. These strategies are the subject of Unit III. Food effects are common and often positive.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Class III.</w:t>
      </w:r>
      <w:r>
        <w:rPr>
          <w:rFonts w:ascii="Comic Sans MS" w:hAnsi="Comic Sans MS" w:cs="Comic Sans MS" w:eastAsia="Comic Sans MS"/>
          <w:b w:val="0"/>
          <w:i w:val="0"/>
          <w:color w:val="000000"/>
          <w:sz w:val="28"/>
        </w:rPr>
        <w:t xml:space="preserve"> Effort is directed at permeation: prodrugs, permeation enhancers, tight-junction modulators, mucoadhesive systems and, where these fail, alternative routes. Rapid and complete dissolution in the upper gastrointestinal tract must be ensured so that the drug is presented at its absorption window; extended-release forms are often unsuitable because of a narrow absorption window.</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Class IV.</w:t>
      </w:r>
      <w:r>
        <w:rPr>
          <w:rFonts w:ascii="Comic Sans MS" w:hAnsi="Comic Sans MS" w:cs="Comic Sans MS" w:eastAsia="Comic Sans MS"/>
          <w:b w:val="0"/>
          <w:i w:val="0"/>
          <w:color w:val="000000"/>
          <w:sz w:val="28"/>
        </w:rPr>
        <w:t xml:space="preserve"> The most difficult. Lipid-based systems, nanocrystals, prodrugs, or a change of route (parenteral, nasal, pulmonary) are considered; frequently the molecule is returned to medicinal chemistry.</w:t>
      </w:r>
    </w:p>
    <w:p>
      <w:pPr>
        <w:spacing w:after="160"/>
        <w:jc w:val="both"/>
      </w:pPr>
      <w:r>
        <w:rPr>
          <w:rFonts w:ascii="Comic Sans MS" w:hAnsi="Comic Sans MS" w:cs="Comic Sans MS" w:eastAsia="Comic Sans MS"/>
          <w:b w:val="0"/>
          <w:i w:val="0"/>
          <w:color w:val="000000"/>
          <w:sz w:val="28"/>
        </w:rPr>
        <w:t xml:space="preserve">A related refinement, the </w:t>
      </w:r>
      <w:r>
        <w:rPr>
          <w:rFonts w:ascii="Comic Sans MS" w:hAnsi="Comic Sans MS" w:cs="Comic Sans MS" w:eastAsia="Comic Sans MS"/>
          <w:b/>
          <w:i w:val="0"/>
          <w:color w:val="000000"/>
          <w:sz w:val="28"/>
        </w:rPr>
        <w:t>Biopharmaceutics Drug Disposition Classification System (BDDCS)</w:t>
      </w:r>
      <w:r>
        <w:rPr>
          <w:rFonts w:ascii="Comic Sans MS" w:hAnsi="Comic Sans MS" w:cs="Comic Sans MS" w:eastAsia="Comic Sans MS"/>
          <w:b w:val="0"/>
          <w:i w:val="0"/>
          <w:color w:val="000000"/>
          <w:sz w:val="28"/>
        </w:rPr>
        <w:t>, replaces permeability with the extent of metabolism and is useful for predicting drug interactions and the role of transporters.</w:t>
      </w:r>
    </w:p>
    <w:p>
      <w:pPr>
        <w:keepNext/>
        <w:spacing w:before="160" w:after="40"/>
      </w:pPr>
      <w:r>
        <w:rPr>
          <w:rFonts w:ascii="Comic Sans MS" w:hAnsi="Comic Sans MS" w:cs="Comic Sans MS" w:eastAsia="Comic Sans MS"/>
          <w:b/>
          <w:i w:val="0"/>
          <w:color w:val="000000"/>
          <w:sz w:val="28"/>
        </w:rPr>
        <w:t>2.9 Selection of Dissolution Media and Conditions</w:t>
      </w:r>
    </w:p>
    <w:p>
      <w:pPr>
        <w:keepNext/>
        <w:spacing w:before="160" w:after="40"/>
      </w:pPr>
      <w:r>
        <w:rPr>
          <w:rFonts w:ascii="Comic Sans MS" w:hAnsi="Comic Sans MS" w:cs="Comic Sans MS" w:eastAsia="Comic Sans MS"/>
          <w:b/>
          <w:i w:val="0"/>
          <w:color w:val="000000"/>
          <w:sz w:val="28"/>
        </w:rPr>
        <w:t>2.9.1 Principles of Medium Selection</w:t>
      </w:r>
    </w:p>
    <w:p>
      <w:pPr>
        <w:spacing w:after="160"/>
        <w:jc w:val="both"/>
      </w:pPr>
      <w:r>
        <w:rPr>
          <w:rFonts w:ascii="Comic Sans MS" w:hAnsi="Comic Sans MS" w:cs="Comic Sans MS" w:eastAsia="Comic Sans MS"/>
          <w:b w:val="0"/>
          <w:i w:val="0"/>
          <w:color w:val="000000"/>
          <w:sz w:val="28"/>
        </w:rPr>
        <w:t>The medium should be physiologically relevant, should maintain sink conditions, should be simple, inexpensive and reproducible, and should allow the test to discriminate between acceptable and unacceptable product. These aims sometimes conflict, and method development is the art of balancing them.</w:t>
      </w:r>
    </w:p>
    <w:p>
      <w:pPr>
        <w:spacing w:after="160"/>
        <w:jc w:val="both"/>
      </w:pPr>
      <w:r>
        <w:rPr>
          <w:rFonts w:ascii="Comic Sans MS" w:hAnsi="Comic Sans MS" w:cs="Comic Sans MS" w:eastAsia="Comic Sans MS"/>
          <w:b w:val="0"/>
          <w:i w:val="0"/>
          <w:color w:val="000000"/>
          <w:sz w:val="28"/>
        </w:rPr>
        <w:t>The general sequence of development is to determine the equilibrium solubility of the drug across the physiological pH range, to calculate the volume needed to dissolve the highest strength under sink conditions, to select the simplest medium that meets that requirement, and then to challenge the method for discriminatory power using deliberately varied formulations.</w:t>
      </w:r>
    </w:p>
    <w:p>
      <w:pPr>
        <w:keepNext/>
        <w:spacing w:before="160" w:after="40"/>
      </w:pPr>
      <w:r>
        <w:rPr>
          <w:rFonts w:ascii="Comic Sans MS" w:hAnsi="Comic Sans MS" w:cs="Comic Sans MS" w:eastAsia="Comic Sans MS"/>
          <w:b/>
          <w:i w:val="0"/>
          <w:color w:val="000000"/>
          <w:sz w:val="28"/>
        </w:rPr>
        <w:t>2.9.2 Commonly Used Media</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Water.</w:t>
      </w:r>
      <w:r>
        <w:rPr>
          <w:rFonts w:ascii="Comic Sans MS" w:hAnsi="Comic Sans MS" w:cs="Comic Sans MS" w:eastAsia="Comic Sans MS"/>
          <w:b w:val="0"/>
          <w:i w:val="0"/>
          <w:color w:val="000000"/>
          <w:sz w:val="28"/>
        </w:rPr>
        <w:t xml:space="preserve"> Simple and cheap, but its pH varies with the source, it is not buffered, and the pH may drift during the test as the formulation dissolves. It is acceptable only where solubility is pH independent and where it can be justified.</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0.1 molar hydrochloric acid and simulated gastric fluid</w:t>
      </w:r>
      <w:r>
        <w:rPr>
          <w:rFonts w:ascii="Comic Sans MS" w:hAnsi="Comic Sans MS" w:cs="Comic Sans MS" w:eastAsia="Comic Sans MS"/>
          <w:b w:val="0"/>
          <w:i w:val="0"/>
          <w:color w:val="000000"/>
          <w:sz w:val="28"/>
        </w:rPr>
        <w:t xml:space="preserve"> (pH about 1.2), with or without pepsin; used to represent the fasted stomach and as the acid stage for enteric-coated products.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Acetate buffer pH 4.5</w:t>
      </w:r>
      <w:r>
        <w:rPr>
          <w:rFonts w:ascii="Comic Sans MS" w:hAnsi="Comic Sans MS" w:cs="Comic Sans MS" w:eastAsia="Comic Sans MS"/>
          <w:b w:val="0"/>
          <w:i w:val="0"/>
          <w:color w:val="000000"/>
          <w:sz w:val="28"/>
        </w:rPr>
        <w:t xml:space="preserve"> and </w:t>
      </w:r>
      <w:r>
        <w:rPr>
          <w:rFonts w:ascii="Comic Sans MS" w:hAnsi="Comic Sans MS" w:cs="Comic Sans MS" w:eastAsia="Comic Sans MS"/>
          <w:b/>
          <w:i w:val="0"/>
          <w:color w:val="000000"/>
          <w:sz w:val="28"/>
        </w:rPr>
        <w:t>phosphate buffers pH 6.8 and 7.2</w:t>
      </w:r>
      <w:r>
        <w:rPr>
          <w:rFonts w:ascii="Comic Sans MS" w:hAnsi="Comic Sans MS" w:cs="Comic Sans MS" w:eastAsia="Comic Sans MS"/>
          <w:b w:val="0"/>
          <w:i w:val="0"/>
          <w:color w:val="000000"/>
          <w:sz w:val="28"/>
        </w:rPr>
        <w:t>, including simulated intestinal fluid with or without pancreatin; used to represent the small intestine.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Buffers across pH 1.2 to 7.5.</w:t>
      </w:r>
      <w:r>
        <w:rPr>
          <w:rFonts w:ascii="Comic Sans MS" w:hAnsi="Comic Sans MS" w:cs="Comic Sans MS" w:eastAsia="Comic Sans MS"/>
          <w:b w:val="0"/>
          <w:i w:val="0"/>
          <w:color w:val="000000"/>
          <w:sz w:val="28"/>
        </w:rPr>
        <w:t xml:space="preserve"> The pharmacopoeias specify that the pH should generally be within this range, since it covers the physiological span.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Surfactant-containing media.</w:t>
      </w:r>
      <w:r>
        <w:rPr>
          <w:rFonts w:ascii="Comic Sans MS" w:hAnsi="Comic Sans MS" w:cs="Comic Sans MS" w:eastAsia="Comic Sans MS"/>
          <w:b w:val="0"/>
          <w:i w:val="0"/>
          <w:color w:val="000000"/>
          <w:sz w:val="28"/>
        </w:rPr>
        <w:t xml:space="preserve"> Sodium lauryl sulphate, commonly at 0.1 to 2 per cent weight per volume, and also polysorbate 80, cetrimide and bile salt-lecithin mixtures, are added to poorly soluble drugs to provide micellar solubilisation and adequate wetting. The lowest concentration that achieves sink conditions should be used, and its use must be justified, because surfactants can mask formulation differences.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Media containing enzymes.</w:t>
      </w:r>
      <w:r>
        <w:rPr>
          <w:rFonts w:ascii="Comic Sans MS" w:hAnsi="Comic Sans MS" w:cs="Comic Sans MS" w:eastAsia="Comic Sans MS"/>
          <w:b w:val="0"/>
          <w:i w:val="0"/>
          <w:color w:val="000000"/>
          <w:sz w:val="28"/>
        </w:rPr>
        <w:t xml:space="preserve"> Pepsin and pancreatin are added where cross-linking of gelatin capsule shells is demonstrated, since cross-linked gelatin forms a membrane that retards release in vitro but not in vivo.</w:t>
      </w:r>
    </w:p>
    <w:p>
      <w:pPr>
        <w:keepNext/>
        <w:spacing w:before="160" w:after="40"/>
      </w:pPr>
      <w:r>
        <w:rPr>
          <w:rFonts w:ascii="Comic Sans MS" w:hAnsi="Comic Sans MS" w:cs="Comic Sans MS" w:eastAsia="Comic Sans MS"/>
          <w:b/>
          <w:i w:val="0"/>
          <w:color w:val="000000"/>
          <w:sz w:val="28"/>
        </w:rPr>
        <w:t>2.9.3 Biorelevant Media</w:t>
      </w:r>
    </w:p>
    <w:p>
      <w:pPr>
        <w:spacing w:after="160"/>
        <w:jc w:val="both"/>
      </w:pPr>
      <w:r>
        <w:rPr>
          <w:rFonts w:ascii="Comic Sans MS" w:hAnsi="Comic Sans MS" w:cs="Comic Sans MS" w:eastAsia="Comic Sans MS"/>
          <w:b w:val="0"/>
          <w:i w:val="0"/>
          <w:color w:val="000000"/>
          <w:sz w:val="28"/>
        </w:rPr>
        <w:t>Biorelevant media attempt to reproduce the composition of gastrointestinal fluids and are particularly valuable for poorly soluble, lipophilic drugs and for lipid-based formulations, where simple buffers grossly underestimate in vivo solubility.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Fasted-state simulated gastric fluid (FaSSGF).</w:t>
      </w:r>
      <w:r>
        <w:rPr>
          <w:rFonts w:ascii="Comic Sans MS" w:hAnsi="Comic Sans MS" w:cs="Comic Sans MS" w:eastAsia="Comic Sans MS"/>
          <w:b w:val="0"/>
          <w:i w:val="0"/>
          <w:color w:val="000000"/>
          <w:sz w:val="28"/>
        </w:rPr>
        <w:t xml:space="preserve"> pH about 1.6, containing low concentrations of sodium taurocholate and lecithin and pepsin.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Fed-state simulated gastric fluid (FeSSGF).</w:t>
      </w:r>
      <w:r>
        <w:rPr>
          <w:rFonts w:ascii="Comic Sans MS" w:hAnsi="Comic Sans MS" w:cs="Comic Sans MS" w:eastAsia="Comic Sans MS"/>
          <w:b w:val="0"/>
          <w:i w:val="0"/>
          <w:color w:val="000000"/>
          <w:sz w:val="28"/>
        </w:rPr>
        <w:t xml:space="preserve"> pH about 5, of higher buffer capacity and osmolality, often based on milk to represent the lipid and protein content of a meal.</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Fasted-state simulated intestinal fluid (FaSSIF).</w:t>
      </w:r>
      <w:r>
        <w:rPr>
          <w:rFonts w:ascii="Comic Sans MS" w:hAnsi="Comic Sans MS" w:cs="Comic Sans MS" w:eastAsia="Comic Sans MS"/>
          <w:b w:val="0"/>
          <w:i w:val="0"/>
          <w:color w:val="000000"/>
          <w:sz w:val="28"/>
        </w:rPr>
        <w:t xml:space="preserve"> pH 6.5, containing about 3 millimolar sodium taurocholate and 0.75 millimolar lecithin, with an osmolality and buffer capacity matched to the fasted jejunum.</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Fed-state simulated intestinal fluid (FeSSIF).</w:t>
      </w:r>
      <w:r>
        <w:rPr>
          <w:rFonts w:ascii="Comic Sans MS" w:hAnsi="Comic Sans MS" w:cs="Comic Sans MS" w:eastAsia="Comic Sans MS"/>
          <w:b w:val="0"/>
          <w:i w:val="0"/>
          <w:color w:val="000000"/>
          <w:sz w:val="28"/>
        </w:rPr>
        <w:t xml:space="preserve"> pH 5, containing about 15 millimolar sodium taurocholate and 3.75 millimolar lecithin, of higher osmolality and buffer capacity; later versions add monoglycerides and free fatty acids.</w:t>
      </w:r>
    </w:p>
    <w:p>
      <w:pPr>
        <w:spacing w:after="160"/>
        <w:jc w:val="both"/>
      </w:pPr>
      <w:r>
        <w:rPr>
          <w:rFonts w:ascii="Comic Sans MS" w:hAnsi="Comic Sans MS" w:cs="Comic Sans MS" w:eastAsia="Comic Sans MS"/>
          <w:b w:val="0"/>
          <w:i w:val="0"/>
          <w:color w:val="000000"/>
          <w:sz w:val="28"/>
        </w:rPr>
        <w:t>These media have greater discriminating power for Class II drugs and are the basis of much biopredictive dissolution testing, but they are expensive, less stable and more variable, and are therefore used in development rather than in routine quality control.</w:t>
      </w:r>
    </w:p>
    <w:p>
      <w:pPr>
        <w:keepNext/>
        <w:spacing w:before="160" w:after="40"/>
      </w:pPr>
      <w:r>
        <w:rPr>
          <w:rFonts w:ascii="Comic Sans MS" w:hAnsi="Comic Sans MS" w:cs="Comic Sans MS" w:eastAsia="Comic Sans MS"/>
          <w:b/>
          <w:i w:val="0"/>
          <w:color w:val="000000"/>
          <w:sz w:val="28"/>
        </w:rPr>
        <w:t>2.9.4 Selection of the Remaining Conditions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Apparatus.</w:t>
      </w:r>
      <w:r>
        <w:rPr>
          <w:rFonts w:ascii="Comic Sans MS" w:hAnsi="Comic Sans MS" w:cs="Comic Sans MS" w:eastAsia="Comic Sans MS"/>
          <w:b w:val="0"/>
          <w:i w:val="0"/>
          <w:color w:val="000000"/>
          <w:sz w:val="28"/>
        </w:rPr>
        <w:t xml:space="preserve"> Paddle for tablets, basket for capsules and floating forms, reciprocating cylinder where sequential media are needed, flow-through cell for very poorly soluble or low-dose products and implants.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Volume.</w:t>
      </w:r>
      <w:r>
        <w:rPr>
          <w:rFonts w:ascii="Comic Sans MS" w:hAnsi="Comic Sans MS" w:cs="Comic Sans MS" w:eastAsia="Comic Sans MS"/>
          <w:b w:val="0"/>
          <w:i w:val="0"/>
          <w:color w:val="000000"/>
          <w:sz w:val="28"/>
        </w:rPr>
        <w:t xml:space="preserve"> Chosen to maintain sink conditions; 900 millilitres is conventional, larger volumes up to 4 litres are permitted with justification, and small-volume vessels are used for low-dose products.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Agitation rate.</w:t>
      </w:r>
      <w:r>
        <w:rPr>
          <w:rFonts w:ascii="Comic Sans MS" w:hAnsi="Comic Sans MS" w:cs="Comic Sans MS" w:eastAsia="Comic Sans MS"/>
          <w:b w:val="0"/>
          <w:i w:val="0"/>
          <w:color w:val="000000"/>
          <w:sz w:val="28"/>
        </w:rPr>
        <w:t xml:space="preserve"> Low enough to discriminate, high enough to avoid coning and to give reproducible hydrodynamics. Excessive speed flattens differences between formulations.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Sinkers.</w:t>
      </w:r>
      <w:r>
        <w:rPr>
          <w:rFonts w:ascii="Comic Sans MS" w:hAnsi="Comic Sans MS" w:cs="Comic Sans MS" w:eastAsia="Comic Sans MS"/>
          <w:b w:val="0"/>
          <w:i w:val="0"/>
          <w:color w:val="000000"/>
          <w:sz w:val="28"/>
        </w:rPr>
        <w:t xml:space="preserve"> Standardised and reported, since different sinkers change the hydrodynamics and hence the result.</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Sampling times.</w:t>
      </w:r>
      <w:r>
        <w:rPr>
          <w:rFonts w:ascii="Comic Sans MS" w:hAnsi="Comic Sans MS" w:cs="Comic Sans MS" w:eastAsia="Comic Sans MS"/>
          <w:b w:val="0"/>
          <w:i w:val="0"/>
          <w:color w:val="000000"/>
          <w:sz w:val="28"/>
        </w:rPr>
        <w:t xml:space="preserve"> Sufficient to characterise the profile; for immediate release typically 5, 10, 15, 20, 30, 45 and 60 minutes; for extended release, points spanning the intended duration with at least three specification points.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pH and buffer capacity.</w:t>
      </w:r>
      <w:r>
        <w:rPr>
          <w:rFonts w:ascii="Comic Sans MS" w:hAnsi="Comic Sans MS" w:cs="Comic Sans MS" w:eastAsia="Comic Sans MS"/>
          <w:b w:val="0"/>
          <w:i w:val="0"/>
          <w:color w:val="000000"/>
          <w:sz w:val="28"/>
        </w:rPr>
        <w:t xml:space="preserve"> Buffer capacity must be adequate to prevent the dosage form from shifting the pH, but not so high as to be unphysiological.</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Degassing, filtration and analytical finish.</w:t>
      </w:r>
      <w:r>
        <w:rPr>
          <w:rFonts w:ascii="Comic Sans MS" w:hAnsi="Comic Sans MS" w:cs="Comic Sans MS" w:eastAsia="Comic Sans MS"/>
          <w:b w:val="0"/>
          <w:i w:val="0"/>
          <w:color w:val="000000"/>
          <w:sz w:val="28"/>
        </w:rPr>
        <w:t xml:space="preserve"> As described in section 2.6.1.</w:t>
      </w:r>
    </w:p>
    <w:p>
      <w:pPr>
        <w:keepNext/>
        <w:spacing w:before="160" w:after="40"/>
      </w:pPr>
      <w:r>
        <w:rPr>
          <w:rFonts w:ascii="Comic Sans MS" w:hAnsi="Comic Sans MS" w:cs="Comic Sans MS" w:eastAsia="Comic Sans MS"/>
          <w:b/>
          <w:i w:val="0"/>
          <w:color w:val="000000"/>
          <w:sz w:val="28"/>
        </w:rPr>
        <w:t>2.10 Comparison of Dissolution Profiles</w:t>
      </w:r>
    </w:p>
    <w:p>
      <w:pPr>
        <w:spacing w:after="160"/>
        <w:jc w:val="both"/>
      </w:pPr>
      <w:r>
        <w:rPr>
          <w:rFonts w:ascii="Comic Sans MS" w:hAnsi="Comic Sans MS" w:cs="Comic Sans MS" w:eastAsia="Comic Sans MS"/>
          <w:b w:val="0"/>
          <w:i w:val="0"/>
          <w:color w:val="000000"/>
          <w:sz w:val="28"/>
        </w:rPr>
        <w:t>The comparison of two dissolution profiles, typically a test product against a reference product, or a post-change batch against a pre-change batch, is central to regulatory decision making. Methods fall into two groups: model-independent methods, which compare the data directly, and model-dependent methods, which first fit the data to a mathematical function and then compare the fitted parameters.</w:t>
      </w:r>
    </w:p>
    <w:p>
      <w:pPr>
        <w:keepNext/>
        <w:spacing w:before="160" w:after="40"/>
      </w:pPr>
      <w:r>
        <w:rPr>
          <w:rFonts w:ascii="Comic Sans MS" w:hAnsi="Comic Sans MS" w:cs="Comic Sans MS" w:eastAsia="Comic Sans MS"/>
          <w:b/>
          <w:i w:val="0"/>
          <w:color w:val="000000"/>
          <w:sz w:val="28"/>
        </w:rPr>
        <w:t>2.10.1 Model-Independent Methods: the Difference and Similarity Factors</w:t>
      </w:r>
    </w:p>
    <w:p>
      <w:pPr>
        <w:spacing w:after="160"/>
        <w:jc w:val="both"/>
      </w:pPr>
      <w:r>
        <w:rPr>
          <w:rFonts w:ascii="Comic Sans MS" w:hAnsi="Comic Sans MS" w:cs="Comic Sans MS" w:eastAsia="Comic Sans MS"/>
          <w:b w:val="0"/>
          <w:i w:val="0"/>
          <w:color w:val="000000"/>
          <w:sz w:val="28"/>
        </w:rPr>
        <w:t>Moore and Flanner proposed two fit factors that have since been adopted worldwide.</w:t>
      </w:r>
    </w:p>
    <w:p>
      <w:pPr>
        <w:spacing w:after="160"/>
        <w:jc w:val="both"/>
      </w:pPr>
      <w:r>
        <w:rPr>
          <w:rFonts w:ascii="Comic Sans MS" w:hAnsi="Comic Sans MS" w:cs="Comic Sans MS" w:eastAsia="Comic Sans MS"/>
          <w:b/>
          <w:i w:val="0"/>
          <w:color w:val="000000"/>
          <w:sz w:val="28"/>
        </w:rPr>
        <w:t>Difference factor, f1 (dissimilarity factor).</w:t>
      </w:r>
      <w:r>
        <w:rPr>
          <w:rFonts w:ascii="Comic Sans MS" w:hAnsi="Comic Sans MS" w:cs="Comic Sans MS" w:eastAsia="Comic Sans MS"/>
          <w:b w:val="0"/>
          <w:i w:val="0"/>
          <w:color w:val="000000"/>
          <w:sz w:val="28"/>
        </w:rPr>
        <w:t xml:space="preserve"> This measures the percentage difference between the two curves at each time point and is therefore a measure of the relative error between them:</w:t>
      </w:r>
    </w:p>
    <w:p>
      <w:pPr>
        <w:spacing w:after="160"/>
        <w:jc w:val="both"/>
      </w:pPr>
      <w:r>
        <w:rPr>
          <w:rFonts w:ascii="Comic Sans MS" w:hAnsi="Comic Sans MS" w:cs="Comic Sans MS" w:eastAsia="Comic Sans MS"/>
          <w:b/>
          <w:i w:val="0"/>
          <w:color w:val="000000"/>
          <w:sz w:val="28"/>
        </w:rPr>
        <w:t>f1 = { [ sum of |Rt - Tt| ] / [ sum of Rt ] } x 100</w:t>
      </w:r>
    </w:p>
    <w:p>
      <w:pPr>
        <w:spacing w:after="160"/>
        <w:jc w:val="both"/>
      </w:pPr>
      <w:r>
        <w:rPr>
          <w:rFonts w:ascii="Comic Sans MS" w:hAnsi="Comic Sans MS" w:cs="Comic Sans MS" w:eastAsia="Comic Sans MS"/>
          <w:b w:val="0"/>
          <w:i w:val="0"/>
          <w:color w:val="000000"/>
          <w:sz w:val="28"/>
        </w:rPr>
        <w:t xml:space="preserve">where n is the number of time points, Rt is the percentage dissolved from the reference at time t and Tt is the percentage dissolved from the test product at time t. f1 is zero when the profiles are identical and increases as the difference grows. </w:t>
      </w:r>
      <w:r>
        <w:rPr>
          <w:rFonts w:ascii="Comic Sans MS" w:hAnsi="Comic Sans MS" w:cs="Comic Sans MS" w:eastAsia="Comic Sans MS"/>
          <w:b/>
          <w:i w:val="0"/>
          <w:color w:val="000000"/>
          <w:sz w:val="28"/>
        </w:rPr>
        <w:t>Values between 0 and 15 are considered acceptable,</w:t>
      </w:r>
      <w:r>
        <w:rPr>
          <w:rFonts w:ascii="Comic Sans MS" w:hAnsi="Comic Sans MS" w:cs="Comic Sans MS" w:eastAsia="Comic Sans MS"/>
          <w:b w:val="0"/>
          <w:i w:val="0"/>
          <w:color w:val="000000"/>
          <w:sz w:val="28"/>
        </w:rPr>
        <w:t xml:space="preserve"> that is, indicative of similarity.</w:t>
      </w:r>
    </w:p>
    <w:p>
      <w:pPr>
        <w:spacing w:after="160"/>
        <w:jc w:val="both"/>
      </w:pPr>
      <w:r>
        <w:rPr>
          <w:rFonts w:ascii="Comic Sans MS" w:hAnsi="Comic Sans MS" w:cs="Comic Sans MS" w:eastAsia="Comic Sans MS"/>
          <w:b/>
          <w:i w:val="0"/>
          <w:color w:val="000000"/>
          <w:sz w:val="28"/>
        </w:rPr>
        <w:t>Similarity factor, f2.</w:t>
      </w:r>
      <w:r>
        <w:rPr>
          <w:rFonts w:ascii="Comic Sans MS" w:hAnsi="Comic Sans MS" w:cs="Comic Sans MS" w:eastAsia="Comic Sans MS"/>
          <w:b w:val="0"/>
          <w:i w:val="0"/>
          <w:color w:val="000000"/>
          <w:sz w:val="28"/>
        </w:rPr>
        <w:t xml:space="preserve"> This is a logarithmic reciprocal square-root transformation of the sum of squared differences, and it measures the closeness of the two profiles:</w:t>
      </w:r>
    </w:p>
    <w:p>
      <w:pPr>
        <w:spacing w:after="160"/>
        <w:jc w:val="both"/>
      </w:pPr>
      <w:r>
        <w:rPr>
          <w:rFonts w:ascii="Comic Sans MS" w:hAnsi="Comic Sans MS" w:cs="Comic Sans MS" w:eastAsia="Comic Sans MS"/>
          <w:b/>
          <w:i w:val="0"/>
          <w:color w:val="000000"/>
          <w:sz w:val="28"/>
        </w:rPr>
        <w:t>f2 = 50 x log { [ 1 + (1/n) x sum of (Rt - Tt)squared ] raised to the power minus 0.5 x 100 }</w:t>
      </w:r>
    </w:p>
    <w:p>
      <w:pPr>
        <w:spacing w:after="160"/>
        <w:jc w:val="both"/>
      </w:pPr>
      <w:r>
        <w:rPr>
          <w:rFonts w:ascii="Comic Sans MS" w:hAnsi="Comic Sans MS" w:cs="Comic Sans MS" w:eastAsia="Comic Sans MS"/>
          <w:b w:val="0"/>
          <w:i w:val="0"/>
          <w:color w:val="000000"/>
          <w:sz w:val="28"/>
        </w:rPr>
        <w:t xml:space="preserve">f2 takes the value 100 when the two profiles are identical, and falls as the difference increases. An average difference of 10 per cent at all time points gives an f2 value of approximately 50, which is the origin of the accepted criterion. </w:t>
      </w:r>
      <w:r>
        <w:rPr>
          <w:rFonts w:ascii="Comic Sans MS" w:hAnsi="Comic Sans MS" w:cs="Comic Sans MS" w:eastAsia="Comic Sans MS"/>
          <w:b/>
          <w:i w:val="0"/>
          <w:color w:val="000000"/>
          <w:sz w:val="28"/>
        </w:rPr>
        <w:t>The profiles are considered similar when f2 is 50 or greater,</w:t>
      </w:r>
      <w:r>
        <w:rPr>
          <w:rFonts w:ascii="Comic Sans MS" w:hAnsi="Comic Sans MS" w:cs="Comic Sans MS" w:eastAsia="Comic Sans MS"/>
          <w:b w:val="0"/>
          <w:i w:val="0"/>
          <w:color w:val="000000"/>
          <w:sz w:val="28"/>
        </w:rPr>
        <w:t xml:space="preserve"> and the practical range used is 50 to 100.</w:t>
      </w:r>
    </w:p>
    <w:p>
      <w:pPr>
        <w:spacing w:after="160"/>
        <w:jc w:val="both"/>
      </w:pPr>
      <w:r>
        <w:rPr>
          <w:rFonts w:ascii="Comic Sans MS" w:hAnsi="Comic Sans MS" w:cs="Comic Sans MS" w:eastAsia="Comic Sans MS"/>
          <w:b w:val="0"/>
          <w:i w:val="0"/>
          <w:color w:val="000000"/>
          <w:sz w:val="28"/>
        </w:rPr>
        <w:t>Because f2 depends on the sum of squared differences, it gives greater weight to large deviations at individual time points, and is therefore more discriminating than f1.</w:t>
      </w:r>
    </w:p>
    <w:p>
      <w:pPr>
        <w:keepNext/>
        <w:spacing w:before="160" w:after="40"/>
      </w:pPr>
      <w:r>
        <w:rPr>
          <w:rFonts w:ascii="Comic Sans MS" w:hAnsi="Comic Sans MS" w:cs="Comic Sans MS" w:eastAsia="Comic Sans MS"/>
          <w:b/>
          <w:i w:val="0"/>
          <w:color w:val="000000"/>
          <w:sz w:val="28"/>
        </w:rPr>
        <w:t>2.10.2 Conditions and Cautions for the Use of f2</w:t>
      </w:r>
    </w:p>
    <w:p>
      <w:pPr>
        <w:spacing w:after="160"/>
        <w:jc w:val="both"/>
      </w:pPr>
      <w:r>
        <w:rPr>
          <w:rFonts w:ascii="Comic Sans MS" w:hAnsi="Comic Sans MS" w:cs="Comic Sans MS" w:eastAsia="Comic Sans MS"/>
          <w:b w:val="0"/>
          <w:i w:val="0"/>
          <w:color w:val="000000"/>
          <w:sz w:val="28"/>
        </w:rPr>
        <w:t>The f2 test is deceptively simple and is frequently misapplied. The conditions specified in ICH M9 and in the corresponding FDA and EMA guidance are: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A minimum of three time points, excluding zero.</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The time points must be the same for the two products, and sampling should not be unnecessarily dense, since adding points beyond the plateau inflates f2 artificially.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The mean of the individual values at each time point is used, calculated from at least 12 units of each product.</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Not more than one mean value of 85 per cent or more dissolved</w:t>
      </w:r>
      <w:r>
        <w:rPr>
          <w:rFonts w:ascii="Comic Sans MS" w:hAnsi="Comic Sans MS" w:cs="Comic Sans MS" w:eastAsia="Comic Sans MS"/>
          <w:b w:val="0"/>
          <w:i w:val="0"/>
          <w:color w:val="000000"/>
          <w:sz w:val="28"/>
        </w:rPr>
        <w:t xml:space="preserve"> should be included for either product. Including several points on the plateau, where both profiles have converged, drives f2 upwards and destroys the discriminating power of the test.</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To justify the use of mean data, the coefficient of variation must not exceed 20 per cent at the early time points, up to 10 minutes, and must not exceed 10 per cent at the later time points. Where variability is greater, the f2 calculation is considered unreliable and alternative approaches, such as the bootstrap f2 or multivariate statistical distance, must be used.</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 xml:space="preserve">Where both the test and the reference products dissolve to the extent of 85 per cent or more within 15 minutes, the profiles are considered similar and </w:t>
      </w:r>
      <w:r>
        <w:rPr>
          <w:rFonts w:ascii="Comic Sans MS" w:hAnsi="Comic Sans MS" w:cs="Comic Sans MS" w:eastAsia="Comic Sans MS"/>
          <w:b/>
          <w:i w:val="0"/>
          <w:color w:val="000000"/>
          <w:sz w:val="28"/>
        </w:rPr>
        <w:t>no f2 calculation is necessary.</w:t>
      </w:r>
    </w:p>
    <w:p>
      <w:pPr>
        <w:spacing w:after="160"/>
        <w:jc w:val="both"/>
      </w:pPr>
      <w:r>
        <w:rPr>
          <w:rFonts w:ascii="Comic Sans MS" w:hAnsi="Comic Sans MS" w:cs="Comic Sans MS" w:eastAsia="Comic Sans MS"/>
          <w:b w:val="0"/>
          <w:i w:val="0"/>
          <w:color w:val="000000"/>
          <w:sz w:val="28"/>
        </w:rPr>
        <w:t>Further limitations are that f2 is a single summary number that ignores the shape and the sequence of the data, that it is insensitive to differences at very early times, that it takes no account of the variability of the individual profiles, and that it is not a statistical test with a defined confidence level. For these reasons statistically more rigorous alternatives are used where the decision is critical.</w:t>
      </w:r>
    </w:p>
    <w:p>
      <w:pPr>
        <w:keepNext/>
        <w:spacing w:before="160" w:after="40"/>
      </w:pPr>
      <w:r>
        <w:rPr>
          <w:rFonts w:ascii="Comic Sans MS" w:hAnsi="Comic Sans MS" w:cs="Comic Sans MS" w:eastAsia="Comic Sans MS"/>
          <w:b/>
          <w:i w:val="0"/>
          <w:color w:val="000000"/>
          <w:sz w:val="28"/>
        </w:rPr>
        <w:t>2.10.3 Other Model-Independent Approaches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Ratio tests.</w:t>
      </w:r>
      <w:r>
        <w:rPr>
          <w:rFonts w:ascii="Comic Sans MS" w:hAnsi="Comic Sans MS" w:cs="Comic Sans MS" w:eastAsia="Comic Sans MS"/>
          <w:b w:val="0"/>
          <w:i w:val="0"/>
          <w:color w:val="000000"/>
          <w:sz w:val="28"/>
        </w:rPr>
        <w:t xml:space="preserve"> The ratio of the percentage dissolved, of the area under the dissolution curve, or of the mean dissolution time for test and reference is calculated at each time point and expressed with confidence limits.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Mean dissolution time (MDT) and dissolution efficiency (DE).</w:t>
      </w:r>
      <w:r>
        <w:rPr>
          <w:rFonts w:ascii="Comic Sans MS" w:hAnsi="Comic Sans MS" w:cs="Comic Sans MS" w:eastAsia="Comic Sans MS"/>
          <w:b w:val="0"/>
          <w:i w:val="0"/>
          <w:color w:val="000000"/>
          <w:sz w:val="28"/>
        </w:rPr>
        <w:t xml:space="preserve"> The mean dissolution time is the arithmetic mean of the times at which individual fractions dissolve and is obtained from statistical moment analysis. Dissolution efficiency, introduced by Khan, is the area under the dissolution curve up to a given time expressed as a percentage of the area of the rectangle corresponding to 100 per cent dissolution at that time. Both reduce a whole profile to a single meaningful number.</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Multivariate statistical distance (MSD).</w:t>
      </w:r>
      <w:r>
        <w:rPr>
          <w:rFonts w:ascii="Comic Sans MS" w:hAnsi="Comic Sans MS" w:cs="Comic Sans MS" w:eastAsia="Comic Sans MS"/>
          <w:b w:val="0"/>
          <w:i w:val="0"/>
          <w:color w:val="000000"/>
          <w:sz w:val="28"/>
        </w:rPr>
        <w:t xml:space="preserve"> Treats the percentages dissolved at the several time points as a vector and computes the Mahalanobis distance between the test and reference mean vectors, taking the variance-covariance structure into account. A 90 per cent confidence region for the difference is constructed and compared with a predefined similarity limit. This is the method recommended when variability is high or when profiles are compared for extended-release products.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Bootstrap f2.</w:t>
      </w:r>
      <w:r>
        <w:rPr>
          <w:rFonts w:ascii="Comic Sans MS" w:hAnsi="Comic Sans MS" w:cs="Comic Sans MS" w:eastAsia="Comic Sans MS"/>
          <w:b w:val="0"/>
          <w:i w:val="0"/>
          <w:color w:val="000000"/>
          <w:sz w:val="28"/>
        </w:rPr>
        <w:t xml:space="preserve"> A resampling technique that generates the distribution of f2 from the observed data and reports a lower confidence bound, so that the conclusion of similarity carries a stated statistical confidence. It is increasingly expected by regulators when the estimated f2 lies close to 50.</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Rescigno index.</w:t>
      </w:r>
      <w:r>
        <w:rPr>
          <w:rFonts w:ascii="Comic Sans MS" w:hAnsi="Comic Sans MS" w:cs="Comic Sans MS" w:eastAsia="Comic Sans MS"/>
          <w:b w:val="0"/>
          <w:i w:val="0"/>
          <w:color w:val="000000"/>
          <w:sz w:val="28"/>
        </w:rPr>
        <w:t xml:space="preserve"> A normalised measure of the difference between two profiles, bounded between 0 and 1, with 0 indicating identity.</w:t>
      </w:r>
    </w:p>
    <w:p>
      <w:pPr>
        <w:keepNext/>
        <w:spacing w:before="160" w:after="40"/>
      </w:pPr>
      <w:r>
        <w:rPr>
          <w:rFonts w:ascii="Comic Sans MS" w:hAnsi="Comic Sans MS" w:cs="Comic Sans MS" w:eastAsia="Comic Sans MS"/>
          <w:b/>
          <w:i w:val="0"/>
          <w:color w:val="000000"/>
          <w:sz w:val="28"/>
        </w:rPr>
        <w:t>2.10.4 Model-Dependent Methods</w:t>
      </w:r>
    </w:p>
    <w:p>
      <w:pPr>
        <w:spacing w:after="160"/>
        <w:jc w:val="both"/>
      </w:pPr>
      <w:r>
        <w:rPr>
          <w:rFonts w:ascii="Comic Sans MS" w:hAnsi="Comic Sans MS" w:cs="Comic Sans MS" w:eastAsia="Comic Sans MS"/>
          <w:b w:val="0"/>
          <w:i w:val="0"/>
          <w:color w:val="000000"/>
          <w:sz w:val="28"/>
        </w:rPr>
        <w:t>In these methods the dissolution data are fitted to a mathematical model, and the resulting parameters, such as the rate constant or the release exponent, are compared statistically. The advantage is that all the information in the profile is used and that the mechanism of release can be inferred; the disadvantage is that a model must be selected and justified, and that a poor fit invalidates the comparison.</w:t>
      </w:r>
    </w:p>
    <w:p>
      <w:pPr>
        <w:spacing w:after="160"/>
        <w:jc w:val="both"/>
      </w:pPr>
      <w:r>
        <w:rPr>
          <w:rFonts w:ascii="Comic Sans MS" w:hAnsi="Comic Sans MS" w:cs="Comic Sans MS" w:eastAsia="Comic Sans MS"/>
          <w:b w:val="0"/>
          <w:i w:val="0"/>
          <w:color w:val="000000"/>
          <w:sz w:val="28"/>
        </w:rPr>
        <w:t>The principal models are: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Zero order.</w:t>
      </w:r>
      <w:r>
        <w:rPr>
          <w:rFonts w:ascii="Comic Sans MS" w:hAnsi="Comic Sans MS" w:cs="Comic Sans MS" w:eastAsia="Comic Sans MS"/>
          <w:b w:val="0"/>
          <w:i w:val="0"/>
          <w:color w:val="000000"/>
          <w:sz w:val="28"/>
        </w:rPr>
        <w:t xml:space="preserve"> Qt = Q0 + k0 t. The amount released is a linear function of time and is independent of concentration. Describes ideal controlled release, as from osmotic pumps, matrix systems of constant surface area and transdermal patches. A plot of cumulative amount released against time is linear.</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First order.</w:t>
      </w:r>
      <w:r>
        <w:rPr>
          <w:rFonts w:ascii="Comic Sans MS" w:hAnsi="Comic Sans MS" w:cs="Comic Sans MS" w:eastAsia="Comic Sans MS"/>
          <w:b w:val="0"/>
          <w:i w:val="0"/>
          <w:color w:val="000000"/>
          <w:sz w:val="28"/>
        </w:rPr>
        <w:t xml:space="preserve"> log Qt = log Q0 - k1 t / 2.303. The rate is proportional to the amount remaining. Describes many conventional immediate-release products and porous matrices. A plot of log cumulative percentage remaining against time is linear.</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Higuchi model.</w:t>
      </w:r>
      <w:r>
        <w:rPr>
          <w:rFonts w:ascii="Comic Sans MS" w:hAnsi="Comic Sans MS" w:cs="Comic Sans MS" w:eastAsia="Comic Sans MS"/>
          <w:b w:val="0"/>
          <w:i w:val="0"/>
          <w:color w:val="000000"/>
          <w:sz w:val="28"/>
        </w:rPr>
        <w:t xml:space="preserve"> Qt = kH x square root of t. Derived for the release of a drug dispersed in an insoluble matrix, assuming that the initial concentration greatly exceeds solubility, that diffusion is one dimensional, that the matrix does not swell or dissolve, and that perfect sink conditions apply. A plot of cumulative amount released against the square root of time is linear, and the model indicates diffusion-controlled release.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Hixson-Crowell cube-root law.</w:t>
      </w:r>
      <w:r>
        <w:rPr>
          <w:rFonts w:ascii="Comic Sans MS" w:hAnsi="Comic Sans MS" w:cs="Comic Sans MS" w:eastAsia="Comic Sans MS"/>
          <w:b w:val="0"/>
          <w:i w:val="0"/>
          <w:color w:val="000000"/>
          <w:sz w:val="28"/>
        </w:rPr>
        <w:t xml:space="preserve"> The cube root of the amount remaining is a linear function of time. It applies when the particle surface area and diameter change proportionally during dissolution, that is when erosion or uniform shrinkage, rather than diffusion, is the controlling process.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Korsmeyer-Peppas (power law).</w:t>
      </w:r>
      <w:r>
        <w:rPr>
          <w:rFonts w:ascii="Comic Sans MS" w:hAnsi="Comic Sans MS" w:cs="Comic Sans MS" w:eastAsia="Comic Sans MS"/>
          <w:b w:val="0"/>
          <w:i w:val="0"/>
          <w:color w:val="000000"/>
          <w:sz w:val="28"/>
        </w:rPr>
        <w:t xml:space="preserve"> Qt/Q(infinity) = k x t raised to the power n. The exponent n characterises the release mechanism for cylindrical matrices: n of 0.45 indicates Fickian diffusion; n between 0.45 and 0.89 indicates anomalous or non-Fickian transport, that is, coupled diffusion and relaxation; n of 0.89 indicates Case II transport, that is, zero-order release controlled by polymer relaxation; and n greater than 0.89 indicates super Case II transport. This is the model of choice for hydrophilic swellable matrices, and it is normally fitted to the first 60 per cent of the release data.</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Weibull model.</w:t>
      </w:r>
      <w:r>
        <w:rPr>
          <w:rFonts w:ascii="Comic Sans MS" w:hAnsi="Comic Sans MS" w:cs="Comic Sans MS" w:eastAsia="Comic Sans MS"/>
          <w:b w:val="0"/>
          <w:i w:val="0"/>
          <w:color w:val="000000"/>
          <w:sz w:val="28"/>
        </w:rPr>
        <w:t xml:space="preserve"> A flexible empirical expression in which the fraction released is described by a scale parameter, related to the time to dissolve 63.2 per cent, and a shape parameter b. A b value of 1 gives an exponential curve, b greater than 1 a sigmoid curve with an initial lag, and b less than 1 a parabolic curve with a steep initial slope. It fits almost any profile, which is both its strength and its weakness, since it carries little mechanistic meaning.</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Baker-Lonsdale model.</w:t>
      </w:r>
      <w:r>
        <w:rPr>
          <w:rFonts w:ascii="Comic Sans MS" w:hAnsi="Comic Sans MS" w:cs="Comic Sans MS" w:eastAsia="Comic Sans MS"/>
          <w:b w:val="0"/>
          <w:i w:val="0"/>
          <w:color w:val="000000"/>
          <w:sz w:val="28"/>
        </w:rPr>
        <w:t xml:space="preserve"> A modification of the Higuchi model for release from a spherical matrix.</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Hopfenberg and Makoid-Banakar models.</w:t>
      </w:r>
      <w:r>
        <w:rPr>
          <w:rFonts w:ascii="Comic Sans MS" w:hAnsi="Comic Sans MS" w:cs="Comic Sans MS" w:eastAsia="Comic Sans MS"/>
          <w:b w:val="0"/>
          <w:i w:val="0"/>
          <w:color w:val="000000"/>
          <w:sz w:val="28"/>
        </w:rPr>
        <w:t xml:space="preserve"> Used for surface-eroding systems and for empirical fitting respectively.</w:t>
      </w:r>
    </w:p>
    <w:p>
      <w:pPr>
        <w:keepNext/>
        <w:spacing w:before="160" w:after="40"/>
      </w:pPr>
      <w:r>
        <w:rPr>
          <w:rFonts w:ascii="Comic Sans MS" w:hAnsi="Comic Sans MS" w:cs="Comic Sans MS" w:eastAsia="Comic Sans MS"/>
          <w:b/>
          <w:i w:val="0"/>
          <w:color w:val="000000"/>
          <w:sz w:val="28"/>
        </w:rPr>
        <w:t>2.10.5 Selecting Between Models</w:t>
      </w:r>
    </w:p>
    <w:p>
      <w:pPr>
        <w:spacing w:after="160"/>
        <w:jc w:val="both"/>
      </w:pPr>
      <w:r>
        <w:rPr>
          <w:rFonts w:ascii="Comic Sans MS" w:hAnsi="Comic Sans MS" w:cs="Comic Sans MS" w:eastAsia="Comic Sans MS"/>
          <w:b w:val="0"/>
          <w:i w:val="0"/>
          <w:color w:val="000000"/>
          <w:sz w:val="28"/>
        </w:rPr>
        <w:t>The adequacy of fit is judged by the coefficient of determination, preferably the adjusted coefficient of determination since models have different numbers of parameters, by the Akaike Information Criterion, in which the lowest value indicates the most appropriate model, by the model selection criterion, and by inspection of the residual plots for systematic deviation. The model giving the best fit is then taken to indicate the predominant release mechanism, and its parameters are compared between the test and reference products.</w:t>
      </w:r>
    </w:p>
    <w:p>
      <w:pPr>
        <w:keepNext/>
        <w:spacing w:before="160" w:after="40"/>
      </w:pPr>
      <w:r>
        <w:rPr>
          <w:rFonts w:ascii="Comic Sans MS" w:hAnsi="Comic Sans MS" w:cs="Comic Sans MS" w:eastAsia="Comic Sans MS"/>
          <w:b/>
          <w:i w:val="0"/>
          <w:color w:val="000000"/>
          <w:sz w:val="28"/>
        </w:rPr>
        <w:t>2.11 Method Development and Validation</w:t>
      </w:r>
    </w:p>
    <w:p>
      <w:pPr>
        <w:spacing w:after="160"/>
        <w:jc w:val="both"/>
      </w:pPr>
      <w:r>
        <w:rPr>
          <w:rFonts w:ascii="Comic Sans MS" w:hAnsi="Comic Sans MS" w:cs="Comic Sans MS" w:eastAsia="Comic Sans MS"/>
          <w:b w:val="0"/>
          <w:i w:val="0"/>
          <w:color w:val="000000"/>
          <w:sz w:val="28"/>
        </w:rPr>
        <w:t>A dissolution method is developed by characterising the drug substance (solubility profile, pKa, stability in candidate media), selecting apparatus, medium, volume and speed as described above, and then demonstrating that the method is discriminatory by testing deliberately varied batches, for example with altered particle size, compression force, disintegrant level or coating thickness. A method that cannot distinguish such batches is of no value.</w:t>
      </w:r>
    </w:p>
    <w:p>
      <w:pPr>
        <w:spacing w:after="160"/>
        <w:jc w:val="both"/>
      </w:pPr>
      <w:r>
        <w:rPr>
          <w:rFonts w:ascii="Comic Sans MS" w:hAnsi="Comic Sans MS" w:cs="Comic Sans MS" w:eastAsia="Comic Sans MS"/>
          <w:b w:val="0"/>
          <w:i w:val="0"/>
          <w:color w:val="000000"/>
          <w:sz w:val="28"/>
        </w:rPr>
        <w:t>Validation of the associated analytical procedure follows the usual requirements of specificity in the presence of excipients and degradation products, linearity over the working range, accuracy and recovery, precision including repeatability and intermediate precision, limits of detection and quantitation for low-dose products, robustness with respect to small deliberate changes, filter validation to demonstrate the absence of adsorption, and solution stability of the sample over the analysis period. The mechanical qualification of the apparatus, covering shaft wobble, vessel centring, paddle or basket height, rotation speed and temperature, together with performance verification, completes the exercise.</w:t>
      </w:r>
    </w:p>
    <w:p>
      <w:pPr>
        <w:keepNext/>
        <w:spacing w:before="160" w:after="40"/>
      </w:pPr>
      <w:r>
        <w:rPr>
          <w:rFonts w:ascii="Comic Sans MS" w:hAnsi="Comic Sans MS" w:cs="Comic Sans MS" w:eastAsia="Comic Sans MS"/>
          <w:b/>
          <w:i w:val="0"/>
          <w:color w:val="000000"/>
          <w:sz w:val="28"/>
        </w:rPr>
        <w:t>2.12 Summary of Unit II</w:t>
      </w:r>
    </w:p>
    <w:p>
      <w:pPr>
        <w:spacing w:after="160"/>
        <w:jc w:val="both"/>
      </w:pPr>
      <w:r>
        <w:rPr>
          <w:rFonts w:ascii="Comic Sans MS" w:hAnsi="Comic Sans MS" w:cs="Comic Sans MS" w:eastAsia="Comic Sans MS"/>
          <w:b w:val="0"/>
          <w:i w:val="0"/>
          <w:color w:val="000000"/>
          <w:sz w:val="28"/>
        </w:rPr>
        <w:t>Dissolution is the rate-limiting step in the absorption of many drugs, and its measurement is the most informative in vitro test applied to solid dosage forms. The Noyes-Whitney and Nernst-Brunner equations identify surface area, solubility, diffusivity, diffusion layer thickness and medium volume as the controlling variables, and the seven compendial apparatus provide the means of measuring release under controlled hydrodynamics. The Biopharmaceutics Classification System, by dividing drugs according to solubility and permeability, tells the formulator whether dissolution is worth optimising, what medium the test requires, how discriminating the method must be, and whether a biowaiver is possible. Finally, profiles are compared either model independently, principally by the difference factor f1 (acceptable range 0 to 15) and the similarity factor f2 (acceptable range 50 to 100), applied with careful attention to the conditions that govern their validity, or model dependently by fitting zero-order, first-order, Higuchi, Hixson-Crowell, Korsmeyer-Peppas or Weibull functions and comparing the derived parameters.</w:t>
      </w:r>
    </w:p>
    <w:p>
      <w:r>
        <w:br w:type="page"/>
      </w:r>
    </w:p>
    <w:p>
      <w:pPr>
        <w:keepNext/>
        <w:spacing w:before="200" w:after="120" w:line="540" w:lineRule="exact"/>
        <w:jc w:val="both"/>
      </w:pPr>
      <w:r>
        <w:rPr>
          <w:rFonts w:ascii="Comic Sans MS" w:hAnsi="Comic Sans MS" w:cs="Comic Sans MS" w:eastAsia="Comic Sans MS"/>
          <w:b/>
          <w:i w:val="0"/>
          <w:color w:val="FF0000"/>
          <w:sz w:val="36"/>
        </w:rPr>
        <w:t>Unit III - Solubilization and Solubilized Systems</w:t>
      </w:r>
    </w:p>
    <w:p>
      <w:pPr>
        <w:keepNext/>
        <w:spacing w:before="160" w:after="40"/>
      </w:pPr>
      <w:r>
        <w:rPr>
          <w:rFonts w:ascii="Comic Sans MS" w:hAnsi="Comic Sans MS" w:cs="Comic Sans MS" w:eastAsia="Comic Sans MS"/>
          <w:b/>
          <w:i w:val="0"/>
          <w:color w:val="000000"/>
          <w:sz w:val="28"/>
        </w:rPr>
        <w:t>3.1 Introduction</w:t>
      </w:r>
    </w:p>
    <w:p>
      <w:pPr>
        <w:spacing w:after="160"/>
        <w:jc w:val="both"/>
      </w:pPr>
      <w:r>
        <w:rPr>
          <w:rFonts w:ascii="Comic Sans MS" w:hAnsi="Comic Sans MS" w:cs="Comic Sans MS" w:eastAsia="Comic Sans MS"/>
          <w:b/>
          <w:i w:val="0"/>
          <w:color w:val="000000"/>
          <w:sz w:val="28"/>
        </w:rPr>
        <w:t>Solubility</w:t>
      </w:r>
      <w:r>
        <w:rPr>
          <w:rFonts w:ascii="Comic Sans MS" w:hAnsi="Comic Sans MS" w:cs="Comic Sans MS" w:eastAsia="Comic Sans MS"/>
          <w:b w:val="0"/>
          <w:i w:val="0"/>
          <w:color w:val="000000"/>
          <w:sz w:val="28"/>
        </w:rPr>
        <w:t xml:space="preserve"> is defined quantitatively as the concentration of solute in a saturated solution at a specified temperature and pressure, and qualitatively as the spontaneous interaction of two or more substances to form a homogeneous molecular dispersion. A </w:t>
      </w:r>
      <w:r>
        <w:rPr>
          <w:rFonts w:ascii="Comic Sans MS" w:hAnsi="Comic Sans MS" w:cs="Comic Sans MS" w:eastAsia="Comic Sans MS"/>
          <w:b/>
          <w:i w:val="0"/>
          <w:color w:val="000000"/>
          <w:sz w:val="28"/>
        </w:rPr>
        <w:t>saturated solution</w:t>
      </w:r>
      <w:r>
        <w:rPr>
          <w:rFonts w:ascii="Comic Sans MS" w:hAnsi="Comic Sans MS" w:cs="Comic Sans MS" w:eastAsia="Comic Sans MS"/>
          <w:b w:val="0"/>
          <w:i w:val="0"/>
          <w:color w:val="000000"/>
          <w:sz w:val="28"/>
        </w:rPr>
        <w:t xml:space="preserve"> is one in which the dissolved solute is in equilibrium with the solid phase.</w:t>
      </w:r>
    </w:p>
    <w:p>
      <w:pPr>
        <w:spacing w:after="160"/>
        <w:jc w:val="both"/>
      </w:pPr>
      <w:r>
        <w:rPr>
          <w:rFonts w:ascii="Comic Sans MS" w:hAnsi="Comic Sans MS" w:cs="Comic Sans MS" w:eastAsia="Comic Sans MS"/>
          <w:b/>
          <w:i w:val="0"/>
          <w:color w:val="000000"/>
          <w:sz w:val="28"/>
        </w:rPr>
        <w:t>Solubilization</w:t>
      </w:r>
      <w:r>
        <w:rPr>
          <w:rFonts w:ascii="Comic Sans MS" w:hAnsi="Comic Sans MS" w:cs="Comic Sans MS" w:eastAsia="Comic Sans MS"/>
          <w:b w:val="0"/>
          <w:i w:val="0"/>
          <w:color w:val="000000"/>
          <w:sz w:val="28"/>
        </w:rPr>
        <w:t xml:space="preserve"> is the process by which the apparent solubility of a poorly soluble substance is increased by the presence of one or more additional agents, without any change in the chemical identity of the solute. Strictly, the term is often reserved for the incorporation of a solute into surfactant micelles, but in pharmaceutical usage it is applied more broadly to all means of increasing apparent solubility.</w:t>
      </w:r>
    </w:p>
    <w:p>
      <w:pPr>
        <w:spacing w:after="160"/>
        <w:jc w:val="both"/>
      </w:pPr>
      <w:r>
        <w:rPr>
          <w:rFonts w:ascii="Comic Sans MS" w:hAnsi="Comic Sans MS" w:cs="Comic Sans MS" w:eastAsia="Comic Sans MS"/>
          <w:b w:val="0"/>
          <w:i w:val="0"/>
          <w:color w:val="000000"/>
          <w:sz w:val="28"/>
        </w:rPr>
        <w:t>The subject is of central importance because it is estimated that some 40 per cent of marketed drugs and up to 70 or even 90 per cent of new chemical entities emerging from discovery programmes are poorly water soluble. Since a drug must be in solution to be absorbed, and since the volume of fluid available in the gastrointestinal tract is limited, poor solubility translates directly into low, variable and food-dependent bioavailability. Solubility enhancement is therefore the single largest area of formulation research.</w:t>
      </w:r>
    </w:p>
    <w:p>
      <w:pPr>
        <w:keepNext/>
        <w:spacing w:before="160" w:after="40"/>
      </w:pPr>
      <w:r>
        <w:rPr>
          <w:rFonts w:ascii="Comic Sans MS" w:hAnsi="Comic Sans MS" w:cs="Comic Sans MS" w:eastAsia="Comic Sans MS"/>
          <w:b/>
          <w:i w:val="0"/>
          <w:color w:val="000000"/>
          <w:sz w:val="28"/>
        </w:rPr>
        <w:t>3.1.1 Pharmacopoeial Descriptive Terms</w:t>
      </w:r>
    </w:p>
    <w:tbl>
      <w:tblPr>
        <w:tblStyle w:val="TableGrid"/>
        <w:tblW w:type="auto" w:w="0"/>
        <w:jc w:val="center"/>
        <w:tblLook w:firstColumn="1" w:firstRow="1" w:lastColumn="0" w:lastRow="0" w:noHBand="0" w:noVBand="1" w:val="04A0"/>
      </w:tblPr>
      <w:tblGrid>
        <w:gridCol w:w="4680"/>
        <w:gridCol w:w="4680"/>
      </w:tblGrid>
      <w:tr>
        <w:tc>
          <w:tcPr>
            <w:tcW w:type="dxa" w:w="3456"/>
          </w:tcPr>
          <w:p>
            <w:pPr>
              <w:spacing w:after="20" w:before="20" w:line="300" w:lineRule="exact"/>
            </w:pPr>
            <w:r/>
            <w:r>
              <w:rPr>
                <w:rFonts w:ascii="Comic Sans MS" w:hAnsi="Comic Sans MS" w:cs="Comic Sans MS" w:eastAsia="Comic Sans MS"/>
                <w:b/>
                <w:i w:val="0"/>
                <w:color w:val="000000"/>
                <w:sz w:val="22"/>
              </w:rPr>
              <w:t>Descriptive term</w:t>
            </w:r>
          </w:p>
        </w:tc>
        <w:tc>
          <w:tcPr>
            <w:tcW w:type="dxa" w:w="5184"/>
          </w:tcPr>
          <w:p>
            <w:pPr>
              <w:spacing w:after="20" w:before="20" w:line="300" w:lineRule="exact"/>
            </w:pPr>
            <w:r/>
            <w:r>
              <w:rPr>
                <w:rFonts w:ascii="Comic Sans MS" w:hAnsi="Comic Sans MS" w:cs="Comic Sans MS" w:eastAsia="Comic Sans MS"/>
                <w:b/>
                <w:i w:val="0"/>
                <w:color w:val="000000"/>
                <w:sz w:val="22"/>
              </w:rPr>
              <w:t>Parts of solvent required for 1 part of solute</w:t>
            </w:r>
          </w:p>
        </w:tc>
      </w:tr>
      <w:tr>
        <w:tc>
          <w:tcPr>
            <w:tcW w:type="dxa" w:w="3456"/>
          </w:tcPr>
          <w:p>
            <w:pPr>
              <w:spacing w:after="20" w:before="20" w:line="300" w:lineRule="exact"/>
            </w:pPr>
            <w:r/>
            <w:r>
              <w:rPr>
                <w:rFonts w:ascii="Comic Sans MS" w:hAnsi="Comic Sans MS" w:cs="Comic Sans MS" w:eastAsia="Comic Sans MS"/>
                <w:b w:val="0"/>
                <w:i w:val="0"/>
                <w:color w:val="000000"/>
                <w:sz w:val="22"/>
              </w:rPr>
              <w:t>Very soluble</w:t>
            </w:r>
          </w:p>
        </w:tc>
        <w:tc>
          <w:tcPr>
            <w:tcW w:type="dxa" w:w="5184"/>
          </w:tcPr>
          <w:p>
            <w:pPr>
              <w:spacing w:after="20" w:before="20" w:line="300" w:lineRule="exact"/>
            </w:pPr>
            <w:r/>
            <w:r>
              <w:rPr>
                <w:rFonts w:ascii="Comic Sans MS" w:hAnsi="Comic Sans MS" w:cs="Comic Sans MS" w:eastAsia="Comic Sans MS"/>
                <w:b w:val="0"/>
                <w:i w:val="0"/>
                <w:color w:val="000000"/>
                <w:sz w:val="22"/>
              </w:rPr>
              <w:t>Less than 1</w:t>
            </w:r>
          </w:p>
        </w:tc>
      </w:tr>
      <w:tr>
        <w:tc>
          <w:tcPr>
            <w:tcW w:type="dxa" w:w="3456"/>
          </w:tcPr>
          <w:p>
            <w:pPr>
              <w:spacing w:after="20" w:before="20" w:line="300" w:lineRule="exact"/>
            </w:pPr>
            <w:r/>
            <w:r>
              <w:rPr>
                <w:rFonts w:ascii="Comic Sans MS" w:hAnsi="Comic Sans MS" w:cs="Comic Sans MS" w:eastAsia="Comic Sans MS"/>
                <w:b w:val="0"/>
                <w:i w:val="0"/>
                <w:color w:val="000000"/>
                <w:sz w:val="22"/>
              </w:rPr>
              <w:t>Freely soluble</w:t>
            </w:r>
          </w:p>
        </w:tc>
        <w:tc>
          <w:tcPr>
            <w:tcW w:type="dxa" w:w="5184"/>
          </w:tcPr>
          <w:p>
            <w:pPr>
              <w:spacing w:after="20" w:before="20" w:line="300" w:lineRule="exact"/>
            </w:pPr>
            <w:r/>
            <w:r>
              <w:rPr>
                <w:rFonts w:ascii="Comic Sans MS" w:hAnsi="Comic Sans MS" w:cs="Comic Sans MS" w:eastAsia="Comic Sans MS"/>
                <w:b w:val="0"/>
                <w:i w:val="0"/>
                <w:color w:val="000000"/>
                <w:sz w:val="22"/>
              </w:rPr>
              <w:t>From 1 to 10</w:t>
            </w:r>
          </w:p>
        </w:tc>
      </w:tr>
      <w:tr>
        <w:tc>
          <w:tcPr>
            <w:tcW w:type="dxa" w:w="3456"/>
          </w:tcPr>
          <w:p>
            <w:pPr>
              <w:spacing w:after="20" w:before="20" w:line="300" w:lineRule="exact"/>
            </w:pPr>
            <w:r/>
            <w:r>
              <w:rPr>
                <w:rFonts w:ascii="Comic Sans MS" w:hAnsi="Comic Sans MS" w:cs="Comic Sans MS" w:eastAsia="Comic Sans MS"/>
                <w:b w:val="0"/>
                <w:i w:val="0"/>
                <w:color w:val="000000"/>
                <w:sz w:val="22"/>
              </w:rPr>
              <w:t>Soluble</w:t>
            </w:r>
          </w:p>
        </w:tc>
        <w:tc>
          <w:tcPr>
            <w:tcW w:type="dxa" w:w="5184"/>
          </w:tcPr>
          <w:p>
            <w:pPr>
              <w:spacing w:after="20" w:before="20" w:line="300" w:lineRule="exact"/>
            </w:pPr>
            <w:r/>
            <w:r>
              <w:rPr>
                <w:rFonts w:ascii="Comic Sans MS" w:hAnsi="Comic Sans MS" w:cs="Comic Sans MS" w:eastAsia="Comic Sans MS"/>
                <w:b w:val="0"/>
                <w:i w:val="0"/>
                <w:color w:val="000000"/>
                <w:sz w:val="22"/>
              </w:rPr>
              <w:t>From 10 to 30</w:t>
            </w:r>
          </w:p>
        </w:tc>
      </w:tr>
      <w:tr>
        <w:tc>
          <w:tcPr>
            <w:tcW w:type="dxa" w:w="3456"/>
          </w:tcPr>
          <w:p>
            <w:pPr>
              <w:spacing w:after="20" w:before="20" w:line="300" w:lineRule="exact"/>
            </w:pPr>
            <w:r/>
            <w:r>
              <w:rPr>
                <w:rFonts w:ascii="Comic Sans MS" w:hAnsi="Comic Sans MS" w:cs="Comic Sans MS" w:eastAsia="Comic Sans MS"/>
                <w:b w:val="0"/>
                <w:i w:val="0"/>
                <w:color w:val="000000"/>
                <w:sz w:val="22"/>
              </w:rPr>
              <w:t>Sparingly soluble</w:t>
            </w:r>
          </w:p>
        </w:tc>
        <w:tc>
          <w:tcPr>
            <w:tcW w:type="dxa" w:w="5184"/>
          </w:tcPr>
          <w:p>
            <w:pPr>
              <w:spacing w:after="20" w:before="20" w:line="300" w:lineRule="exact"/>
            </w:pPr>
            <w:r/>
            <w:r>
              <w:rPr>
                <w:rFonts w:ascii="Comic Sans MS" w:hAnsi="Comic Sans MS" w:cs="Comic Sans MS" w:eastAsia="Comic Sans MS"/>
                <w:b w:val="0"/>
                <w:i w:val="0"/>
                <w:color w:val="000000"/>
                <w:sz w:val="22"/>
              </w:rPr>
              <w:t>From 30 to 100</w:t>
            </w:r>
          </w:p>
        </w:tc>
      </w:tr>
      <w:tr>
        <w:tc>
          <w:tcPr>
            <w:tcW w:type="dxa" w:w="3456"/>
          </w:tcPr>
          <w:p>
            <w:pPr>
              <w:spacing w:after="20" w:before="20" w:line="300" w:lineRule="exact"/>
            </w:pPr>
            <w:r/>
            <w:r>
              <w:rPr>
                <w:rFonts w:ascii="Comic Sans MS" w:hAnsi="Comic Sans MS" w:cs="Comic Sans MS" w:eastAsia="Comic Sans MS"/>
                <w:b w:val="0"/>
                <w:i w:val="0"/>
                <w:color w:val="000000"/>
                <w:sz w:val="22"/>
              </w:rPr>
              <w:t>Slightly soluble</w:t>
            </w:r>
          </w:p>
        </w:tc>
        <w:tc>
          <w:tcPr>
            <w:tcW w:type="dxa" w:w="5184"/>
          </w:tcPr>
          <w:p>
            <w:pPr>
              <w:spacing w:after="20" w:before="20" w:line="300" w:lineRule="exact"/>
            </w:pPr>
            <w:r/>
            <w:r>
              <w:rPr>
                <w:rFonts w:ascii="Comic Sans MS" w:hAnsi="Comic Sans MS" w:cs="Comic Sans MS" w:eastAsia="Comic Sans MS"/>
                <w:b w:val="0"/>
                <w:i w:val="0"/>
                <w:color w:val="000000"/>
                <w:sz w:val="22"/>
              </w:rPr>
              <w:t>From 100 to 1000</w:t>
            </w:r>
          </w:p>
        </w:tc>
      </w:tr>
      <w:tr>
        <w:tc>
          <w:tcPr>
            <w:tcW w:type="dxa" w:w="3456"/>
          </w:tcPr>
          <w:p>
            <w:pPr>
              <w:spacing w:after="20" w:before="20" w:line="300" w:lineRule="exact"/>
            </w:pPr>
            <w:r/>
            <w:r>
              <w:rPr>
                <w:rFonts w:ascii="Comic Sans MS" w:hAnsi="Comic Sans MS" w:cs="Comic Sans MS" w:eastAsia="Comic Sans MS"/>
                <w:b w:val="0"/>
                <w:i w:val="0"/>
                <w:color w:val="000000"/>
                <w:sz w:val="22"/>
              </w:rPr>
              <w:t>Very slightly soluble</w:t>
            </w:r>
          </w:p>
        </w:tc>
        <w:tc>
          <w:tcPr>
            <w:tcW w:type="dxa" w:w="5184"/>
          </w:tcPr>
          <w:p>
            <w:pPr>
              <w:spacing w:after="20" w:before="20" w:line="300" w:lineRule="exact"/>
            </w:pPr>
            <w:r/>
            <w:r>
              <w:rPr>
                <w:rFonts w:ascii="Comic Sans MS" w:hAnsi="Comic Sans MS" w:cs="Comic Sans MS" w:eastAsia="Comic Sans MS"/>
                <w:b w:val="0"/>
                <w:i w:val="0"/>
                <w:color w:val="000000"/>
                <w:sz w:val="22"/>
              </w:rPr>
              <w:t>From 1000 to 10000</w:t>
            </w:r>
          </w:p>
        </w:tc>
      </w:tr>
      <w:tr>
        <w:tc>
          <w:tcPr>
            <w:tcW w:type="dxa" w:w="3456"/>
          </w:tcPr>
          <w:p>
            <w:pPr>
              <w:spacing w:after="20" w:before="20" w:line="300" w:lineRule="exact"/>
            </w:pPr>
            <w:r/>
            <w:r>
              <w:rPr>
                <w:rFonts w:ascii="Comic Sans MS" w:hAnsi="Comic Sans MS" w:cs="Comic Sans MS" w:eastAsia="Comic Sans MS"/>
                <w:b w:val="0"/>
                <w:i w:val="0"/>
                <w:color w:val="000000"/>
                <w:sz w:val="22"/>
              </w:rPr>
              <w:t>Practically insoluble or insoluble</w:t>
            </w:r>
          </w:p>
        </w:tc>
        <w:tc>
          <w:tcPr>
            <w:tcW w:type="dxa" w:w="5184"/>
          </w:tcPr>
          <w:p>
            <w:pPr>
              <w:spacing w:after="20" w:before="20" w:line="300" w:lineRule="exact"/>
            </w:pPr>
            <w:r/>
            <w:r>
              <w:rPr>
                <w:rFonts w:ascii="Comic Sans MS" w:hAnsi="Comic Sans MS" w:cs="Comic Sans MS" w:eastAsia="Comic Sans MS"/>
                <w:b w:val="0"/>
                <w:i w:val="0"/>
                <w:color w:val="000000"/>
                <w:sz w:val="22"/>
              </w:rPr>
              <w:t>More than 10000</w:t>
            </w:r>
          </w:p>
        </w:tc>
      </w:tr>
    </w:tbl>
    <w:p>
      <w:pPr>
        <w:spacing w:after="0" w:line="160" w:lineRule="exact"/>
      </w:pPr>
    </w:p>
    <w:p>
      <w:pPr>
        <w:spacing w:after="160"/>
        <w:jc w:val="both"/>
      </w:pPr>
      <w:r>
        <w:rPr>
          <w:rFonts w:ascii="Comic Sans MS" w:hAnsi="Comic Sans MS" w:cs="Comic Sans MS" w:eastAsia="Comic Sans MS"/>
          <w:b w:val="0"/>
          <w:i w:val="0"/>
          <w:color w:val="000000"/>
          <w:sz w:val="28"/>
        </w:rPr>
        <w:t xml:space="preserve">A useful practical benchmark is that a drug with an aqueous solubility below about 0.1 milligram per millilitre will almost certainly present dissolution-rate-limited absorption, while one above about 10 milligrams per millilitre will rarely do so. The </w:t>
      </w:r>
      <w:r>
        <w:rPr>
          <w:rFonts w:ascii="Comic Sans MS" w:hAnsi="Comic Sans MS" w:cs="Comic Sans MS" w:eastAsia="Comic Sans MS"/>
          <w:b/>
          <w:i w:val="0"/>
          <w:color w:val="000000"/>
          <w:sz w:val="28"/>
        </w:rPr>
        <w:t>dose number</w:t>
      </w:r>
      <w:r>
        <w:rPr>
          <w:rFonts w:ascii="Comic Sans MS" w:hAnsi="Comic Sans MS" w:cs="Comic Sans MS" w:eastAsia="Comic Sans MS"/>
          <w:b w:val="0"/>
          <w:i w:val="0"/>
          <w:color w:val="000000"/>
          <w:sz w:val="28"/>
        </w:rPr>
        <w:t>, defined as the dose divided by the product of 250 millilitres and the solubility, expresses this more rigorously; a dose number greater than one indicates that the dose cannot dissolve in the available volume.</w:t>
      </w:r>
    </w:p>
    <w:p>
      <w:pPr>
        <w:keepNext/>
        <w:spacing w:before="160" w:after="40"/>
      </w:pPr>
      <w:r>
        <w:rPr>
          <w:rFonts w:ascii="Comic Sans MS" w:hAnsi="Comic Sans MS" w:cs="Comic Sans MS" w:eastAsia="Comic Sans MS"/>
          <w:b/>
          <w:i w:val="0"/>
          <w:color w:val="000000"/>
          <w:sz w:val="28"/>
        </w:rPr>
        <w:t>3.2 Theoretical Aspects of Solubility and Solubilization</w:t>
      </w:r>
    </w:p>
    <w:p>
      <w:pPr>
        <w:keepNext/>
        <w:spacing w:before="160" w:after="40"/>
      </w:pPr>
      <w:r>
        <w:rPr>
          <w:rFonts w:ascii="Comic Sans MS" w:hAnsi="Comic Sans MS" w:cs="Comic Sans MS" w:eastAsia="Comic Sans MS"/>
          <w:b/>
          <w:i w:val="0"/>
          <w:color w:val="000000"/>
          <w:sz w:val="28"/>
        </w:rPr>
        <w:t>3.2.1 The Dissolution Process in Thermodynamic Terms</w:t>
      </w:r>
    </w:p>
    <w:p>
      <w:pPr>
        <w:spacing w:after="160"/>
        <w:jc w:val="both"/>
      </w:pPr>
      <w:r>
        <w:rPr>
          <w:rFonts w:ascii="Comic Sans MS" w:hAnsi="Comic Sans MS" w:cs="Comic Sans MS" w:eastAsia="Comic Sans MS"/>
          <w:b w:val="0"/>
          <w:i w:val="0"/>
          <w:color w:val="000000"/>
          <w:sz w:val="28"/>
        </w:rPr>
        <w:t>The transfer of a molecule from the crystal into solution may be regarded as occurring in three conceptual steps:</w:t>
      </w:r>
    </w:p>
    <w:p>
      <w:pPr>
        <w:tabs>
          <w:tab w:pos="720" w:val="left"/>
        </w:tabs>
        <w:spacing w:after="0"/>
        <w:ind w:left="720" w:hanging="360"/>
        <w:jc w:val="both"/>
      </w:pPr>
      <w:r>
        <w:rPr>
          <w:rFonts w:ascii="Comic Sans MS" w:hAnsi="Comic Sans MS" w:cs="Comic Sans MS" w:eastAsia="Comic Sans MS"/>
          <w:b/>
          <w:i w:val="0"/>
          <w:color w:val="000000"/>
          <w:sz w:val="28"/>
        </w:rPr>
        <w:t>1.</w:t>
      </w:r>
      <w:r>
        <w:rPr>
          <w:rFonts w:ascii="Comic Sans MS" w:hAnsi="Comic Sans MS" w:cs="Comic Sans MS" w:eastAsia="Comic Sans MS"/>
          <w:b w:val="0"/>
          <w:i w:val="0"/>
          <w:color w:val="000000"/>
          <w:sz w:val="28"/>
        </w:rPr>
        <w:tab/>
      </w:r>
      <w:r>
        <w:rPr>
          <w:rFonts w:ascii="Comic Sans MS" w:hAnsi="Comic Sans MS" w:cs="Comic Sans MS" w:eastAsia="Comic Sans MS"/>
          <w:b/>
          <w:i w:val="0"/>
          <w:color w:val="000000"/>
          <w:sz w:val="28"/>
        </w:rPr>
        <w:t>Removal of a molecule from the crystal lattice.</w:t>
      </w:r>
      <w:r>
        <w:rPr>
          <w:rFonts w:ascii="Comic Sans MS" w:hAnsi="Comic Sans MS" w:cs="Comic Sans MS" w:eastAsia="Comic Sans MS"/>
          <w:b w:val="0"/>
          <w:i w:val="0"/>
          <w:color w:val="000000"/>
          <w:sz w:val="28"/>
        </w:rPr>
        <w:t xml:space="preserve"> Energy equal to the lattice energy must be supplied; this step is endothermic and is opposed by strong intermolecular forces, high melting point and high crystallinity.</w:t>
      </w:r>
    </w:p>
    <w:p>
      <w:pPr>
        <w:tabs>
          <w:tab w:pos="720" w:val="left"/>
        </w:tabs>
        <w:spacing w:after="0"/>
        <w:ind w:left="720" w:hanging="360"/>
        <w:jc w:val="both"/>
      </w:pPr>
      <w:r>
        <w:rPr>
          <w:rFonts w:ascii="Comic Sans MS" w:hAnsi="Comic Sans MS" w:cs="Comic Sans MS" w:eastAsia="Comic Sans MS"/>
          <w:b/>
          <w:i w:val="0"/>
          <w:color w:val="000000"/>
          <w:sz w:val="28"/>
        </w:rPr>
        <w:t>2.</w:t>
      </w:r>
      <w:r>
        <w:rPr>
          <w:rFonts w:ascii="Comic Sans MS" w:hAnsi="Comic Sans MS" w:cs="Comic Sans MS" w:eastAsia="Comic Sans MS"/>
          <w:b w:val="0"/>
          <w:i w:val="0"/>
          <w:color w:val="000000"/>
          <w:sz w:val="28"/>
        </w:rPr>
        <w:tab/>
      </w:r>
      <w:r>
        <w:rPr>
          <w:rFonts w:ascii="Comic Sans MS" w:hAnsi="Comic Sans MS" w:cs="Comic Sans MS" w:eastAsia="Comic Sans MS"/>
          <w:b/>
          <w:i w:val="0"/>
          <w:color w:val="000000"/>
          <w:sz w:val="28"/>
        </w:rPr>
        <w:t>Creation of a cavity in the solvent.</w:t>
      </w:r>
      <w:r>
        <w:rPr>
          <w:rFonts w:ascii="Comic Sans MS" w:hAnsi="Comic Sans MS" w:cs="Comic Sans MS" w:eastAsia="Comic Sans MS"/>
          <w:b w:val="0"/>
          <w:i w:val="0"/>
          <w:color w:val="000000"/>
          <w:sz w:val="28"/>
        </w:rPr>
        <w:t xml:space="preserve"> Solvent-solvent interactions must be disrupted; this step is also endothermic and is opposed by the high cohesive energy density of water, which arises from its hydrogen-bonded structure.</w:t>
      </w:r>
    </w:p>
    <w:p>
      <w:pPr>
        <w:tabs>
          <w:tab w:pos="720" w:val="left"/>
        </w:tabs>
        <w:spacing w:after="0"/>
        <w:ind w:left="720" w:hanging="360"/>
        <w:jc w:val="both"/>
      </w:pPr>
      <w:r>
        <w:rPr>
          <w:rFonts w:ascii="Comic Sans MS" w:hAnsi="Comic Sans MS" w:cs="Comic Sans MS" w:eastAsia="Comic Sans MS"/>
          <w:b/>
          <w:i w:val="0"/>
          <w:color w:val="000000"/>
          <w:sz w:val="28"/>
        </w:rPr>
        <w:t>3.</w:t>
      </w:r>
      <w:r>
        <w:rPr>
          <w:rFonts w:ascii="Comic Sans MS" w:hAnsi="Comic Sans MS" w:cs="Comic Sans MS" w:eastAsia="Comic Sans MS"/>
          <w:b w:val="0"/>
          <w:i w:val="0"/>
          <w:color w:val="000000"/>
          <w:sz w:val="28"/>
        </w:rPr>
        <w:tab/>
      </w:r>
      <w:r>
        <w:rPr>
          <w:rFonts w:ascii="Comic Sans MS" w:hAnsi="Comic Sans MS" w:cs="Comic Sans MS" w:eastAsia="Comic Sans MS"/>
          <w:b/>
          <w:i w:val="0"/>
          <w:color w:val="000000"/>
          <w:sz w:val="28"/>
        </w:rPr>
        <w:t>Insertion of the solute molecule into the cavity and its solvation.</w:t>
      </w:r>
      <w:r>
        <w:rPr>
          <w:rFonts w:ascii="Comic Sans MS" w:hAnsi="Comic Sans MS" w:cs="Comic Sans MS" w:eastAsia="Comic Sans MS"/>
          <w:b w:val="0"/>
          <w:i w:val="0"/>
          <w:color w:val="000000"/>
          <w:sz w:val="28"/>
        </w:rPr>
        <w:t xml:space="preserve"> Solute-solvent interactions are formed; this step is exothermic and provides the driving force.</w:t>
      </w:r>
    </w:p>
    <w:p>
      <w:pPr>
        <w:spacing w:after="160"/>
        <w:jc w:val="both"/>
      </w:pPr>
      <w:r>
        <w:rPr>
          <w:rFonts w:ascii="Comic Sans MS" w:hAnsi="Comic Sans MS" w:cs="Comic Sans MS" w:eastAsia="Comic Sans MS"/>
          <w:b w:val="0"/>
          <w:i w:val="0"/>
          <w:color w:val="000000"/>
          <w:sz w:val="28"/>
        </w:rPr>
        <w:t>The overall process is governed by the change in Gibbs free energy:</w:t>
      </w:r>
    </w:p>
    <w:p>
      <w:pPr>
        <w:spacing w:after="160"/>
        <w:jc w:val="both"/>
      </w:pPr>
      <w:r>
        <w:rPr>
          <w:rFonts w:ascii="Comic Sans MS" w:hAnsi="Comic Sans MS" w:cs="Comic Sans MS" w:eastAsia="Comic Sans MS"/>
          <w:b/>
          <w:i w:val="0"/>
          <w:color w:val="000000"/>
          <w:sz w:val="28"/>
        </w:rPr>
        <w:t>delta G = delta H - T delta S</w:t>
      </w:r>
    </w:p>
    <w:p>
      <w:pPr>
        <w:spacing w:after="160"/>
        <w:jc w:val="both"/>
      </w:pPr>
      <w:r>
        <w:rPr>
          <w:rFonts w:ascii="Comic Sans MS" w:hAnsi="Comic Sans MS" w:cs="Comic Sans MS" w:eastAsia="Comic Sans MS"/>
          <w:b w:val="0"/>
          <w:i w:val="0"/>
          <w:color w:val="000000"/>
          <w:sz w:val="28"/>
        </w:rPr>
        <w:t>Dissolution is spontaneous when delta G is negative. Since the enthalpy change is frequently positive, that is, dissolution is endothermic, the entropy gain associated with the dispersal of solute molecules is often the decisive factor, and this is why the solubility of most solids increases with temperature.</w:t>
      </w:r>
    </w:p>
    <w:p>
      <w:pPr>
        <w:spacing w:after="160"/>
        <w:jc w:val="both"/>
      </w:pPr>
      <w:r>
        <w:rPr>
          <w:rFonts w:ascii="Comic Sans MS" w:hAnsi="Comic Sans MS" w:cs="Comic Sans MS" w:eastAsia="Comic Sans MS"/>
          <w:b w:val="0"/>
          <w:i w:val="0"/>
          <w:color w:val="000000"/>
          <w:sz w:val="28"/>
        </w:rPr>
        <w:t xml:space="preserve">The </w:t>
      </w:r>
      <w:r>
        <w:rPr>
          <w:rFonts w:ascii="Comic Sans MS" w:hAnsi="Comic Sans MS" w:cs="Comic Sans MS" w:eastAsia="Comic Sans MS"/>
          <w:b/>
          <w:i w:val="0"/>
          <w:color w:val="000000"/>
          <w:sz w:val="28"/>
        </w:rPr>
        <w:t>van't Hoff equation</w:t>
      </w:r>
      <w:r>
        <w:rPr>
          <w:rFonts w:ascii="Comic Sans MS" w:hAnsi="Comic Sans MS" w:cs="Comic Sans MS" w:eastAsia="Comic Sans MS"/>
          <w:b w:val="0"/>
          <w:i w:val="0"/>
          <w:color w:val="000000"/>
          <w:sz w:val="28"/>
        </w:rPr>
        <w:t xml:space="preserve"> expresses the temperature dependence:</w:t>
      </w:r>
    </w:p>
    <w:p>
      <w:pPr>
        <w:spacing w:after="160"/>
        <w:jc w:val="both"/>
      </w:pPr>
      <w:r>
        <w:rPr>
          <w:rFonts w:ascii="Comic Sans MS" w:hAnsi="Comic Sans MS" w:cs="Comic Sans MS" w:eastAsia="Comic Sans MS"/>
          <w:b/>
          <w:i w:val="0"/>
          <w:color w:val="000000"/>
          <w:sz w:val="28"/>
        </w:rPr>
        <w:t>log S = - (delta H of solution)/(2.303 R T) + constant</w:t>
      </w:r>
    </w:p>
    <w:p>
      <w:pPr>
        <w:spacing w:after="160"/>
        <w:jc w:val="both"/>
      </w:pPr>
      <w:r>
        <w:rPr>
          <w:rFonts w:ascii="Comic Sans MS" w:hAnsi="Comic Sans MS" w:cs="Comic Sans MS" w:eastAsia="Comic Sans MS"/>
          <w:b w:val="0"/>
          <w:i w:val="0"/>
          <w:color w:val="000000"/>
          <w:sz w:val="28"/>
        </w:rPr>
        <w:t>so that a plot of the logarithm of solubility against the reciprocal of absolute temperature is linear, with a slope from which the enthalpy of solution may be obtained. For an endothermic process the slope is negative and solubility rises with temperature; for the less common exothermic case, for example calcium hydroxide, solubility falls.</w:t>
      </w:r>
    </w:p>
    <w:p>
      <w:pPr>
        <w:keepNext/>
        <w:spacing w:before="160" w:after="40"/>
      </w:pPr>
      <w:r>
        <w:rPr>
          <w:rFonts w:ascii="Comic Sans MS" w:hAnsi="Comic Sans MS" w:cs="Comic Sans MS" w:eastAsia="Comic Sans MS"/>
          <w:b/>
          <w:i w:val="0"/>
          <w:color w:val="000000"/>
          <w:sz w:val="28"/>
        </w:rPr>
        <w:t>3.2.2 Ideal Solubility and the Role of Melting Point</w:t>
      </w:r>
    </w:p>
    <w:p>
      <w:pPr>
        <w:spacing w:after="160"/>
        <w:jc w:val="both"/>
      </w:pPr>
      <w:r>
        <w:rPr>
          <w:rFonts w:ascii="Comic Sans MS" w:hAnsi="Comic Sans MS" w:cs="Comic Sans MS" w:eastAsia="Comic Sans MS"/>
          <w:b w:val="0"/>
          <w:i w:val="0"/>
          <w:color w:val="000000"/>
          <w:sz w:val="28"/>
        </w:rPr>
        <w:t>For an ideal solution, in which solute-solute, solvent-solvent and solute-solvent interactions are equal, the solubility depends only on the crystal properties of the solute, namely its melting point and enthalpy of fusion:</w:t>
      </w:r>
    </w:p>
    <w:p>
      <w:pPr>
        <w:spacing w:after="160"/>
        <w:jc w:val="both"/>
      </w:pPr>
      <w:r>
        <w:rPr>
          <w:rFonts w:ascii="Comic Sans MS" w:hAnsi="Comic Sans MS" w:cs="Comic Sans MS" w:eastAsia="Comic Sans MS"/>
          <w:b/>
          <w:i w:val="0"/>
          <w:color w:val="000000"/>
          <w:sz w:val="28"/>
        </w:rPr>
        <w:t>log S(ideal) = - (delta H of fusion / 2.303 R) x (1/T - 1/Tm)</w:t>
      </w:r>
    </w:p>
    <w:p>
      <w:pPr>
        <w:spacing w:after="160"/>
        <w:jc w:val="both"/>
      </w:pPr>
      <w:r>
        <w:rPr>
          <w:rFonts w:ascii="Comic Sans MS" w:hAnsi="Comic Sans MS" w:cs="Comic Sans MS" w:eastAsia="Comic Sans MS"/>
          <w:b w:val="0"/>
          <w:i w:val="0"/>
          <w:color w:val="000000"/>
          <w:sz w:val="28"/>
        </w:rPr>
        <w:t>Two practical conclusions follow. First, a high melting point, indicating a strongly bonded lattice, predicts poor solubility. Second, any treatment that lowers the effective lattice energy, such as conversion to the amorphous form, to a metastable polymorph, or to a salt or co-crystal, will increase solubility.</w:t>
      </w:r>
    </w:p>
    <w:p>
      <w:pPr>
        <w:spacing w:after="160"/>
        <w:jc w:val="both"/>
      </w:pPr>
      <w:r>
        <w:rPr>
          <w:rFonts w:ascii="Comic Sans MS" w:hAnsi="Comic Sans MS" w:cs="Comic Sans MS" w:eastAsia="Comic Sans MS"/>
          <w:b w:val="0"/>
          <w:i w:val="0"/>
          <w:color w:val="000000"/>
          <w:sz w:val="28"/>
        </w:rPr>
        <w:t xml:space="preserve">The widely used </w:t>
      </w:r>
      <w:r>
        <w:rPr>
          <w:rFonts w:ascii="Comic Sans MS" w:hAnsi="Comic Sans MS" w:cs="Comic Sans MS" w:eastAsia="Comic Sans MS"/>
          <w:b/>
          <w:i w:val="0"/>
          <w:color w:val="000000"/>
          <w:sz w:val="28"/>
        </w:rPr>
        <w:t>General Solubility Equation</w:t>
      </w:r>
      <w:r>
        <w:rPr>
          <w:rFonts w:ascii="Comic Sans MS" w:hAnsi="Comic Sans MS" w:cs="Comic Sans MS" w:eastAsia="Comic Sans MS"/>
          <w:b w:val="0"/>
          <w:i w:val="0"/>
          <w:color w:val="000000"/>
          <w:sz w:val="28"/>
        </w:rPr>
        <w:t xml:space="preserve"> of Yalkowsky combines crystal and lipophilic contributions:</w:t>
      </w:r>
    </w:p>
    <w:p>
      <w:pPr>
        <w:spacing w:after="160"/>
        <w:jc w:val="both"/>
      </w:pPr>
      <w:r>
        <w:rPr>
          <w:rFonts w:ascii="Comic Sans MS" w:hAnsi="Comic Sans MS" w:cs="Comic Sans MS" w:eastAsia="Comic Sans MS"/>
          <w:b/>
          <w:i w:val="0"/>
          <w:color w:val="000000"/>
          <w:sz w:val="28"/>
        </w:rPr>
        <w:t>log S = 0.5 - 0.01 (MP - 25) - log P</w:t>
      </w:r>
    </w:p>
    <w:p>
      <w:pPr>
        <w:spacing w:after="160"/>
        <w:jc w:val="both"/>
      </w:pPr>
      <w:r>
        <w:rPr>
          <w:rFonts w:ascii="Comic Sans MS" w:hAnsi="Comic Sans MS" w:cs="Comic Sans MS" w:eastAsia="Comic Sans MS"/>
          <w:b w:val="0"/>
          <w:i w:val="0"/>
          <w:color w:val="000000"/>
          <w:sz w:val="28"/>
        </w:rPr>
        <w:t>where S is the molar aqueous solubility, MP is the melting point in degrees Celsius and log P is the octanol-water partition coefficient. It shows explicitly that poor solubility can arise either from crystal packing, giving "brick-dust" molecules of high melting point, or from lipophilicity, giving "grease-ball" molecules of high log P. The distinction is important because the two require different formulation strategies: lattice-limited compounds respond to amorphisation and salt formation, whereas lipophilicity-limited compounds respond to lipid-based and micellar systems.</w:t>
      </w:r>
    </w:p>
    <w:p>
      <w:pPr>
        <w:keepNext/>
        <w:spacing w:before="160" w:after="40"/>
      </w:pPr>
      <w:r>
        <w:rPr>
          <w:rFonts w:ascii="Comic Sans MS" w:hAnsi="Comic Sans MS" w:cs="Comic Sans MS" w:eastAsia="Comic Sans MS"/>
          <w:b/>
          <w:i w:val="0"/>
          <w:color w:val="000000"/>
          <w:sz w:val="28"/>
        </w:rPr>
        <w:t>3.2.3 Polarity, Solubility Parameters and Regular Solution Theory</w:t>
      </w:r>
    </w:p>
    <w:p>
      <w:pPr>
        <w:spacing w:after="160"/>
        <w:jc w:val="both"/>
      </w:pPr>
      <w:r>
        <w:rPr>
          <w:rFonts w:ascii="Comic Sans MS" w:hAnsi="Comic Sans MS" w:cs="Comic Sans MS" w:eastAsia="Comic Sans MS"/>
          <w:b w:val="0"/>
          <w:i w:val="0"/>
          <w:color w:val="000000"/>
          <w:sz w:val="28"/>
        </w:rPr>
        <w:t xml:space="preserve">The empirical rule that "like dissolves like" is formalised by the concept of the </w:t>
      </w:r>
      <w:r>
        <w:rPr>
          <w:rFonts w:ascii="Comic Sans MS" w:hAnsi="Comic Sans MS" w:cs="Comic Sans MS" w:eastAsia="Comic Sans MS"/>
          <w:b/>
          <w:i w:val="0"/>
          <w:color w:val="000000"/>
          <w:sz w:val="28"/>
        </w:rPr>
        <w:t>solubility parameter</w:t>
      </w:r>
      <w:r>
        <w:rPr>
          <w:rFonts w:ascii="Comic Sans MS" w:hAnsi="Comic Sans MS" w:cs="Comic Sans MS" w:eastAsia="Comic Sans MS"/>
          <w:b w:val="0"/>
          <w:i w:val="0"/>
          <w:color w:val="000000"/>
          <w:sz w:val="28"/>
        </w:rPr>
        <w:t xml:space="preserve">, introduced by Hildebrand, which is the square root of the cohesive energy density of a substance. According to regular solution theory, the activity coefficient of the solute, and hence the deviation of its solubility from ideal behaviour, depends on the square of the difference between the solubility parameters of solute and solvent. Solubility is therefore maximal when the two solubility parameters are equal, and the concept is used to select solvents, cosolvents and polymeric carriers rationally. </w:t>
      </w:r>
      <w:r>
        <w:rPr>
          <w:rFonts w:ascii="Comic Sans MS" w:hAnsi="Comic Sans MS" w:cs="Comic Sans MS" w:eastAsia="Comic Sans MS"/>
          <w:b/>
          <w:i w:val="0"/>
          <w:color w:val="000000"/>
          <w:sz w:val="28"/>
        </w:rPr>
        <w:t>Hansen solubility parameters</w:t>
      </w:r>
      <w:r>
        <w:rPr>
          <w:rFonts w:ascii="Comic Sans MS" w:hAnsi="Comic Sans MS" w:cs="Comic Sans MS" w:eastAsia="Comic Sans MS"/>
          <w:b w:val="0"/>
          <w:i w:val="0"/>
          <w:color w:val="000000"/>
          <w:sz w:val="28"/>
        </w:rPr>
        <w:t xml:space="preserve"> refine the approach by resolving the total parameter into dispersion, polar and hydrogen-bonding components, and are widely used in the selection of polymers for amorphous solid dispersions.</w:t>
      </w:r>
    </w:p>
    <w:p>
      <w:pPr>
        <w:spacing w:after="160"/>
        <w:jc w:val="both"/>
      </w:pPr>
      <w:r>
        <w:rPr>
          <w:rFonts w:ascii="Comic Sans MS" w:hAnsi="Comic Sans MS" w:cs="Comic Sans MS" w:eastAsia="Comic Sans MS"/>
          <w:b w:val="0"/>
          <w:i w:val="0"/>
          <w:color w:val="000000"/>
          <w:sz w:val="28"/>
        </w:rPr>
        <w:t xml:space="preserve">The </w:t>
      </w:r>
      <w:r>
        <w:rPr>
          <w:rFonts w:ascii="Comic Sans MS" w:hAnsi="Comic Sans MS" w:cs="Comic Sans MS" w:eastAsia="Comic Sans MS"/>
          <w:b/>
          <w:i w:val="0"/>
          <w:color w:val="000000"/>
          <w:sz w:val="28"/>
        </w:rPr>
        <w:t>dielectric constant</w:t>
      </w:r>
      <w:r>
        <w:rPr>
          <w:rFonts w:ascii="Comic Sans MS" w:hAnsi="Comic Sans MS" w:cs="Comic Sans MS" w:eastAsia="Comic Sans MS"/>
          <w:b w:val="0"/>
          <w:i w:val="0"/>
          <w:color w:val="000000"/>
          <w:sz w:val="28"/>
        </w:rPr>
        <w:t xml:space="preserve"> of the medium is a simpler and very practical index of polarity, and cosolvent blends are frequently characterised by the dielectric constant required to dissolve a given drug, a quantity sometimes called the dielectric requirement.</w:t>
      </w:r>
    </w:p>
    <w:p>
      <w:pPr>
        <w:keepNext/>
        <w:spacing w:before="160" w:after="40"/>
      </w:pPr>
      <w:r>
        <w:rPr>
          <w:rFonts w:ascii="Comic Sans MS" w:hAnsi="Comic Sans MS" w:cs="Comic Sans MS" w:eastAsia="Comic Sans MS"/>
          <w:b/>
          <w:i w:val="0"/>
          <w:color w:val="000000"/>
          <w:sz w:val="28"/>
        </w:rPr>
        <w:t>3.2.4 The Influence of pH and Ionisation</w:t>
      </w:r>
    </w:p>
    <w:p>
      <w:pPr>
        <w:spacing w:after="160"/>
        <w:jc w:val="both"/>
      </w:pPr>
      <w:r>
        <w:rPr>
          <w:rFonts w:ascii="Comic Sans MS" w:hAnsi="Comic Sans MS" w:cs="Comic Sans MS" w:eastAsia="Comic Sans MS"/>
          <w:b w:val="0"/>
          <w:i w:val="0"/>
          <w:color w:val="000000"/>
          <w:sz w:val="28"/>
        </w:rPr>
        <w:t>The great majority of drugs are weak electrolytes, and the ionised species is very much more soluble in water than the unionised species. The total solubility is therefore strongly pH dependent and is described, for a weak acid, by</w:t>
      </w:r>
    </w:p>
    <w:p>
      <w:pPr>
        <w:spacing w:after="160"/>
        <w:jc w:val="both"/>
      </w:pPr>
      <w:r>
        <w:rPr>
          <w:rFonts w:ascii="Comic Sans MS" w:hAnsi="Comic Sans MS" w:cs="Comic Sans MS" w:eastAsia="Comic Sans MS"/>
          <w:b/>
          <w:i w:val="0"/>
          <w:color w:val="000000"/>
          <w:sz w:val="28"/>
        </w:rPr>
        <w:t>S(total) = S0 [ 1 + antilog (pH - pKa) ]</w:t>
      </w:r>
    </w:p>
    <w:p>
      <w:pPr>
        <w:spacing w:after="160"/>
        <w:jc w:val="both"/>
      </w:pPr>
      <w:r>
        <w:rPr>
          <w:rFonts w:ascii="Comic Sans MS" w:hAnsi="Comic Sans MS" w:cs="Comic Sans MS" w:eastAsia="Comic Sans MS"/>
          <w:b w:val="0"/>
          <w:i w:val="0"/>
          <w:color w:val="000000"/>
          <w:sz w:val="28"/>
        </w:rPr>
        <w:t>and for a weak base by</w:t>
      </w:r>
    </w:p>
    <w:p>
      <w:pPr>
        <w:spacing w:after="160"/>
        <w:jc w:val="both"/>
      </w:pPr>
      <w:r>
        <w:rPr>
          <w:rFonts w:ascii="Comic Sans MS" w:hAnsi="Comic Sans MS" w:cs="Comic Sans MS" w:eastAsia="Comic Sans MS"/>
          <w:b/>
          <w:i w:val="0"/>
          <w:color w:val="000000"/>
          <w:sz w:val="28"/>
        </w:rPr>
        <w:t>S(total) = S0 [ 1 + antilog (pKa - pH) ]</w:t>
      </w:r>
    </w:p>
    <w:p>
      <w:pPr>
        <w:spacing w:after="160"/>
        <w:jc w:val="both"/>
      </w:pPr>
      <w:r>
        <w:rPr>
          <w:rFonts w:ascii="Comic Sans MS" w:hAnsi="Comic Sans MS" w:cs="Comic Sans MS" w:eastAsia="Comic Sans MS"/>
          <w:b w:val="0"/>
          <w:i w:val="0"/>
          <w:color w:val="000000"/>
          <w:sz w:val="28"/>
        </w:rPr>
        <w:t>where S0 is the intrinsic solubility of the unionised form. A weak acid is therefore poorly soluble in gastric acid and increasingly soluble in the intestine, whereas a weak base behaves in the opposite manner; this asymmetry underlies the common clinical problem of basic drugs precipitating on passage from the stomach to the duodenum.</w:t>
      </w:r>
    </w:p>
    <w:p>
      <w:pPr>
        <w:spacing w:after="160"/>
        <w:jc w:val="both"/>
      </w:pPr>
      <w:r>
        <w:rPr>
          <w:rFonts w:ascii="Comic Sans MS" w:hAnsi="Comic Sans MS" w:cs="Comic Sans MS" w:eastAsia="Comic Sans MS"/>
          <w:b w:val="0"/>
          <w:i w:val="0"/>
          <w:color w:val="000000"/>
          <w:sz w:val="28"/>
        </w:rPr>
        <w:t xml:space="preserve">The pH at which the solubility curve of the salt intersects that of the free form is known as </w:t>
      </w:r>
      <w:r>
        <w:rPr>
          <w:rFonts w:ascii="Comic Sans MS" w:hAnsi="Comic Sans MS" w:cs="Comic Sans MS" w:eastAsia="Comic Sans MS"/>
          <w:b/>
          <w:i w:val="0"/>
          <w:color w:val="000000"/>
          <w:sz w:val="28"/>
        </w:rPr>
        <w:t>pH max</w:t>
      </w:r>
      <w:r>
        <w:rPr>
          <w:rFonts w:ascii="Comic Sans MS" w:hAnsi="Comic Sans MS" w:cs="Comic Sans MS" w:eastAsia="Comic Sans MS"/>
          <w:b w:val="0"/>
          <w:i w:val="0"/>
          <w:color w:val="000000"/>
          <w:sz w:val="28"/>
        </w:rPr>
        <w:t>, and it defines the boundary between the region in which the salt is the stable solid phase and that in which the free acid or base is stable. Formulating above or below pH max determines whether a salt will disproportionate.</w:t>
      </w:r>
    </w:p>
    <w:p>
      <w:pPr>
        <w:keepNext/>
        <w:spacing w:before="160" w:after="40"/>
      </w:pPr>
      <w:r>
        <w:rPr>
          <w:rFonts w:ascii="Comic Sans MS" w:hAnsi="Comic Sans MS" w:cs="Comic Sans MS" w:eastAsia="Comic Sans MS"/>
          <w:b/>
          <w:i w:val="0"/>
          <w:color w:val="000000"/>
          <w:sz w:val="28"/>
        </w:rPr>
        <w:t>3.2.5 Micellar Solubilization</w:t>
      </w:r>
    </w:p>
    <w:p>
      <w:pPr>
        <w:spacing w:after="160"/>
        <w:jc w:val="both"/>
      </w:pPr>
      <w:r>
        <w:rPr>
          <w:rFonts w:ascii="Comic Sans MS" w:hAnsi="Comic Sans MS" w:cs="Comic Sans MS" w:eastAsia="Comic Sans MS"/>
          <w:b w:val="0"/>
          <w:i w:val="0"/>
          <w:color w:val="000000"/>
          <w:sz w:val="28"/>
        </w:rPr>
        <w:t xml:space="preserve">Surfactants are amphiphilic molecules that adsorb at interfaces and, above a characteristic concentration, aggregate spontaneously in solution to form </w:t>
      </w:r>
      <w:r>
        <w:rPr>
          <w:rFonts w:ascii="Comic Sans MS" w:hAnsi="Comic Sans MS" w:cs="Comic Sans MS" w:eastAsia="Comic Sans MS"/>
          <w:b/>
          <w:i w:val="0"/>
          <w:color w:val="000000"/>
          <w:sz w:val="28"/>
        </w:rPr>
        <w:t>micelles</w:t>
      </w:r>
      <w:r>
        <w:rPr>
          <w:rFonts w:ascii="Comic Sans MS" w:hAnsi="Comic Sans MS" w:cs="Comic Sans MS" w:eastAsia="Comic Sans MS"/>
          <w:b w:val="0"/>
          <w:i w:val="0"/>
          <w:color w:val="000000"/>
          <w:sz w:val="28"/>
        </w:rPr>
        <w:t xml:space="preserve">, with their hydrophobic chains directed inward and their hydrophilic head groups facing the water. The concentration at which this occurs is the </w:t>
      </w:r>
      <w:r>
        <w:rPr>
          <w:rFonts w:ascii="Comic Sans MS" w:hAnsi="Comic Sans MS" w:cs="Comic Sans MS" w:eastAsia="Comic Sans MS"/>
          <w:b/>
          <w:i w:val="0"/>
          <w:color w:val="000000"/>
          <w:sz w:val="28"/>
        </w:rPr>
        <w:t>critical micelle concentration (CMC)</w:t>
      </w:r>
      <w:r>
        <w:rPr>
          <w:rFonts w:ascii="Comic Sans MS" w:hAnsi="Comic Sans MS" w:cs="Comic Sans MS" w:eastAsia="Comic Sans MS"/>
          <w:b w:val="0"/>
          <w:i w:val="0"/>
          <w:color w:val="000000"/>
          <w:sz w:val="28"/>
        </w:rPr>
        <w:t>, and it is detected experimentally by abrupt changes in surface tension, conductivity, osmotic pressure, light scattering or the solubility of a dye.</w:t>
      </w:r>
    </w:p>
    <w:p>
      <w:pPr>
        <w:spacing w:after="160"/>
        <w:jc w:val="both"/>
      </w:pPr>
      <w:r>
        <w:rPr>
          <w:rFonts w:ascii="Comic Sans MS" w:hAnsi="Comic Sans MS" w:cs="Comic Sans MS" w:eastAsia="Comic Sans MS"/>
          <w:b w:val="0"/>
          <w:i w:val="0"/>
          <w:color w:val="000000"/>
          <w:sz w:val="28"/>
        </w:rPr>
        <w:t xml:space="preserve">Below the critical micelle concentration a surfactant increases dissolution rate only by improving wetting; above it, the micellar pseudophase provides a hydrophobic microenvironment into which poorly soluble solutes partition, and apparent solubility rises approximately linearly with surfactant concentration. The </w:t>
      </w:r>
      <w:r>
        <w:rPr>
          <w:rFonts w:ascii="Comic Sans MS" w:hAnsi="Comic Sans MS" w:cs="Comic Sans MS" w:eastAsia="Comic Sans MS"/>
          <w:b/>
          <w:i w:val="0"/>
          <w:color w:val="000000"/>
          <w:sz w:val="28"/>
        </w:rPr>
        <w:t>locus of solubilization</w:t>
      </w:r>
      <w:r>
        <w:rPr>
          <w:rFonts w:ascii="Comic Sans MS" w:hAnsi="Comic Sans MS" w:cs="Comic Sans MS" w:eastAsia="Comic Sans MS"/>
          <w:b w:val="0"/>
          <w:i w:val="0"/>
          <w:color w:val="000000"/>
          <w:sz w:val="28"/>
        </w:rPr>
        <w:t xml:space="preserve"> depends on the polarity of the solute: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Strictly non-polar solutes, such as the hydrocarbons, dissolve in the hydrocarbon core of the micelle.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Semi-polar solutes with both polar and non-polar regions orient themselves so that the polar group sits in the palisade layer among the head groups while the non-polar portion lies in the core.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Predominantly polar solutes are adsorbed on the micellar surface or in the hydrated outer region.</w:t>
      </w:r>
    </w:p>
    <w:p>
      <w:pPr>
        <w:spacing w:after="160"/>
        <w:jc w:val="both"/>
      </w:pPr>
      <w:r>
        <w:rPr>
          <w:rFonts w:ascii="Comic Sans MS" w:hAnsi="Comic Sans MS" w:cs="Comic Sans MS" w:eastAsia="Comic Sans MS"/>
          <w:b w:val="0"/>
          <w:i w:val="0"/>
          <w:color w:val="000000"/>
          <w:sz w:val="28"/>
        </w:rPr>
        <w:t xml:space="preserve">The efficiency of solubilization is expressed as the </w:t>
      </w:r>
      <w:r>
        <w:rPr>
          <w:rFonts w:ascii="Comic Sans MS" w:hAnsi="Comic Sans MS" w:cs="Comic Sans MS" w:eastAsia="Comic Sans MS"/>
          <w:b/>
          <w:i w:val="0"/>
          <w:color w:val="000000"/>
          <w:sz w:val="28"/>
        </w:rPr>
        <w:t>molar solubilization ratio</w:t>
      </w:r>
      <w:r>
        <w:rPr>
          <w:rFonts w:ascii="Comic Sans MS" w:hAnsi="Comic Sans MS" w:cs="Comic Sans MS" w:eastAsia="Comic Sans MS"/>
          <w:b w:val="0"/>
          <w:i w:val="0"/>
          <w:color w:val="000000"/>
          <w:sz w:val="28"/>
        </w:rPr>
        <w:t xml:space="preserve">, the number of moles of solute solubilised per mole of surfactant, or as the micelle-water partition coefficient. Relevant physical constants are the </w:t>
      </w:r>
      <w:r>
        <w:rPr>
          <w:rFonts w:ascii="Comic Sans MS" w:hAnsi="Comic Sans MS" w:cs="Comic Sans MS" w:eastAsia="Comic Sans MS"/>
          <w:b/>
          <w:i w:val="0"/>
          <w:color w:val="000000"/>
          <w:sz w:val="28"/>
        </w:rPr>
        <w:t>Krafft point</w:t>
      </w:r>
      <w:r>
        <w:rPr>
          <w:rFonts w:ascii="Comic Sans MS" w:hAnsi="Comic Sans MS" w:cs="Comic Sans MS" w:eastAsia="Comic Sans MS"/>
          <w:b w:val="0"/>
          <w:i w:val="0"/>
          <w:color w:val="000000"/>
          <w:sz w:val="28"/>
        </w:rPr>
        <w:t xml:space="preserve">, the temperature below which an ionic surfactant is too insoluble to form micelles, and the </w:t>
      </w:r>
      <w:r>
        <w:rPr>
          <w:rFonts w:ascii="Comic Sans MS" w:hAnsi="Comic Sans MS" w:cs="Comic Sans MS" w:eastAsia="Comic Sans MS"/>
          <w:b/>
          <w:i w:val="0"/>
          <w:color w:val="000000"/>
          <w:sz w:val="28"/>
        </w:rPr>
        <w:t>cloud point</w:t>
      </w:r>
      <w:r>
        <w:rPr>
          <w:rFonts w:ascii="Comic Sans MS" w:hAnsi="Comic Sans MS" w:cs="Comic Sans MS" w:eastAsia="Comic Sans MS"/>
          <w:b w:val="0"/>
          <w:i w:val="0"/>
          <w:color w:val="000000"/>
          <w:sz w:val="28"/>
        </w:rPr>
        <w:t>, the temperature above which a non-ionic surfactant separates from solution; formulations must be designed to operate between them.</w:t>
      </w:r>
    </w:p>
    <w:p>
      <w:pPr>
        <w:spacing w:after="160"/>
        <w:jc w:val="both"/>
      </w:pPr>
      <w:r>
        <w:rPr>
          <w:rFonts w:ascii="Comic Sans MS" w:hAnsi="Comic Sans MS" w:cs="Comic Sans MS" w:eastAsia="Comic Sans MS"/>
          <w:b w:val="0"/>
          <w:i w:val="0"/>
          <w:color w:val="000000"/>
          <w:sz w:val="28"/>
        </w:rPr>
        <w:t xml:space="preserve">The </w:t>
      </w:r>
      <w:r>
        <w:rPr>
          <w:rFonts w:ascii="Comic Sans MS" w:hAnsi="Comic Sans MS" w:cs="Comic Sans MS" w:eastAsia="Comic Sans MS"/>
          <w:b/>
          <w:i w:val="0"/>
          <w:color w:val="000000"/>
          <w:sz w:val="28"/>
        </w:rPr>
        <w:t>hydrophile-lipophile balance (HLB)</w:t>
      </w:r>
      <w:r>
        <w:rPr>
          <w:rFonts w:ascii="Comic Sans MS" w:hAnsi="Comic Sans MS" w:cs="Comic Sans MS" w:eastAsia="Comic Sans MS"/>
          <w:b w:val="0"/>
          <w:i w:val="0"/>
          <w:color w:val="000000"/>
          <w:sz w:val="28"/>
        </w:rPr>
        <w:t xml:space="preserve"> system classifies surfactants on a numerical scale and guides selection: values of about 3 to 6 indicate water-in-oil emulsifiers, 7 to 9 wetting agents, 8 to 18 oil-in-water emulsifiers, and 13 to 15 detergents, while solubilizing agents generally fall in the range 15 to 18. </w:t>
      </w:r>
      <w:r>
        <w:rPr>
          <w:rFonts w:ascii="Comic Sans MS" w:hAnsi="Comic Sans MS" w:cs="Comic Sans MS" w:eastAsia="Comic Sans MS"/>
          <w:b/>
          <w:i w:val="0"/>
          <w:color w:val="000000"/>
          <w:sz w:val="28"/>
        </w:rPr>
        <w:t>Mixed micelles</w:t>
      </w:r>
      <w:r>
        <w:rPr>
          <w:rFonts w:ascii="Comic Sans MS" w:hAnsi="Comic Sans MS" w:cs="Comic Sans MS" w:eastAsia="Comic Sans MS"/>
          <w:b w:val="0"/>
          <w:i w:val="0"/>
          <w:color w:val="000000"/>
          <w:sz w:val="28"/>
        </w:rPr>
        <w:t>, for example of bile salts with phospholipids, or of two synthetic surfactants, frequently solubilise more effectively than either component alone and are better tolerated.</w:t>
      </w:r>
    </w:p>
    <w:p>
      <w:pPr>
        <w:keepNext/>
        <w:spacing w:before="160" w:after="40"/>
      </w:pPr>
      <w:r>
        <w:rPr>
          <w:rFonts w:ascii="Comic Sans MS" w:hAnsi="Comic Sans MS" w:cs="Comic Sans MS" w:eastAsia="Comic Sans MS"/>
          <w:b/>
          <w:i w:val="0"/>
          <w:color w:val="000000"/>
          <w:sz w:val="28"/>
        </w:rPr>
        <w:t>3.2.6 Cosolvency</w:t>
      </w:r>
    </w:p>
    <w:p>
      <w:pPr>
        <w:spacing w:after="160"/>
        <w:jc w:val="both"/>
      </w:pPr>
      <w:r>
        <w:rPr>
          <w:rFonts w:ascii="Comic Sans MS" w:hAnsi="Comic Sans MS" w:cs="Comic Sans MS" w:eastAsia="Comic Sans MS"/>
          <w:b w:val="0"/>
          <w:i w:val="0"/>
          <w:color w:val="000000"/>
          <w:sz w:val="28"/>
        </w:rPr>
        <w:t>A cosolvent is a water-miscible organic solvent added to reduce the polarity of the aqueous medium, thereby reducing the interfacial tension between the aqueous phase and the hydrophobic solute. Cosolvency is the most widely used and most effective of the simple solubilization techniques, and increases of several orders of magnitude are readily achieved.</w:t>
      </w:r>
    </w:p>
    <w:p>
      <w:pPr>
        <w:spacing w:after="160"/>
        <w:jc w:val="both"/>
      </w:pPr>
      <w:r>
        <w:rPr>
          <w:rFonts w:ascii="Comic Sans MS" w:hAnsi="Comic Sans MS" w:cs="Comic Sans MS" w:eastAsia="Comic Sans MS"/>
          <w:b w:val="0"/>
          <w:i w:val="0"/>
          <w:color w:val="000000"/>
          <w:sz w:val="28"/>
        </w:rPr>
        <w:t xml:space="preserve">The relationship is described by the </w:t>
      </w:r>
      <w:r>
        <w:rPr>
          <w:rFonts w:ascii="Comic Sans MS" w:hAnsi="Comic Sans MS" w:cs="Comic Sans MS" w:eastAsia="Comic Sans MS"/>
          <w:b/>
          <w:i w:val="0"/>
          <w:color w:val="000000"/>
          <w:sz w:val="28"/>
        </w:rPr>
        <w:t>log-linear model</w:t>
      </w:r>
      <w:r>
        <w:rPr>
          <w:rFonts w:ascii="Comic Sans MS" w:hAnsi="Comic Sans MS" w:cs="Comic Sans MS" w:eastAsia="Comic Sans MS"/>
          <w:b w:val="0"/>
          <w:i w:val="0"/>
          <w:color w:val="000000"/>
          <w:sz w:val="28"/>
        </w:rPr>
        <w:t xml:space="preserve"> of Yalkowsky:</w:t>
      </w:r>
    </w:p>
    <w:p>
      <w:pPr>
        <w:spacing w:after="160"/>
        <w:jc w:val="both"/>
      </w:pPr>
      <w:r>
        <w:rPr>
          <w:rFonts w:ascii="Comic Sans MS" w:hAnsi="Comic Sans MS" w:cs="Comic Sans MS" w:eastAsia="Comic Sans MS"/>
          <w:b/>
          <w:i w:val="0"/>
          <w:color w:val="000000"/>
          <w:sz w:val="28"/>
        </w:rPr>
        <w:t>log S(mix) = log S(water) + sigma x f</w:t>
      </w:r>
    </w:p>
    <w:p>
      <w:pPr>
        <w:spacing w:after="160"/>
        <w:jc w:val="both"/>
      </w:pPr>
      <w:r>
        <w:rPr>
          <w:rFonts w:ascii="Comic Sans MS" w:hAnsi="Comic Sans MS" w:cs="Comic Sans MS" w:eastAsia="Comic Sans MS"/>
          <w:b w:val="0"/>
          <w:i w:val="0"/>
          <w:color w:val="000000"/>
          <w:sz w:val="28"/>
        </w:rPr>
        <w:t>where f is the volume fraction of cosolvent and sigma is the solubilization power of the cosolvent for that solute. Since sigma is itself approximately a linear function of the log P of the solute, the model has useful predictive value: the more lipophilic the drug, the greater the benefit obtained from a given cosolvent.</w:t>
      </w:r>
    </w:p>
    <w:p>
      <w:pPr>
        <w:spacing w:after="160"/>
        <w:jc w:val="both"/>
      </w:pPr>
      <w:r>
        <w:rPr>
          <w:rFonts w:ascii="Comic Sans MS" w:hAnsi="Comic Sans MS" w:cs="Comic Sans MS" w:eastAsia="Comic Sans MS"/>
          <w:b w:val="0"/>
          <w:i w:val="0"/>
          <w:color w:val="000000"/>
          <w:sz w:val="28"/>
        </w:rPr>
        <w:t>Commonly used cosolvents are ethanol, propylene glycol, glycerol, polyethylene glycol 300 and 400, dimethyl sulphoxide, dimethylacetamide, N-methylpyrrolidone and, for oral liquids, sorbitol and sucrose syrups. Their principal limitations are toxicity and local irritation, particularly on injection, the risk of precipitation on dilution with body fluids, haemolysis, and incompatibility with some plastics and closures.</w:t>
      </w:r>
    </w:p>
    <w:p>
      <w:pPr>
        <w:keepNext/>
        <w:spacing w:before="160" w:after="40"/>
      </w:pPr>
      <w:r>
        <w:rPr>
          <w:rFonts w:ascii="Comic Sans MS" w:hAnsi="Comic Sans MS" w:cs="Comic Sans MS" w:eastAsia="Comic Sans MS"/>
          <w:b/>
          <w:i w:val="0"/>
          <w:color w:val="000000"/>
          <w:sz w:val="28"/>
        </w:rPr>
        <w:t>3.2.7 Hydrotropy</w:t>
      </w:r>
    </w:p>
    <w:p>
      <w:pPr>
        <w:spacing w:after="160"/>
        <w:jc w:val="both"/>
      </w:pPr>
      <w:r>
        <w:rPr>
          <w:rFonts w:ascii="Comic Sans MS" w:hAnsi="Comic Sans MS" w:cs="Comic Sans MS" w:eastAsia="Comic Sans MS"/>
          <w:b w:val="0"/>
          <w:i w:val="0"/>
          <w:color w:val="000000"/>
          <w:sz w:val="28"/>
        </w:rPr>
        <w:t>Hydrotropy is the increase in aqueous solubility brought about by relatively high concentrations of certain small, highly water-soluble organic salts known as hydrotropes, which possess a short hydrophobic moiety and a strongly hydrophilic group but do not form micelles in the conventional sense. Sodium benzoate, sodium salicylate, sodium acetate, sodium citrate, urea, nicotinamide, caffeine and sodium para-toluenesulphonate are typical examples. The mechanism is thought to involve the disruption of the hydrogen-bonded structure of water together with weak self-association of hydrotrope molecules around the solute, giving a co-operative, sigmoidal rather than linear increase in solubility above a minimum hydrotrope concentration. Hydrotropy has the advantages of not requiring organic solvents, of being largely independent of pH, and of being easily reversed by dilution.</w:t>
      </w:r>
    </w:p>
    <w:p>
      <w:pPr>
        <w:keepNext/>
        <w:spacing w:before="160" w:after="40"/>
      </w:pPr>
      <w:r>
        <w:rPr>
          <w:rFonts w:ascii="Comic Sans MS" w:hAnsi="Comic Sans MS" w:cs="Comic Sans MS" w:eastAsia="Comic Sans MS"/>
          <w:b/>
          <w:i w:val="0"/>
          <w:color w:val="000000"/>
          <w:sz w:val="28"/>
        </w:rPr>
        <w:t>3.2.8 Complexation and Phase Solubility Analysis</w:t>
      </w:r>
    </w:p>
    <w:p>
      <w:pPr>
        <w:spacing w:after="160"/>
        <w:jc w:val="both"/>
      </w:pPr>
      <w:r>
        <w:rPr>
          <w:rFonts w:ascii="Comic Sans MS" w:hAnsi="Comic Sans MS" w:cs="Comic Sans MS" w:eastAsia="Comic Sans MS"/>
          <w:b w:val="0"/>
          <w:i w:val="0"/>
          <w:color w:val="000000"/>
          <w:sz w:val="28"/>
        </w:rPr>
        <w:t xml:space="preserve">Complexation is the reversible association of the drug with a ligand to form a soluble complex of higher apparent solubility. Three broad types are recognised: </w:t>
      </w:r>
      <w:r>
        <w:rPr>
          <w:rFonts w:ascii="Comic Sans MS" w:hAnsi="Comic Sans MS" w:cs="Comic Sans MS" w:eastAsia="Comic Sans MS"/>
          <w:b/>
          <w:i w:val="0"/>
          <w:color w:val="000000"/>
          <w:sz w:val="28"/>
        </w:rPr>
        <w:t>stacking complexes,</w:t>
      </w:r>
      <w:r>
        <w:rPr>
          <w:rFonts w:ascii="Comic Sans MS" w:hAnsi="Comic Sans MS" w:cs="Comic Sans MS" w:eastAsia="Comic Sans MS"/>
          <w:b w:val="0"/>
          <w:i w:val="0"/>
          <w:color w:val="000000"/>
          <w:sz w:val="28"/>
        </w:rPr>
        <w:t xml:space="preserve"> formed by the planar overlap of aromatic rings, as with caffeine and benzocaine; </w:t>
      </w:r>
      <w:r>
        <w:rPr>
          <w:rFonts w:ascii="Comic Sans MS" w:hAnsi="Comic Sans MS" w:cs="Comic Sans MS" w:eastAsia="Comic Sans MS"/>
          <w:b/>
          <w:i w:val="0"/>
          <w:color w:val="000000"/>
          <w:sz w:val="28"/>
        </w:rPr>
        <w:t>inclusion complexes,</w:t>
      </w:r>
      <w:r>
        <w:rPr>
          <w:rFonts w:ascii="Comic Sans MS" w:hAnsi="Comic Sans MS" w:cs="Comic Sans MS" w:eastAsia="Comic Sans MS"/>
          <w:b w:val="0"/>
          <w:i w:val="0"/>
          <w:color w:val="000000"/>
          <w:sz w:val="28"/>
        </w:rPr>
        <w:t xml:space="preserve"> in which the guest molecule is accommodated within the cavity of a host such as a cyclodextrin; and </w:t>
      </w:r>
      <w:r>
        <w:rPr>
          <w:rFonts w:ascii="Comic Sans MS" w:hAnsi="Comic Sans MS" w:cs="Comic Sans MS" w:eastAsia="Comic Sans MS"/>
          <w:b/>
          <w:i w:val="0"/>
          <w:color w:val="000000"/>
          <w:sz w:val="28"/>
        </w:rPr>
        <w:t>metal-ion coordination complexes.</w:t>
      </w:r>
    </w:p>
    <w:p>
      <w:pPr>
        <w:spacing w:after="160"/>
        <w:jc w:val="both"/>
      </w:pPr>
      <w:r>
        <w:rPr>
          <w:rFonts w:ascii="Comic Sans MS" w:hAnsi="Comic Sans MS" w:cs="Comic Sans MS" w:eastAsia="Comic Sans MS"/>
          <w:b w:val="0"/>
          <w:i w:val="0"/>
          <w:color w:val="000000"/>
          <w:sz w:val="28"/>
        </w:rPr>
        <w:t xml:space="preserve">The </w:t>
      </w:r>
      <w:r>
        <w:rPr>
          <w:rFonts w:ascii="Comic Sans MS" w:hAnsi="Comic Sans MS" w:cs="Comic Sans MS" w:eastAsia="Comic Sans MS"/>
          <w:b/>
          <w:i w:val="0"/>
          <w:color w:val="000000"/>
          <w:sz w:val="28"/>
        </w:rPr>
        <w:t>phase solubility method</w:t>
      </w:r>
      <w:r>
        <w:rPr>
          <w:rFonts w:ascii="Comic Sans MS" w:hAnsi="Comic Sans MS" w:cs="Comic Sans MS" w:eastAsia="Comic Sans MS"/>
          <w:b w:val="0"/>
          <w:i w:val="0"/>
          <w:color w:val="000000"/>
          <w:sz w:val="28"/>
        </w:rPr>
        <w:t xml:space="preserve"> of Higuchi and Connors is the standard means of characterising complexation. The total solubility of the drug is measured as a function of the concentration of the ligand, and the resulting diagram is classified as follows.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Type A diagrams,</w:t>
      </w:r>
      <w:r>
        <w:rPr>
          <w:rFonts w:ascii="Comic Sans MS" w:hAnsi="Comic Sans MS" w:cs="Comic Sans MS" w:eastAsia="Comic Sans MS"/>
          <w:b w:val="0"/>
          <w:i w:val="0"/>
          <w:color w:val="000000"/>
          <w:sz w:val="28"/>
        </w:rPr>
        <w:t xml:space="preserve"> in which solubility increases continuously and the complex is soluble. Sub-types are </w:t>
      </w:r>
      <w:r>
        <w:rPr>
          <w:rFonts w:ascii="Comic Sans MS" w:hAnsi="Comic Sans MS" w:cs="Comic Sans MS" w:eastAsia="Comic Sans MS"/>
          <w:b/>
          <w:i w:val="0"/>
          <w:color w:val="000000"/>
          <w:sz w:val="28"/>
        </w:rPr>
        <w:t>AL,</w:t>
      </w:r>
      <w:r>
        <w:rPr>
          <w:rFonts w:ascii="Comic Sans MS" w:hAnsi="Comic Sans MS" w:cs="Comic Sans MS" w:eastAsia="Comic Sans MS"/>
          <w:b w:val="0"/>
          <w:i w:val="0"/>
          <w:color w:val="000000"/>
          <w:sz w:val="28"/>
        </w:rPr>
        <w:t xml:space="preserve"> a straight line indicating a complex of first order with respect to the ligand and usually of 1:1 stoichiometry; </w:t>
      </w:r>
      <w:r>
        <w:rPr>
          <w:rFonts w:ascii="Comic Sans MS" w:hAnsi="Comic Sans MS" w:cs="Comic Sans MS" w:eastAsia="Comic Sans MS"/>
          <w:b/>
          <w:i w:val="0"/>
          <w:color w:val="000000"/>
          <w:sz w:val="28"/>
        </w:rPr>
        <w:t>AP,</w:t>
      </w:r>
      <w:r>
        <w:rPr>
          <w:rFonts w:ascii="Comic Sans MS" w:hAnsi="Comic Sans MS" w:cs="Comic Sans MS" w:eastAsia="Comic Sans MS"/>
          <w:b w:val="0"/>
          <w:i w:val="0"/>
          <w:color w:val="000000"/>
          <w:sz w:val="28"/>
        </w:rPr>
        <w:t xml:space="preserve"> a positive deviation, indicating a complex of higher order in ligand; and </w:t>
      </w:r>
      <w:r>
        <w:rPr>
          <w:rFonts w:ascii="Comic Sans MS" w:hAnsi="Comic Sans MS" w:cs="Comic Sans MS" w:eastAsia="Comic Sans MS"/>
          <w:b/>
          <w:i w:val="0"/>
          <w:color w:val="000000"/>
          <w:sz w:val="28"/>
        </w:rPr>
        <w:t>AN,</w:t>
      </w:r>
      <w:r>
        <w:rPr>
          <w:rFonts w:ascii="Comic Sans MS" w:hAnsi="Comic Sans MS" w:cs="Comic Sans MS" w:eastAsia="Comic Sans MS"/>
          <w:b w:val="0"/>
          <w:i w:val="0"/>
          <w:color w:val="000000"/>
          <w:sz w:val="28"/>
        </w:rPr>
        <w:t xml:space="preserve"> a negative deviation, indicating changes in the medium at higher ligand concentrations.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Type B diagrams,</w:t>
      </w:r>
      <w:r>
        <w:rPr>
          <w:rFonts w:ascii="Comic Sans MS" w:hAnsi="Comic Sans MS" w:cs="Comic Sans MS" w:eastAsia="Comic Sans MS"/>
          <w:b w:val="0"/>
          <w:i w:val="0"/>
          <w:color w:val="000000"/>
          <w:sz w:val="28"/>
        </w:rPr>
        <w:t xml:space="preserve"> in which a complex of limited solubility is formed. </w:t>
      </w:r>
      <w:r>
        <w:rPr>
          <w:rFonts w:ascii="Comic Sans MS" w:hAnsi="Comic Sans MS" w:cs="Comic Sans MS" w:eastAsia="Comic Sans MS"/>
          <w:b/>
          <w:i w:val="0"/>
          <w:color w:val="000000"/>
          <w:sz w:val="28"/>
        </w:rPr>
        <w:t>BS</w:t>
      </w:r>
      <w:r>
        <w:rPr>
          <w:rFonts w:ascii="Comic Sans MS" w:hAnsi="Comic Sans MS" w:cs="Comic Sans MS" w:eastAsia="Comic Sans MS"/>
          <w:b w:val="0"/>
          <w:i w:val="0"/>
          <w:color w:val="000000"/>
          <w:sz w:val="28"/>
        </w:rPr>
        <w:t xml:space="preserve"> shows an initial rise, then a plateau in which excess ligand precipitates the complex, then a fall; </w:t>
      </w:r>
      <w:r>
        <w:rPr>
          <w:rFonts w:ascii="Comic Sans MS" w:hAnsi="Comic Sans MS" w:cs="Comic Sans MS" w:eastAsia="Comic Sans MS"/>
          <w:b/>
          <w:i w:val="0"/>
          <w:color w:val="000000"/>
          <w:sz w:val="28"/>
        </w:rPr>
        <w:t>BI</w:t>
      </w:r>
      <w:r>
        <w:rPr>
          <w:rFonts w:ascii="Comic Sans MS" w:hAnsi="Comic Sans MS" w:cs="Comic Sans MS" w:eastAsia="Comic Sans MS"/>
          <w:b w:val="0"/>
          <w:i w:val="0"/>
          <w:color w:val="000000"/>
          <w:sz w:val="28"/>
        </w:rPr>
        <w:t xml:space="preserve"> indicates a complex that is essentially insoluble.</w:t>
      </w:r>
    </w:p>
    <w:p>
      <w:pPr>
        <w:spacing w:after="160"/>
        <w:jc w:val="both"/>
      </w:pPr>
      <w:r>
        <w:rPr>
          <w:rFonts w:ascii="Comic Sans MS" w:hAnsi="Comic Sans MS" w:cs="Comic Sans MS" w:eastAsia="Comic Sans MS"/>
          <w:b w:val="0"/>
          <w:i w:val="0"/>
          <w:color w:val="000000"/>
          <w:sz w:val="28"/>
        </w:rPr>
        <w:t xml:space="preserve">For an AL system, the stability constant is obtained from the slope and intercept as </w:t>
      </w:r>
      <w:r>
        <w:rPr>
          <w:rFonts w:ascii="Comic Sans MS" w:hAnsi="Comic Sans MS" w:cs="Comic Sans MS" w:eastAsia="Comic Sans MS"/>
          <w:b/>
          <w:i w:val="0"/>
          <w:color w:val="000000"/>
          <w:sz w:val="28"/>
        </w:rPr>
        <w:t>K = slope / [ S0 (1 - slope) ]</w:t>
      </w:r>
      <w:r>
        <w:rPr>
          <w:rFonts w:ascii="Comic Sans MS" w:hAnsi="Comic Sans MS" w:cs="Comic Sans MS" w:eastAsia="Comic Sans MS"/>
          <w:b w:val="0"/>
          <w:i w:val="0"/>
          <w:color w:val="000000"/>
          <w:sz w:val="28"/>
        </w:rPr>
        <w:t>, where S0 is the intrinsic solubility. Values of the stability constant between about 100 and 1000 reciprocal molar are generally considered optimal, since weaker complexes do little to enhance solubility, while excessively strong complexes may impede release of the free drug at the absorption site.</w:t>
      </w:r>
    </w:p>
    <w:p>
      <w:pPr>
        <w:keepNext/>
        <w:spacing w:before="160" w:after="40"/>
      </w:pPr>
      <w:r>
        <w:rPr>
          <w:rFonts w:ascii="Comic Sans MS" w:hAnsi="Comic Sans MS" w:cs="Comic Sans MS" w:eastAsia="Comic Sans MS"/>
          <w:b/>
          <w:i w:val="0"/>
          <w:color w:val="000000"/>
          <w:sz w:val="28"/>
        </w:rPr>
        <w:t>3.2.9 Other Factors Affecting Solubility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Temperature,</w:t>
      </w:r>
      <w:r>
        <w:rPr>
          <w:rFonts w:ascii="Comic Sans MS" w:hAnsi="Comic Sans MS" w:cs="Comic Sans MS" w:eastAsia="Comic Sans MS"/>
          <w:b w:val="0"/>
          <w:i w:val="0"/>
          <w:color w:val="000000"/>
          <w:sz w:val="28"/>
        </w:rPr>
        <w:t xml:space="preserve"> as described by the van't Hoff relationship.</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Particle size.</w:t>
      </w:r>
      <w:r>
        <w:rPr>
          <w:rFonts w:ascii="Comic Sans MS" w:hAnsi="Comic Sans MS" w:cs="Comic Sans MS" w:eastAsia="Comic Sans MS"/>
          <w:b w:val="0"/>
          <w:i w:val="0"/>
          <w:color w:val="000000"/>
          <w:sz w:val="28"/>
        </w:rPr>
        <w:t xml:space="preserve"> Solubility rises very slightly as particles become extremely small, an effect described by the Ostwald-Freundlich equation and appreciable only below about one micrometre, which is part of the rationale for nanocrystal technology; the far larger effect of size reduction is on dissolution rate rather than solubility.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Polymorphism and the amorphous state,</w:t>
      </w:r>
      <w:r>
        <w:rPr>
          <w:rFonts w:ascii="Comic Sans MS" w:hAnsi="Comic Sans MS" w:cs="Comic Sans MS" w:eastAsia="Comic Sans MS"/>
          <w:b w:val="0"/>
          <w:i w:val="0"/>
          <w:color w:val="000000"/>
          <w:sz w:val="28"/>
        </w:rPr>
        <w:t xml:space="preserve"> as described in Unit I.</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Common ion effect.</w:t>
      </w:r>
      <w:r>
        <w:rPr>
          <w:rFonts w:ascii="Comic Sans MS" w:hAnsi="Comic Sans MS" w:cs="Comic Sans MS" w:eastAsia="Comic Sans MS"/>
          <w:b w:val="0"/>
          <w:i w:val="0"/>
          <w:color w:val="000000"/>
          <w:sz w:val="28"/>
        </w:rPr>
        <w:t xml:space="preserve"> The solubility of a salt is depressed by an excess of one of its own ions; the reduced solubility of hydrochloride salts in gastric fluid is the classic pharmaceutical example.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Salting out and salting in.</w:t>
      </w:r>
      <w:r>
        <w:rPr>
          <w:rFonts w:ascii="Comic Sans MS" w:hAnsi="Comic Sans MS" w:cs="Comic Sans MS" w:eastAsia="Comic Sans MS"/>
          <w:b w:val="0"/>
          <w:i w:val="0"/>
          <w:color w:val="000000"/>
          <w:sz w:val="28"/>
        </w:rPr>
        <w:t xml:space="preserve"> High concentrations of electrolytes that are strongly hydrated compete for water and reduce solubility (salting out), while some large ions increase it (salting in).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Surface tension and wetting.</w:t>
      </w:r>
      <w:r>
        <w:rPr>
          <w:rFonts w:ascii="Comic Sans MS" w:hAnsi="Comic Sans MS" w:cs="Comic Sans MS" w:eastAsia="Comic Sans MS"/>
          <w:b w:val="0"/>
          <w:i w:val="0"/>
          <w:color w:val="000000"/>
          <w:sz w:val="28"/>
        </w:rPr>
        <w:t xml:space="preserve"> A poorly wetted powder floats or agglomerates and dissolves slowly irrespective of its thermodynamic solubility; the contact angle is therefore measured and surfactants are added to reduce it.</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Molecular structure.</w:t>
      </w:r>
      <w:r>
        <w:rPr>
          <w:rFonts w:ascii="Comic Sans MS" w:hAnsi="Comic Sans MS" w:cs="Comic Sans MS" w:eastAsia="Comic Sans MS"/>
          <w:b w:val="0"/>
          <w:i w:val="0"/>
          <w:color w:val="000000"/>
          <w:sz w:val="28"/>
        </w:rPr>
        <w:t xml:space="preserve"> Branching, the presence of polar groups, the capacity for intramolecular hydrogen bonding and the degree of planarity all modify solubility.</w:t>
      </w:r>
    </w:p>
    <w:p>
      <w:pPr>
        <w:keepNext/>
        <w:spacing w:before="160" w:after="40"/>
      </w:pPr>
      <w:r>
        <w:rPr>
          <w:rFonts w:ascii="Comic Sans MS" w:hAnsi="Comic Sans MS" w:cs="Comic Sans MS" w:eastAsia="Comic Sans MS"/>
          <w:b/>
          <w:i w:val="0"/>
          <w:color w:val="000000"/>
          <w:sz w:val="28"/>
        </w:rPr>
        <w:t>3.3 Techniques for Improvement of Drug Solubilization</w:t>
      </w:r>
    </w:p>
    <w:p>
      <w:pPr>
        <w:spacing w:after="160"/>
        <w:jc w:val="both"/>
      </w:pPr>
      <w:r>
        <w:rPr>
          <w:rFonts w:ascii="Comic Sans MS" w:hAnsi="Comic Sans MS" w:cs="Comic Sans MS" w:eastAsia="Comic Sans MS"/>
          <w:b w:val="0"/>
          <w:i w:val="0"/>
          <w:color w:val="000000"/>
          <w:sz w:val="28"/>
        </w:rPr>
        <w:t>The available techniques may be grouped into physical modifications of the drug, chemical modifications of the drug, and the use of carriers and vehicles. In practice a combination is often employed.</w:t>
      </w:r>
    </w:p>
    <w:p>
      <w:pPr>
        <w:keepNext/>
        <w:spacing w:before="160" w:after="40"/>
      </w:pPr>
      <w:r>
        <w:rPr>
          <w:rFonts w:ascii="Comic Sans MS" w:hAnsi="Comic Sans MS" w:cs="Comic Sans MS" w:eastAsia="Comic Sans MS"/>
          <w:b/>
          <w:i w:val="0"/>
          <w:color w:val="000000"/>
          <w:sz w:val="28"/>
        </w:rPr>
        <w:t>3.3.1 Particle Size Reduction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Micronisation.</w:t>
      </w:r>
      <w:r>
        <w:rPr>
          <w:rFonts w:ascii="Comic Sans MS" w:hAnsi="Comic Sans MS" w:cs="Comic Sans MS" w:eastAsia="Comic Sans MS"/>
          <w:b w:val="0"/>
          <w:i w:val="0"/>
          <w:color w:val="000000"/>
          <w:sz w:val="28"/>
        </w:rPr>
        <w:t xml:space="preserve"> Conventional milling by jet mill, ball mill or fluid energy mill reduces the particle size to the range of 2 to 5 micrometres, increasing surface area and hence dissolution rate. It does not alter saturation solubility, so it helps only when dissolution rate, and not solubility itself, is limiting. Disadvantages include increased cohesiveness and poor flow, electrostatic charging, possible amorphisation and polymorphic conversion at the particle surface, and thermal degradation.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Nanosuspensions and nanocrystals.</w:t>
      </w:r>
      <w:r>
        <w:rPr>
          <w:rFonts w:ascii="Comic Sans MS" w:hAnsi="Comic Sans MS" w:cs="Comic Sans MS" w:eastAsia="Comic Sans MS"/>
          <w:b w:val="0"/>
          <w:i w:val="0"/>
          <w:color w:val="000000"/>
          <w:sz w:val="28"/>
        </w:rPr>
        <w:t xml:space="preserve"> Reduction below about 1000 nanometres produces a genuine, if modest, increase in saturation solubility in addition to a very large increase in surface area, and also increases adhesion to the gut wall. Nanosuspensions are produced by </w:t>
      </w:r>
      <w:r>
        <w:rPr>
          <w:rFonts w:ascii="Comic Sans MS" w:hAnsi="Comic Sans MS" w:cs="Comic Sans MS" w:eastAsia="Comic Sans MS"/>
          <w:b/>
          <w:i w:val="0"/>
          <w:color w:val="000000"/>
          <w:sz w:val="28"/>
        </w:rPr>
        <w:t>media milling (pearl milling)</w:t>
      </w:r>
      <w:r>
        <w:rPr>
          <w:rFonts w:ascii="Comic Sans MS" w:hAnsi="Comic Sans MS" w:cs="Comic Sans MS" w:eastAsia="Comic Sans MS"/>
          <w:b w:val="0"/>
          <w:i w:val="0"/>
          <w:color w:val="000000"/>
          <w:sz w:val="28"/>
        </w:rPr>
        <w:t xml:space="preserve">, as in the NanoCrystal technology, by </w:t>
      </w:r>
      <w:r>
        <w:rPr>
          <w:rFonts w:ascii="Comic Sans MS" w:hAnsi="Comic Sans MS" w:cs="Comic Sans MS" w:eastAsia="Comic Sans MS"/>
          <w:b/>
          <w:i w:val="0"/>
          <w:color w:val="000000"/>
          <w:sz w:val="28"/>
        </w:rPr>
        <w:t>high-pressure homogenisation</w:t>
      </w:r>
      <w:r>
        <w:rPr>
          <w:rFonts w:ascii="Comic Sans MS" w:hAnsi="Comic Sans MS" w:cs="Comic Sans MS" w:eastAsia="Comic Sans MS"/>
          <w:b w:val="0"/>
          <w:i w:val="0"/>
          <w:color w:val="000000"/>
          <w:sz w:val="28"/>
        </w:rPr>
        <w:t xml:space="preserve">, either in water (Dissocubes) or in non-aqueous media (Nanopure), by </w:t>
      </w:r>
      <w:r>
        <w:rPr>
          <w:rFonts w:ascii="Comic Sans MS" w:hAnsi="Comic Sans MS" w:cs="Comic Sans MS" w:eastAsia="Comic Sans MS"/>
          <w:b/>
          <w:i w:val="0"/>
          <w:color w:val="000000"/>
          <w:sz w:val="28"/>
        </w:rPr>
        <w:t>combination approaches</w:t>
      </w:r>
      <w:r>
        <w:rPr>
          <w:rFonts w:ascii="Comic Sans MS" w:hAnsi="Comic Sans MS" w:cs="Comic Sans MS" w:eastAsia="Comic Sans MS"/>
          <w:b w:val="0"/>
          <w:i w:val="0"/>
          <w:color w:val="000000"/>
          <w:sz w:val="28"/>
        </w:rPr>
        <w:t xml:space="preserve"> such as Nanoedge, and by </w:t>
      </w:r>
      <w:r>
        <w:rPr>
          <w:rFonts w:ascii="Comic Sans MS" w:hAnsi="Comic Sans MS" w:cs="Comic Sans MS" w:eastAsia="Comic Sans MS"/>
          <w:b/>
          <w:i w:val="0"/>
          <w:color w:val="000000"/>
          <w:sz w:val="28"/>
        </w:rPr>
        <w:t>precipitation and controlled crystallisation.</w:t>
      </w:r>
      <w:r>
        <w:rPr>
          <w:rFonts w:ascii="Comic Sans MS" w:hAnsi="Comic Sans MS" w:cs="Comic Sans MS" w:eastAsia="Comic Sans MS"/>
          <w:b w:val="0"/>
          <w:i w:val="0"/>
          <w:color w:val="000000"/>
          <w:sz w:val="28"/>
        </w:rPr>
        <w:t xml:space="preserve"> They must be stabilised against Ostwald ripening and aggregation with polymers and surfactants such as poloxamers, polysorbates, povidone and hypromellose. Marketed products include sirolimus, aprepitant, fenofibrate and megestrol acetate nanocrystal formulations.</w:t>
      </w:r>
    </w:p>
    <w:p>
      <w:pPr>
        <w:keepNext/>
        <w:spacing w:before="160" w:after="40"/>
      </w:pPr>
      <w:r>
        <w:rPr>
          <w:rFonts w:ascii="Comic Sans MS" w:hAnsi="Comic Sans MS" w:cs="Comic Sans MS" w:eastAsia="Comic Sans MS"/>
          <w:b/>
          <w:i w:val="0"/>
          <w:color w:val="000000"/>
          <w:sz w:val="28"/>
        </w:rPr>
        <w:t>3.3.2 Modification of the Solid State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Crystal habit modification.</w:t>
      </w:r>
      <w:r>
        <w:rPr>
          <w:rFonts w:ascii="Comic Sans MS" w:hAnsi="Comic Sans MS" w:cs="Comic Sans MS" w:eastAsia="Comic Sans MS"/>
          <w:b w:val="0"/>
          <w:i w:val="0"/>
          <w:color w:val="000000"/>
          <w:sz w:val="28"/>
        </w:rPr>
        <w:t xml:space="preserve"> Recrystallisation from different solvents, or in the presence of additives, alters the external shape and the exposed crystal faces, changing wettability and dissolution rate.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Selection of a metastable polymorph,</w:t>
      </w:r>
      <w:r>
        <w:rPr>
          <w:rFonts w:ascii="Comic Sans MS" w:hAnsi="Comic Sans MS" w:cs="Comic Sans MS" w:eastAsia="Comic Sans MS"/>
          <w:b w:val="0"/>
          <w:i w:val="0"/>
          <w:color w:val="000000"/>
          <w:sz w:val="28"/>
        </w:rPr>
        <w:t xml:space="preserve"> which has higher free energy and therefore higher apparent solubility, subject to the stability constraints discussed in Unit I.</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Use of the amorphous form,</w:t>
      </w:r>
      <w:r>
        <w:rPr>
          <w:rFonts w:ascii="Comic Sans MS" w:hAnsi="Comic Sans MS" w:cs="Comic Sans MS" w:eastAsia="Comic Sans MS"/>
          <w:b w:val="0"/>
          <w:i w:val="0"/>
          <w:color w:val="000000"/>
          <w:sz w:val="28"/>
        </w:rPr>
        <w:t xml:space="preserve"> which lacks lattice energy altogether and may show solubility one to several hundred times greater than the crystalline form. The amorphous form must be stabilised against recrystallisation, which is achieved principally by molecular dispersion in a polymer.</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Co-crystals.</w:t>
      </w:r>
      <w:r>
        <w:rPr>
          <w:rFonts w:ascii="Comic Sans MS" w:hAnsi="Comic Sans MS" w:cs="Comic Sans MS" w:eastAsia="Comic Sans MS"/>
          <w:b w:val="0"/>
          <w:i w:val="0"/>
          <w:color w:val="000000"/>
          <w:sz w:val="28"/>
        </w:rPr>
        <w:t xml:space="preserve"> A co-crystal is a crystalline material composed of the drug and a neutral co-former in a defined stoichiometric ratio, held together by hydrogen bonds or other non-covalent interactions. Unlike salts, co-crystals can be formed from non-ionisable drugs, which greatly extends their applicability. Co-formers are usually chosen from the generally recognised as safe list, for example succinic acid, fumaric acid, saccharin, nicotinamide, urea and caffeine. They are prepared by solvent evaporation, cooling crystallisation, slurry conversion, neat or liquid-assisted grinding, hot-melt extrusion and supercritical fluid methods. Co-crystals typically improve solubility, dissolution rate and sometimes hygroscopicity and stability while retaining crystallinity, which is their main advantage over amorphous systems. Marketed examples include the sacubitril-valsartan complex and escitalopram oxalate co-crystal products.</w:t>
      </w:r>
    </w:p>
    <w:p>
      <w:pPr>
        <w:keepNext/>
        <w:spacing w:before="160" w:after="40"/>
      </w:pPr>
      <w:r>
        <w:rPr>
          <w:rFonts w:ascii="Comic Sans MS" w:hAnsi="Comic Sans MS" w:cs="Comic Sans MS" w:eastAsia="Comic Sans MS"/>
          <w:b/>
          <w:i w:val="0"/>
          <w:color w:val="000000"/>
          <w:sz w:val="28"/>
        </w:rPr>
        <w:t>3.3.3 Solid Dispersions</w:t>
      </w:r>
    </w:p>
    <w:p>
      <w:pPr>
        <w:spacing w:after="160"/>
        <w:jc w:val="both"/>
      </w:pPr>
      <w:r>
        <w:rPr>
          <w:rFonts w:ascii="Comic Sans MS" w:hAnsi="Comic Sans MS" w:cs="Comic Sans MS" w:eastAsia="Comic Sans MS"/>
          <w:b w:val="0"/>
          <w:i w:val="0"/>
          <w:color w:val="000000"/>
          <w:sz w:val="28"/>
        </w:rPr>
        <w:t xml:space="preserve">A </w:t>
      </w:r>
      <w:r>
        <w:rPr>
          <w:rFonts w:ascii="Comic Sans MS" w:hAnsi="Comic Sans MS" w:cs="Comic Sans MS" w:eastAsia="Comic Sans MS"/>
          <w:b/>
          <w:i w:val="0"/>
          <w:color w:val="000000"/>
          <w:sz w:val="28"/>
        </w:rPr>
        <w:t>solid dispersion</w:t>
      </w:r>
      <w:r>
        <w:rPr>
          <w:rFonts w:ascii="Comic Sans MS" w:hAnsi="Comic Sans MS" w:cs="Comic Sans MS" w:eastAsia="Comic Sans MS"/>
          <w:b w:val="0"/>
          <w:i w:val="0"/>
          <w:color w:val="000000"/>
          <w:sz w:val="28"/>
        </w:rPr>
        <w:t xml:space="preserve"> is defined as the dispersion of one or more active ingredients in an inert carrier or matrix in the solid state, prepared by melting, by dissolution in a solvent, or by a combination of the two. Solid dispersions are the most important single class of solubility enhancement technology for Class II drugs.</w:t>
      </w:r>
    </w:p>
    <w:p>
      <w:pPr>
        <w:spacing w:after="160"/>
        <w:jc w:val="both"/>
      </w:pPr>
      <w:r>
        <w:rPr>
          <w:rFonts w:ascii="Comic Sans MS" w:hAnsi="Comic Sans MS" w:cs="Comic Sans MS" w:eastAsia="Comic Sans MS"/>
          <w:b/>
          <w:i w:val="0"/>
          <w:color w:val="000000"/>
          <w:sz w:val="28"/>
        </w:rPr>
        <w:t>Classification.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Simple eutectic mixtures.</w:t>
      </w:r>
      <w:r>
        <w:rPr>
          <w:rFonts w:ascii="Comic Sans MS" w:hAnsi="Comic Sans MS" w:cs="Comic Sans MS" w:eastAsia="Comic Sans MS"/>
          <w:b w:val="0"/>
          <w:i w:val="0"/>
          <w:color w:val="000000"/>
          <w:sz w:val="28"/>
        </w:rPr>
        <w:t xml:space="preserve"> The drug and carrier are crystalline and mutually almost insoluble in the solid state, crystallising simultaneously in very fine dispersion at the eutectic composition.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Solid solutions.</w:t>
      </w:r>
      <w:r>
        <w:rPr>
          <w:rFonts w:ascii="Comic Sans MS" w:hAnsi="Comic Sans MS" w:cs="Comic Sans MS" w:eastAsia="Comic Sans MS"/>
          <w:b w:val="0"/>
          <w:i w:val="0"/>
          <w:color w:val="000000"/>
          <w:sz w:val="28"/>
        </w:rPr>
        <w:t xml:space="preserve"> The drug is molecularly dispersed in a crystalline carrier. They are subdivided into continuous and discontinuous according to miscibility, and into substitutional and interstitial according to whether the drug molecule replaces or occupies the interstices between carrier molecules. Because the drug is present at the molecular level, dissolution is most rapid.</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Glass solutions and glass suspensions.</w:t>
      </w:r>
      <w:r>
        <w:rPr>
          <w:rFonts w:ascii="Comic Sans MS" w:hAnsi="Comic Sans MS" w:cs="Comic Sans MS" w:eastAsia="Comic Sans MS"/>
          <w:b w:val="0"/>
          <w:i w:val="0"/>
          <w:color w:val="000000"/>
          <w:sz w:val="28"/>
        </w:rPr>
        <w:t xml:space="preserve"> The carrier is amorphous, and the drug is either molecularly dissolved in the glassy matrix (glass solution) or dispersed as amorphous or crystalline particles within it (glass suspension). The </w:t>
      </w:r>
      <w:r>
        <w:rPr>
          <w:rFonts w:ascii="Comic Sans MS" w:hAnsi="Comic Sans MS" w:cs="Comic Sans MS" w:eastAsia="Comic Sans MS"/>
          <w:b/>
          <w:i w:val="0"/>
          <w:color w:val="000000"/>
          <w:sz w:val="28"/>
        </w:rPr>
        <w:t>amorphous solid dispersion</w:t>
      </w:r>
      <w:r>
        <w:rPr>
          <w:rFonts w:ascii="Comic Sans MS" w:hAnsi="Comic Sans MS" w:cs="Comic Sans MS" w:eastAsia="Comic Sans MS"/>
          <w:b w:val="0"/>
          <w:i w:val="0"/>
          <w:color w:val="000000"/>
          <w:sz w:val="28"/>
        </w:rPr>
        <w:t>, in which both drug and polymer are amorphous and form a single phase with a single glass transition temperature, is the form of principal commercial interest.</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Amorphous precipitation in a crystalline carrier.</w:t>
      </w:r>
    </w:p>
    <w:p>
      <w:pPr>
        <w:spacing w:after="160"/>
        <w:jc w:val="both"/>
      </w:pPr>
      <w:r>
        <w:rPr>
          <w:rFonts w:ascii="Comic Sans MS" w:hAnsi="Comic Sans MS" w:cs="Comic Sans MS" w:eastAsia="Comic Sans MS"/>
          <w:b/>
          <w:i w:val="0"/>
          <w:color w:val="000000"/>
          <w:sz w:val="28"/>
        </w:rPr>
        <w:t>Mechanisms of enhancement.</w:t>
      </w:r>
      <w:r>
        <w:rPr>
          <w:rFonts w:ascii="Comic Sans MS" w:hAnsi="Comic Sans MS" w:cs="Comic Sans MS" w:eastAsia="Comic Sans MS"/>
          <w:b w:val="0"/>
          <w:i w:val="0"/>
          <w:color w:val="000000"/>
          <w:sz w:val="28"/>
        </w:rPr>
        <w:t xml:space="preserve"> Reduction in particle size to the molecular level, elimination of crystal lattice energy, improved wettability due to the hydrophilic carrier, prevention of aggregation, generation of a supersaturated solution on dissolution, and maintenance of that supersaturation because the polymer inhibits nucleation and crystal growth.</w:t>
      </w:r>
    </w:p>
    <w:p>
      <w:pPr>
        <w:spacing w:after="160"/>
        <w:jc w:val="both"/>
      </w:pPr>
      <w:r>
        <w:rPr>
          <w:rFonts w:ascii="Comic Sans MS" w:hAnsi="Comic Sans MS" w:cs="Comic Sans MS" w:eastAsia="Comic Sans MS"/>
          <w:b/>
          <w:i w:val="0"/>
          <w:color w:val="000000"/>
          <w:sz w:val="28"/>
        </w:rPr>
        <w:t>Carriers.</w:t>
      </w:r>
      <w:r>
        <w:rPr>
          <w:rFonts w:ascii="Comic Sans MS" w:hAnsi="Comic Sans MS" w:cs="Comic Sans MS" w:eastAsia="Comic Sans MS"/>
          <w:b w:val="0"/>
          <w:i w:val="0"/>
          <w:color w:val="000000"/>
          <w:sz w:val="28"/>
        </w:rPr>
        <w:t xml:space="preserve"> Polyethylene glycols, povidone and copovidone, hypromellose, hypromellose acetate succinate, hypromellose phthalate, Eudragit polymers, Soluplus, poloxamers, urea, mannitol, sorbitol, citric acid, sugars and, for adsorption approaches, mesoporous silica and magnesium aluminometasilicate.</w:t>
      </w:r>
    </w:p>
    <w:p>
      <w:pPr>
        <w:spacing w:after="160"/>
        <w:jc w:val="both"/>
      </w:pPr>
      <w:r>
        <w:rPr>
          <w:rFonts w:ascii="Comic Sans MS" w:hAnsi="Comic Sans MS" w:cs="Comic Sans MS" w:eastAsia="Comic Sans MS"/>
          <w:b/>
          <w:i w:val="0"/>
          <w:color w:val="000000"/>
          <w:sz w:val="28"/>
        </w:rPr>
        <w:t>Methods of preparation.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Fusion or melting method.</w:t>
      </w:r>
      <w:r>
        <w:rPr>
          <w:rFonts w:ascii="Comic Sans MS" w:hAnsi="Comic Sans MS" w:cs="Comic Sans MS" w:eastAsia="Comic Sans MS"/>
          <w:b w:val="0"/>
          <w:i w:val="0"/>
          <w:color w:val="000000"/>
          <w:sz w:val="28"/>
        </w:rPr>
        <w:t xml:space="preserve"> The physical mixture is melted and cooled rapidly, then pulverised. Simple and solvent free, but restricted to thermostable drugs and low-melting carriers, and rapid cooling is needed to prevent phase separation.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Solvent evaporation method.</w:t>
      </w:r>
      <w:r>
        <w:rPr>
          <w:rFonts w:ascii="Comic Sans MS" w:hAnsi="Comic Sans MS" w:cs="Comic Sans MS" w:eastAsia="Comic Sans MS"/>
          <w:b w:val="0"/>
          <w:i w:val="0"/>
          <w:color w:val="000000"/>
          <w:sz w:val="28"/>
        </w:rPr>
        <w:t xml:space="preserve"> Both components are dissolved in a common volatile solvent, which is then removed by evaporation under vacuum, by rotary evaporation, or by spray drying. Suitable for thermolabile drugs, but requires a common solvent, leaves residual solvent to be controlled under ICH Q3C, and is costly on a large scale.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Melting-solvent (hybrid) method.</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Hot-melt extrusion.</w:t>
      </w:r>
      <w:r>
        <w:rPr>
          <w:rFonts w:ascii="Comic Sans MS" w:hAnsi="Comic Sans MS" w:cs="Comic Sans MS" w:eastAsia="Comic Sans MS"/>
          <w:b w:val="0"/>
          <w:i w:val="0"/>
          <w:color w:val="000000"/>
          <w:sz w:val="28"/>
        </w:rPr>
        <w:t xml:space="preserve"> The drug and polymer are conveyed, melted, mixed under high shear and extruded through a die in a continuous, solvent-free operation, then milled or shaped directly. It is the dominant commercial method, offering excellent mixing, continuous manufacture and process analytical control; its limitation is thermal stress and the need for a thermoplastic, thermostable polymer. Itraconazole, lopinavir-ritonavir and ivacaftor products are made in this way.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Spray drying.</w:t>
      </w:r>
      <w:r>
        <w:rPr>
          <w:rFonts w:ascii="Comic Sans MS" w:hAnsi="Comic Sans MS" w:cs="Comic Sans MS" w:eastAsia="Comic Sans MS"/>
          <w:b w:val="0"/>
          <w:i w:val="0"/>
          <w:color w:val="000000"/>
          <w:sz w:val="28"/>
        </w:rPr>
        <w:t xml:space="preserve"> A solution of drug and polymer is atomised into hot gas, giving very rapid solvent removal and a fully amorphous powder with good particle properties. It is the other major commercial route, used for example in the tacrolimus and vemurafenib solid dispersion products.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Freeze drying (lyophilisation), supercritical fluid processing, electrospinning, co-precipitation and KinetiSol dispersing</w:t>
      </w:r>
      <w:r>
        <w:rPr>
          <w:rFonts w:ascii="Comic Sans MS" w:hAnsi="Comic Sans MS" w:cs="Comic Sans MS" w:eastAsia="Comic Sans MS"/>
          <w:b w:val="0"/>
          <w:i w:val="0"/>
          <w:color w:val="000000"/>
          <w:sz w:val="28"/>
        </w:rPr>
        <w:t xml:space="preserve"> are further methods, the last using high shear without external heating to accommodate very high melting or heat-sensitive materials.</w:t>
      </w:r>
    </w:p>
    <w:p>
      <w:pPr>
        <w:spacing w:after="160"/>
        <w:jc w:val="both"/>
      </w:pPr>
      <w:r>
        <w:rPr>
          <w:rFonts w:ascii="Comic Sans MS" w:hAnsi="Comic Sans MS" w:cs="Comic Sans MS" w:eastAsia="Comic Sans MS"/>
          <w:b/>
          <w:i w:val="0"/>
          <w:color w:val="000000"/>
          <w:sz w:val="28"/>
        </w:rPr>
        <w:t>Problems and limitations.</w:t>
      </w:r>
      <w:r>
        <w:rPr>
          <w:rFonts w:ascii="Comic Sans MS" w:hAnsi="Comic Sans MS" w:cs="Comic Sans MS" w:eastAsia="Comic Sans MS"/>
          <w:b w:val="0"/>
          <w:i w:val="0"/>
          <w:color w:val="000000"/>
          <w:sz w:val="28"/>
        </w:rPr>
        <w:t xml:space="preserve"> Physical instability and recrystallisation on storage, especially at raised temperature or humidity, since moisture plasticises the polymer and lowers the glass transition temperature; tackiness and poor flow that complicate downstream processing; difficulty of scale-up and reproducibility; the need for high polymer loadings which limits the dose that can be accommodated; and the risk of precipitation of the drug in the gastrointestinal tract once supersaturation is lost. These are addressed by selecting high glass transition polymers, by keeping the drug loading below the miscibility limit, by protective packaging with desiccant, and by including precipitation inhibitors.</w:t>
      </w:r>
    </w:p>
    <w:p>
      <w:pPr>
        <w:keepNext/>
        <w:spacing w:before="160" w:after="40"/>
      </w:pPr>
      <w:r>
        <w:rPr>
          <w:rFonts w:ascii="Comic Sans MS" w:hAnsi="Comic Sans MS" w:cs="Comic Sans MS" w:eastAsia="Comic Sans MS"/>
          <w:b/>
          <w:i w:val="0"/>
          <w:color w:val="000000"/>
          <w:sz w:val="28"/>
        </w:rPr>
        <w:t>3.3.4 Inclusion Complexation with Cyclodextrins</w:t>
      </w:r>
    </w:p>
    <w:p>
      <w:pPr>
        <w:spacing w:after="160"/>
        <w:jc w:val="both"/>
      </w:pPr>
      <w:r>
        <w:rPr>
          <w:rFonts w:ascii="Comic Sans MS" w:hAnsi="Comic Sans MS" w:cs="Comic Sans MS" w:eastAsia="Comic Sans MS"/>
          <w:b w:val="0"/>
          <w:i w:val="0"/>
          <w:color w:val="000000"/>
          <w:sz w:val="28"/>
        </w:rPr>
        <w:t xml:space="preserve">Cyclodextrins are cyclic oligosaccharides of glucose units having a hydrophilic outer surface and a lipophilic central cavity, and they form inclusion complexes in which a poorly soluble guest is accommodated within the cavity. The natural cyclodextrins are </w:t>
      </w:r>
      <w:r>
        <w:rPr>
          <w:rFonts w:ascii="Comic Sans MS" w:hAnsi="Comic Sans MS" w:cs="Comic Sans MS" w:eastAsia="Comic Sans MS"/>
          <w:b/>
          <w:i w:val="0"/>
          <w:color w:val="000000"/>
          <w:sz w:val="28"/>
        </w:rPr>
        <w:t>alpha</w:t>
      </w:r>
      <w:r>
        <w:rPr>
          <w:rFonts w:ascii="Comic Sans MS" w:hAnsi="Comic Sans MS" w:cs="Comic Sans MS" w:eastAsia="Comic Sans MS"/>
          <w:b w:val="0"/>
          <w:i w:val="0"/>
          <w:color w:val="000000"/>
          <w:sz w:val="28"/>
        </w:rPr>
        <w:t xml:space="preserve"> (six glucose units, cavity about 0.47 to 0.53 nanometres), </w:t>
      </w:r>
      <w:r>
        <w:rPr>
          <w:rFonts w:ascii="Comic Sans MS" w:hAnsi="Comic Sans MS" w:cs="Comic Sans MS" w:eastAsia="Comic Sans MS"/>
          <w:b/>
          <w:i w:val="0"/>
          <w:color w:val="000000"/>
          <w:sz w:val="28"/>
        </w:rPr>
        <w:t>beta</w:t>
      </w:r>
      <w:r>
        <w:rPr>
          <w:rFonts w:ascii="Comic Sans MS" w:hAnsi="Comic Sans MS" w:cs="Comic Sans MS" w:eastAsia="Comic Sans MS"/>
          <w:b w:val="0"/>
          <w:i w:val="0"/>
          <w:color w:val="000000"/>
          <w:sz w:val="28"/>
        </w:rPr>
        <w:t xml:space="preserve"> (seven units, cavity about 0.60 to 0.65 nanometres) and </w:t>
      </w:r>
      <w:r>
        <w:rPr>
          <w:rFonts w:ascii="Comic Sans MS" w:hAnsi="Comic Sans MS" w:cs="Comic Sans MS" w:eastAsia="Comic Sans MS"/>
          <w:b/>
          <w:i w:val="0"/>
          <w:color w:val="000000"/>
          <w:sz w:val="28"/>
        </w:rPr>
        <w:t>gamma</w:t>
      </w:r>
      <w:r>
        <w:rPr>
          <w:rFonts w:ascii="Comic Sans MS" w:hAnsi="Comic Sans MS" w:cs="Comic Sans MS" w:eastAsia="Comic Sans MS"/>
          <w:b w:val="0"/>
          <w:i w:val="0"/>
          <w:color w:val="000000"/>
          <w:sz w:val="28"/>
        </w:rPr>
        <w:t xml:space="preserve"> (eight units, cavity about 0.75 to 0.83 nanometres). Beta-cyclodextrin is the most widely used because its cavity suits many drug molecules, but its own aqueous solubility is low, about 18.5 milligrams per millilitre, and it causes nephrotoxicity on parenteral administration.</w:t>
      </w:r>
    </w:p>
    <w:p>
      <w:pPr>
        <w:spacing w:after="160"/>
        <w:jc w:val="both"/>
      </w:pPr>
      <w:r>
        <w:rPr>
          <w:rFonts w:ascii="Comic Sans MS" w:hAnsi="Comic Sans MS" w:cs="Comic Sans MS" w:eastAsia="Comic Sans MS"/>
          <w:b w:val="0"/>
          <w:i w:val="0"/>
          <w:color w:val="000000"/>
          <w:sz w:val="28"/>
        </w:rPr>
        <w:t xml:space="preserve">Derivatives were therefore developed, of which the most important are </w:t>
      </w:r>
      <w:r>
        <w:rPr>
          <w:rFonts w:ascii="Comic Sans MS" w:hAnsi="Comic Sans MS" w:cs="Comic Sans MS" w:eastAsia="Comic Sans MS"/>
          <w:b/>
          <w:i w:val="0"/>
          <w:color w:val="000000"/>
          <w:sz w:val="28"/>
        </w:rPr>
        <w:t>hydroxypropyl-beta-cyclodextrin</w:t>
      </w:r>
      <w:r>
        <w:rPr>
          <w:rFonts w:ascii="Comic Sans MS" w:hAnsi="Comic Sans MS" w:cs="Comic Sans MS" w:eastAsia="Comic Sans MS"/>
          <w:b w:val="0"/>
          <w:i w:val="0"/>
          <w:color w:val="000000"/>
          <w:sz w:val="28"/>
        </w:rPr>
        <w:t xml:space="preserve">, </w:t>
      </w:r>
      <w:r>
        <w:rPr>
          <w:rFonts w:ascii="Comic Sans MS" w:hAnsi="Comic Sans MS" w:cs="Comic Sans MS" w:eastAsia="Comic Sans MS"/>
          <w:b/>
          <w:i w:val="0"/>
          <w:color w:val="000000"/>
          <w:sz w:val="28"/>
        </w:rPr>
        <w:t>sulphobutylether-beta-cyclodextrin</w:t>
      </w:r>
      <w:r>
        <w:rPr>
          <w:rFonts w:ascii="Comic Sans MS" w:hAnsi="Comic Sans MS" w:cs="Comic Sans MS" w:eastAsia="Comic Sans MS"/>
          <w:b w:val="0"/>
          <w:i w:val="0"/>
          <w:color w:val="000000"/>
          <w:sz w:val="28"/>
        </w:rPr>
        <w:t xml:space="preserve"> (Captisol), </w:t>
      </w:r>
      <w:r>
        <w:rPr>
          <w:rFonts w:ascii="Comic Sans MS" w:hAnsi="Comic Sans MS" w:cs="Comic Sans MS" w:eastAsia="Comic Sans MS"/>
          <w:b/>
          <w:i w:val="0"/>
          <w:color w:val="000000"/>
          <w:sz w:val="28"/>
        </w:rPr>
        <w:t>randomly methylated beta-cyclodextrin</w:t>
      </w:r>
      <w:r>
        <w:rPr>
          <w:rFonts w:ascii="Comic Sans MS" w:hAnsi="Comic Sans MS" w:cs="Comic Sans MS" w:eastAsia="Comic Sans MS"/>
          <w:b w:val="0"/>
          <w:i w:val="0"/>
          <w:color w:val="000000"/>
          <w:sz w:val="28"/>
        </w:rPr>
        <w:t xml:space="preserve"> and </w:t>
      </w:r>
      <w:r>
        <w:rPr>
          <w:rFonts w:ascii="Comic Sans MS" w:hAnsi="Comic Sans MS" w:cs="Comic Sans MS" w:eastAsia="Comic Sans MS"/>
          <w:b/>
          <w:i w:val="0"/>
          <w:color w:val="000000"/>
          <w:sz w:val="28"/>
        </w:rPr>
        <w:t>hydroxypropyl-gamma-cyclodextrin.</w:t>
      </w:r>
      <w:r>
        <w:rPr>
          <w:rFonts w:ascii="Comic Sans MS" w:hAnsi="Comic Sans MS" w:cs="Comic Sans MS" w:eastAsia="Comic Sans MS"/>
          <w:b w:val="0"/>
          <w:i w:val="0"/>
          <w:color w:val="000000"/>
          <w:sz w:val="28"/>
        </w:rPr>
        <w:t xml:space="preserve"> These have much greater aqueous solubility and a far better safety profile, and sulphobutylether-beta-cyclodextrin in particular is used in marketed parenteral products including voriconazole, ziprasidone, aripiprazole and the antiviral remdesivir.</w:t>
      </w:r>
    </w:p>
    <w:p>
      <w:pPr>
        <w:spacing w:after="160"/>
        <w:jc w:val="both"/>
      </w:pPr>
      <w:r>
        <w:rPr>
          <w:rFonts w:ascii="Comic Sans MS" w:hAnsi="Comic Sans MS" w:cs="Comic Sans MS" w:eastAsia="Comic Sans MS"/>
          <w:b/>
          <w:i w:val="0"/>
          <w:color w:val="000000"/>
          <w:sz w:val="28"/>
        </w:rPr>
        <w:t>Benefits.</w:t>
      </w:r>
      <w:r>
        <w:rPr>
          <w:rFonts w:ascii="Comic Sans MS" w:hAnsi="Comic Sans MS" w:cs="Comic Sans MS" w:eastAsia="Comic Sans MS"/>
          <w:b w:val="0"/>
          <w:i w:val="0"/>
          <w:color w:val="000000"/>
          <w:sz w:val="28"/>
        </w:rPr>
        <w:t xml:space="preserve"> Increased solubility and dissolution rate; improved chemical stability by shielding labile groups from hydrolysis, oxidation and light; masking of bitter taste and unpleasant odour; reduction of local irritation; conversion of liquids and volatile substances into stable powders; and reduced drug-drug and drug-excipient interaction.</w:t>
      </w:r>
    </w:p>
    <w:p>
      <w:pPr>
        <w:spacing w:after="160"/>
        <w:jc w:val="both"/>
      </w:pPr>
      <w:r>
        <w:rPr>
          <w:rFonts w:ascii="Comic Sans MS" w:hAnsi="Comic Sans MS" w:cs="Comic Sans MS" w:eastAsia="Comic Sans MS"/>
          <w:b/>
          <w:i w:val="0"/>
          <w:color w:val="000000"/>
          <w:sz w:val="28"/>
        </w:rPr>
        <w:t>Methods of preparation.</w:t>
      </w:r>
      <w:r>
        <w:rPr>
          <w:rFonts w:ascii="Comic Sans MS" w:hAnsi="Comic Sans MS" w:cs="Comic Sans MS" w:eastAsia="Comic Sans MS"/>
          <w:b w:val="0"/>
          <w:i w:val="0"/>
          <w:color w:val="000000"/>
          <w:sz w:val="28"/>
        </w:rPr>
        <w:t xml:space="preserve"> Physical mixing, kneading, co-precipitation, solvent evaporation, neutralisation, spray drying, freeze drying, and grinding or co-grinding. Complex formation is confirmed by phase solubility analysis, differential scanning calorimetry, X-ray powder diffraction, infrared and nuclear magnetic resonance spectroscopy, and scanning electron microscopy.</w:t>
      </w:r>
    </w:p>
    <w:p>
      <w:pPr>
        <w:spacing w:after="160"/>
        <w:jc w:val="both"/>
      </w:pPr>
      <w:r>
        <w:rPr>
          <w:rFonts w:ascii="Comic Sans MS" w:hAnsi="Comic Sans MS" w:cs="Comic Sans MS" w:eastAsia="Comic Sans MS"/>
          <w:b/>
          <w:i w:val="0"/>
          <w:color w:val="000000"/>
          <w:sz w:val="28"/>
        </w:rPr>
        <w:t>Limitations.</w:t>
      </w:r>
      <w:r>
        <w:rPr>
          <w:rFonts w:ascii="Comic Sans MS" w:hAnsi="Comic Sans MS" w:cs="Comic Sans MS" w:eastAsia="Comic Sans MS"/>
          <w:b w:val="0"/>
          <w:i w:val="0"/>
          <w:color w:val="000000"/>
          <w:sz w:val="28"/>
        </w:rPr>
        <w:t xml:space="preserve"> Complexation is limited by molecular size and geometry; the molar mass of the cyclodextrin is large, so the bulk of the dosage form increases substantially; the cost is significant; and competitive displacement by excipients or by endogenous lipids may release the drug prematurely.</w:t>
      </w:r>
    </w:p>
    <w:p>
      <w:pPr>
        <w:keepNext/>
        <w:spacing w:before="160" w:after="40"/>
      </w:pPr>
      <w:r>
        <w:rPr>
          <w:rFonts w:ascii="Comic Sans MS" w:hAnsi="Comic Sans MS" w:cs="Comic Sans MS" w:eastAsia="Comic Sans MS"/>
          <w:b/>
          <w:i w:val="0"/>
          <w:color w:val="000000"/>
          <w:sz w:val="28"/>
        </w:rPr>
        <w:t>3.3.5 Chemical Modification of the Drug</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Salt formation.</w:t>
      </w:r>
      <w:r>
        <w:rPr>
          <w:rFonts w:ascii="Comic Sans MS" w:hAnsi="Comic Sans MS" w:cs="Comic Sans MS" w:eastAsia="Comic Sans MS"/>
          <w:b w:val="0"/>
          <w:i w:val="0"/>
          <w:color w:val="000000"/>
          <w:sz w:val="28"/>
        </w:rPr>
        <w:t xml:space="preserve"> The simplest and most widely used approach for ionisable drugs, discussed in Unit I. It increases solubility and dissolution rate by orders of magnitude and simultaneously raises the pH of the diffusion layer around the dissolving particle, which is often as important as the change in equilibrium solubility. The limitations are disproportionation, the common ion effect and hygroscopicity.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pH adjustment of the formulation.</w:t>
      </w:r>
      <w:r>
        <w:rPr>
          <w:rFonts w:ascii="Comic Sans MS" w:hAnsi="Comic Sans MS" w:cs="Comic Sans MS" w:eastAsia="Comic Sans MS"/>
          <w:b w:val="0"/>
          <w:i w:val="0"/>
          <w:color w:val="000000"/>
          <w:sz w:val="28"/>
        </w:rPr>
        <w:t xml:space="preserve"> Buffers or alkalising and acidifying agents are included to hold the microenvironmental pH at the value of maximum solubility. Used in solutions, in parenterals and in solid dosage forms containing pH modifiers such as meglumine, sodium carbonate, fumaric acid or tartaric acid.</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Prodrugs.</w:t>
      </w:r>
      <w:r>
        <w:rPr>
          <w:rFonts w:ascii="Comic Sans MS" w:hAnsi="Comic Sans MS" w:cs="Comic Sans MS" w:eastAsia="Comic Sans MS"/>
          <w:b w:val="0"/>
          <w:i w:val="0"/>
          <w:color w:val="000000"/>
          <w:sz w:val="28"/>
        </w:rPr>
        <w:t xml:space="preserve"> A bioreversible derivative is synthesised whose solubility is deliberately higher; phosphate esters, hemisuccinates, amino acid esters and N-acyloxymethyl derivatives are common. Fosphenytoin, the phosphate ester prodrug of phenytoin, and the phosphate prodrugs of dexamethasone and prednisolone, are established examples. Prodrug formation requires full chemical and toxicological development of a new molecular entity and is therefore a major undertaking.</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Co-crystallisation and derivatisation,</w:t>
      </w:r>
      <w:r>
        <w:rPr>
          <w:rFonts w:ascii="Comic Sans MS" w:hAnsi="Comic Sans MS" w:cs="Comic Sans MS" w:eastAsia="Comic Sans MS"/>
          <w:b w:val="0"/>
          <w:i w:val="0"/>
          <w:color w:val="000000"/>
          <w:sz w:val="28"/>
        </w:rPr>
        <w:t xml:space="preserve"> as described above.</w:t>
      </w:r>
    </w:p>
    <w:p>
      <w:pPr>
        <w:keepNext/>
        <w:spacing w:before="160" w:after="40"/>
      </w:pPr>
      <w:r>
        <w:rPr>
          <w:rFonts w:ascii="Comic Sans MS" w:hAnsi="Comic Sans MS" w:cs="Comic Sans MS" w:eastAsia="Comic Sans MS"/>
          <w:b/>
          <w:i w:val="0"/>
          <w:color w:val="000000"/>
          <w:sz w:val="28"/>
        </w:rPr>
        <w:t>3.3.6 Lipid-Based and Self-Emulsifying Systems</w:t>
      </w:r>
    </w:p>
    <w:p>
      <w:pPr>
        <w:spacing w:after="160"/>
        <w:jc w:val="both"/>
      </w:pPr>
      <w:r>
        <w:rPr>
          <w:rFonts w:ascii="Comic Sans MS" w:hAnsi="Comic Sans MS" w:cs="Comic Sans MS" w:eastAsia="Comic Sans MS"/>
          <w:b w:val="0"/>
          <w:i w:val="0"/>
          <w:color w:val="000000"/>
          <w:sz w:val="28"/>
        </w:rPr>
        <w:t>For lipophilic, "grease-ball" drugs, presenting the drug already in solution in a lipid vehicle avoids the dissolution step altogether.</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Simple lipid solutions and suspensions</w:t>
      </w:r>
      <w:r>
        <w:rPr>
          <w:rFonts w:ascii="Comic Sans MS" w:hAnsi="Comic Sans MS" w:cs="Comic Sans MS" w:eastAsia="Comic Sans MS"/>
          <w:b w:val="0"/>
          <w:i w:val="0"/>
          <w:color w:val="000000"/>
          <w:sz w:val="28"/>
        </w:rPr>
        <w:t xml:space="preserve"> in triglyceride oils, filled into soft or hard capsules.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Self-emulsifying drug delivery systems (SEDDS)</w:t>
      </w:r>
      <w:r>
        <w:rPr>
          <w:rFonts w:ascii="Comic Sans MS" w:hAnsi="Comic Sans MS" w:cs="Comic Sans MS" w:eastAsia="Comic Sans MS"/>
          <w:b w:val="0"/>
          <w:i w:val="0"/>
          <w:color w:val="000000"/>
          <w:sz w:val="28"/>
        </w:rPr>
        <w:t xml:space="preserve"> are isotropic mixtures of oil, surfactant and cosurfactant which, on mild agitation in aqueous media, spontaneously form a fine oil-in-water emulsion. </w:t>
      </w:r>
      <w:r>
        <w:rPr>
          <w:rFonts w:ascii="Comic Sans MS" w:hAnsi="Comic Sans MS" w:cs="Comic Sans MS" w:eastAsia="Comic Sans MS"/>
          <w:b/>
          <w:i w:val="0"/>
          <w:color w:val="000000"/>
          <w:sz w:val="28"/>
        </w:rPr>
        <w:t>Self-microemulsifying (SMEDDS)</w:t>
      </w:r>
      <w:r>
        <w:rPr>
          <w:rFonts w:ascii="Comic Sans MS" w:hAnsi="Comic Sans MS" w:cs="Comic Sans MS" w:eastAsia="Comic Sans MS"/>
          <w:b w:val="0"/>
          <w:i w:val="0"/>
          <w:color w:val="000000"/>
          <w:sz w:val="28"/>
        </w:rPr>
        <w:t xml:space="preserve"> and </w:t>
      </w:r>
      <w:r>
        <w:rPr>
          <w:rFonts w:ascii="Comic Sans MS" w:hAnsi="Comic Sans MS" w:cs="Comic Sans MS" w:eastAsia="Comic Sans MS"/>
          <w:b/>
          <w:i w:val="0"/>
          <w:color w:val="000000"/>
          <w:sz w:val="28"/>
        </w:rPr>
        <w:t>self-nanoemulsifying (SNEDDS)</w:t>
      </w:r>
      <w:r>
        <w:rPr>
          <w:rFonts w:ascii="Comic Sans MS" w:hAnsi="Comic Sans MS" w:cs="Comic Sans MS" w:eastAsia="Comic Sans MS"/>
          <w:b w:val="0"/>
          <w:i w:val="0"/>
          <w:color w:val="000000"/>
          <w:sz w:val="28"/>
        </w:rPr>
        <w:t xml:space="preserve"> systems form droplets below about 250 and 100 nanometres respectively, are optically transparent and thermodynamically stable. The very large interfacial area generated, together with stimulation of bile and lymphatic transport, gives large and relatively reproducible increases in bioavailability. The classical commercial example is the cyclosporine microemulsion formulation, which largely eliminated the food and bile dependence of the earlier product; ritonavir and saquinavir products are also of this type.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Lipid formulation classification system.</w:t>
      </w:r>
      <w:r>
        <w:rPr>
          <w:rFonts w:ascii="Comic Sans MS" w:hAnsi="Comic Sans MS" w:cs="Comic Sans MS" w:eastAsia="Comic Sans MS"/>
          <w:b w:val="0"/>
          <w:i w:val="0"/>
          <w:color w:val="000000"/>
          <w:sz w:val="28"/>
        </w:rPr>
        <w:t xml:space="preserve"> Type I, oils alone; Type II, oils with water-insoluble surfactants; Type IIIA and IIIB, oils, surfactants and cosolvents with increasing hydrophilicity; Type IV, surfactant and cosolvent without oil. Increasing hydrophilicity improves dispersion but increases the risk of drug precipitation on dilution.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Solid self-emulsifying systems,</w:t>
      </w:r>
      <w:r>
        <w:rPr>
          <w:rFonts w:ascii="Comic Sans MS" w:hAnsi="Comic Sans MS" w:cs="Comic Sans MS" w:eastAsia="Comic Sans MS"/>
          <w:b w:val="0"/>
          <w:i w:val="0"/>
          <w:color w:val="000000"/>
          <w:sz w:val="28"/>
        </w:rPr>
        <w:t xml:space="preserve"> obtained by adsorbing the liquid onto a porous carrier, or by spray drying or melt granulation, combine the advantages of lipid systems with those of a solid dosage form.</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Solid lipid nanoparticles and nanostructured lipid carriers,</w:t>
      </w:r>
      <w:r>
        <w:rPr>
          <w:rFonts w:ascii="Comic Sans MS" w:hAnsi="Comic Sans MS" w:cs="Comic Sans MS" w:eastAsia="Comic Sans MS"/>
          <w:b w:val="0"/>
          <w:i w:val="0"/>
          <w:color w:val="000000"/>
          <w:sz w:val="28"/>
        </w:rPr>
        <w:t xml:space="preserve"> in which the drug is incorporated in a solid or partially crystalline lipid matrix.</w:t>
      </w:r>
    </w:p>
    <w:p>
      <w:pPr>
        <w:keepNext/>
        <w:spacing w:before="160" w:after="40"/>
      </w:pPr>
      <w:r>
        <w:rPr>
          <w:rFonts w:ascii="Comic Sans MS" w:hAnsi="Comic Sans MS" w:cs="Comic Sans MS" w:eastAsia="Comic Sans MS"/>
          <w:b/>
          <w:i w:val="0"/>
          <w:color w:val="000000"/>
          <w:sz w:val="28"/>
        </w:rPr>
        <w:t>3.3.7 Micellar, Vesicular and Nanocarrier Systems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Micellar solubilization</w:t>
      </w:r>
      <w:r>
        <w:rPr>
          <w:rFonts w:ascii="Comic Sans MS" w:hAnsi="Comic Sans MS" w:cs="Comic Sans MS" w:eastAsia="Comic Sans MS"/>
          <w:b w:val="0"/>
          <w:i w:val="0"/>
          <w:color w:val="000000"/>
          <w:sz w:val="28"/>
        </w:rPr>
        <w:t xml:space="preserve"> using polysorbates, poloxamers, Cremophor, Solutol, sodium lauryl sulphate, bile salts and vitamin E derivatives such as tocopheryl polyethylene glycol succinate. Polymeric micelles formed from amphiphilic block copolymers offer higher capacity, lower critical micelle concentration and greater stability on dilution.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Liposomes and niosomes,</w:t>
      </w:r>
      <w:r>
        <w:rPr>
          <w:rFonts w:ascii="Comic Sans MS" w:hAnsi="Comic Sans MS" w:cs="Comic Sans MS" w:eastAsia="Comic Sans MS"/>
          <w:b w:val="0"/>
          <w:i w:val="0"/>
          <w:color w:val="000000"/>
          <w:sz w:val="28"/>
        </w:rPr>
        <w:t xml:space="preserve"> vesicular systems of phospholipid or non-ionic surfactant bilayers that accommodate lipophilic drugs in the bilayer and hydrophilic drugs in the aqueous core. The liposomal amphotericin B products are the outstanding example, greatly reducing the nephrotoxicity of the parent drug.</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Microemulsions and mixed micelles.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Dendrimers,</w:t>
      </w:r>
      <w:r>
        <w:rPr>
          <w:rFonts w:ascii="Comic Sans MS" w:hAnsi="Comic Sans MS" w:cs="Comic Sans MS" w:eastAsia="Comic Sans MS"/>
          <w:b w:val="0"/>
          <w:i w:val="0"/>
          <w:color w:val="000000"/>
          <w:sz w:val="28"/>
        </w:rPr>
        <w:t xml:space="preserve"> highly branched polymers with internal cavities and a high density of surface functional groups.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Polymeric nanoparticles, nanogels and cyclodextrin-based nanosponges.</w:t>
      </w:r>
    </w:p>
    <w:p>
      <w:pPr>
        <w:keepNext/>
        <w:spacing w:before="160" w:after="40"/>
      </w:pPr>
      <w:r>
        <w:rPr>
          <w:rFonts w:ascii="Comic Sans MS" w:hAnsi="Comic Sans MS" w:cs="Comic Sans MS" w:eastAsia="Comic Sans MS"/>
          <w:b/>
          <w:i w:val="0"/>
          <w:color w:val="000000"/>
          <w:sz w:val="28"/>
        </w:rPr>
        <w:t>3.3.8 Adsorption onto Porous Carriers and Other Approaches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Mesoporous carriers.</w:t>
      </w:r>
      <w:r>
        <w:rPr>
          <w:rFonts w:ascii="Comic Sans MS" w:hAnsi="Comic Sans MS" w:cs="Comic Sans MS" w:eastAsia="Comic Sans MS"/>
          <w:b w:val="0"/>
          <w:i w:val="0"/>
          <w:color w:val="000000"/>
          <w:sz w:val="28"/>
        </w:rPr>
        <w:t xml:space="preserve"> Ordered mesoporous silica, magnesium aluminometasilicate (Neusilin) and porous calcium silicate accommodate the drug within pores of a few nanometres, where the confined space prevents crystallisation and holds the drug in a high-energy amorphous state, while the carrier also improves flow and compressibility.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Supersaturating and precipitation-inhibited systems,</w:t>
      </w:r>
      <w:r>
        <w:rPr>
          <w:rFonts w:ascii="Comic Sans MS" w:hAnsi="Comic Sans MS" w:cs="Comic Sans MS" w:eastAsia="Comic Sans MS"/>
          <w:b w:val="0"/>
          <w:i w:val="0"/>
          <w:color w:val="000000"/>
          <w:sz w:val="28"/>
        </w:rPr>
        <w:t xml:space="preserve"> in which a high-energy form generates supersaturation and a polymer such as hypromellose, hypromellose acetate succinate or povidone maintains it for long enough for absorption to occur. This "spring and parachute" concept underlies most modern amorphous formulations.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Co-amorphous systems,</w:t>
      </w:r>
      <w:r>
        <w:rPr>
          <w:rFonts w:ascii="Comic Sans MS" w:hAnsi="Comic Sans MS" w:cs="Comic Sans MS" w:eastAsia="Comic Sans MS"/>
          <w:b w:val="0"/>
          <w:i w:val="0"/>
          <w:color w:val="000000"/>
          <w:sz w:val="28"/>
        </w:rPr>
        <w:t xml:space="preserve"> in which two small molecules, often a drug and an amino acid or a second drug, form a single stable amorphous phase without any polymer.</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Use of ionic liquids and deep eutectic solvents</w:t>
      </w:r>
      <w:r>
        <w:rPr>
          <w:rFonts w:ascii="Comic Sans MS" w:hAnsi="Comic Sans MS" w:cs="Comic Sans MS" w:eastAsia="Comic Sans MS"/>
          <w:b w:val="0"/>
          <w:i w:val="0"/>
          <w:color w:val="000000"/>
          <w:sz w:val="28"/>
        </w:rPr>
        <w:t xml:space="preserve"> as novel solubilising vehicles.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Sonocrystallisation, spray freezing into liquid, supercritical antisolvent and rapid expansion of supercritical solutions,</w:t>
      </w:r>
      <w:r>
        <w:rPr>
          <w:rFonts w:ascii="Comic Sans MS" w:hAnsi="Comic Sans MS" w:cs="Comic Sans MS" w:eastAsia="Comic Sans MS"/>
          <w:b w:val="0"/>
          <w:i w:val="0"/>
          <w:color w:val="000000"/>
          <w:sz w:val="28"/>
        </w:rPr>
        <w:t xml:space="preserve"> which produce fine, often amorphous, particles under mild conditions with narrow size distribution and low residual solvent.</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Inclusion of superdisintegrants and effervescent couples,</w:t>
      </w:r>
      <w:r>
        <w:rPr>
          <w:rFonts w:ascii="Comic Sans MS" w:hAnsi="Comic Sans MS" w:cs="Comic Sans MS" w:eastAsia="Comic Sans MS"/>
          <w:b w:val="0"/>
          <w:i w:val="0"/>
          <w:color w:val="000000"/>
          <w:sz w:val="28"/>
        </w:rPr>
        <w:t xml:space="preserve"> which improve wetting and dispersion and thus the effective dissolution rate.</w:t>
      </w:r>
    </w:p>
    <w:p>
      <w:pPr>
        <w:keepNext/>
        <w:spacing w:before="160" w:after="40"/>
      </w:pPr>
      <w:r>
        <w:rPr>
          <w:rFonts w:ascii="Comic Sans MS" w:hAnsi="Comic Sans MS" w:cs="Comic Sans MS" w:eastAsia="Comic Sans MS"/>
          <w:b/>
          <w:i w:val="0"/>
          <w:color w:val="000000"/>
          <w:sz w:val="28"/>
        </w:rPr>
        <w:t>3.4 Application to the Development of Various Dosage Forms</w:t>
      </w:r>
    </w:p>
    <w:p>
      <w:pPr>
        <w:keepNext/>
        <w:spacing w:before="160" w:after="40"/>
      </w:pPr>
      <w:r>
        <w:rPr>
          <w:rFonts w:ascii="Comic Sans MS" w:hAnsi="Comic Sans MS" w:cs="Comic Sans MS" w:eastAsia="Comic Sans MS"/>
          <w:b/>
          <w:i w:val="0"/>
          <w:color w:val="000000"/>
          <w:sz w:val="28"/>
        </w:rPr>
        <w:t>3.4.1 Oral Solid Dosage Forms</w:t>
      </w:r>
    </w:p>
    <w:p>
      <w:pPr>
        <w:spacing w:after="160"/>
        <w:jc w:val="both"/>
      </w:pPr>
      <w:r>
        <w:rPr>
          <w:rFonts w:ascii="Comic Sans MS" w:hAnsi="Comic Sans MS" w:cs="Comic Sans MS" w:eastAsia="Comic Sans MS"/>
          <w:b w:val="0"/>
          <w:i w:val="0"/>
          <w:color w:val="000000"/>
          <w:sz w:val="28"/>
        </w:rPr>
        <w:t>Solid dispersions, co-crystals, nanocrystals, cyclodextrin complexes, solid self-emulsifying systems and mesoporous carriers are all directed principally at tablets and capsules. The formulator must remember that a solubility-enhanced intermediate is only the beginning: the downstream processing must preserve the enhancement. Compression can induce crystallisation of an amorphous dispersion; granulation introduces water that plasticises the polymer; and drying temperature may exceed the glass transition temperature. Consequently direct compression or dry granulation, low compaction forces, protective packaging with desiccant, and a dissolution method capable of detecting recrystallisation are all standard requirements.</w:t>
      </w:r>
    </w:p>
    <w:p>
      <w:pPr>
        <w:keepNext/>
        <w:spacing w:before="160" w:after="40"/>
      </w:pPr>
      <w:r>
        <w:rPr>
          <w:rFonts w:ascii="Comic Sans MS" w:hAnsi="Comic Sans MS" w:cs="Comic Sans MS" w:eastAsia="Comic Sans MS"/>
          <w:b/>
          <w:i w:val="0"/>
          <w:color w:val="000000"/>
          <w:sz w:val="28"/>
        </w:rPr>
        <w:t>3.4.2 Oral Liquid Dosage Forms</w:t>
      </w:r>
    </w:p>
    <w:p>
      <w:pPr>
        <w:spacing w:after="160"/>
        <w:jc w:val="both"/>
      </w:pPr>
      <w:r>
        <w:rPr>
          <w:rFonts w:ascii="Comic Sans MS" w:hAnsi="Comic Sans MS" w:cs="Comic Sans MS" w:eastAsia="Comic Sans MS"/>
          <w:b w:val="0"/>
          <w:i w:val="0"/>
          <w:color w:val="000000"/>
          <w:sz w:val="28"/>
        </w:rPr>
        <w:t>Cosolvents, surfactants, hydrotropes, cyclodextrins and pH adjustment are the principal tools for syrups, elixirs and drops, with the additional constraints of palatability, preservative compatibility, and the toxicological acceptability of cosolvents in paediatric patients, which specifically limits ethanol and propylene glycol. Where solubilization cannot be achieved, a suspension, with particle size controlled to give acceptable dissolution and physical stability, is the alternative.</w:t>
      </w:r>
    </w:p>
    <w:p>
      <w:pPr>
        <w:keepNext/>
        <w:spacing w:before="160" w:after="40"/>
      </w:pPr>
      <w:r>
        <w:rPr>
          <w:rFonts w:ascii="Comic Sans MS" w:hAnsi="Comic Sans MS" w:cs="Comic Sans MS" w:eastAsia="Comic Sans MS"/>
          <w:b/>
          <w:i w:val="0"/>
          <w:color w:val="000000"/>
          <w:sz w:val="28"/>
        </w:rPr>
        <w:t>3.4.3 Parenteral Dosage Forms</w:t>
      </w:r>
    </w:p>
    <w:p>
      <w:pPr>
        <w:spacing w:after="160"/>
        <w:jc w:val="both"/>
      </w:pPr>
      <w:r>
        <w:rPr>
          <w:rFonts w:ascii="Comic Sans MS" w:hAnsi="Comic Sans MS" w:cs="Comic Sans MS" w:eastAsia="Comic Sans MS"/>
          <w:b w:val="0"/>
          <w:i w:val="0"/>
          <w:color w:val="000000"/>
          <w:sz w:val="28"/>
        </w:rPr>
        <w:t xml:space="preserve">Parenteral products impose the most severe restrictions, since the excipient must be safe by injection, the solution must be sterile, and the tonicity and pH must be within physiologically tolerable limits. The available approaches are pH adjustment within the range of about 3 to 9, cosolvency using propylene glycol, ethanol and polyethylene glycol 300 or 400, complexation with sulphobutylether-beta-cyclodextrin or hydroxypropyl-beta-cyclodextrin, micellar solubilization with polysorbate 80 or Cremophor EL, emulsions and liposomes, and the use of a lyophilised powder for reconstitution where solution stability is inadequate. The dominant practical hazard is </w:t>
      </w:r>
      <w:r>
        <w:rPr>
          <w:rFonts w:ascii="Comic Sans MS" w:hAnsi="Comic Sans MS" w:cs="Comic Sans MS" w:eastAsia="Comic Sans MS"/>
          <w:b/>
          <w:i w:val="0"/>
          <w:color w:val="000000"/>
          <w:sz w:val="28"/>
        </w:rPr>
        <w:t>precipitation on dilution or on injection</w:t>
      </w:r>
      <w:r>
        <w:rPr>
          <w:rFonts w:ascii="Comic Sans MS" w:hAnsi="Comic Sans MS" w:cs="Comic Sans MS" w:eastAsia="Comic Sans MS"/>
          <w:b w:val="0"/>
          <w:i w:val="0"/>
          <w:color w:val="000000"/>
          <w:sz w:val="28"/>
        </w:rPr>
        <w:t>, when the solubilising cosolvent is diluted by blood; this is evaluated by dilution and dynamic precipitation testing, and by in vitro haemolysis studies. Cremophor EL in particular is associated with hypersensitivity reactions, which motivated the development of the albumin-bound paclitaxel nanoparticle formulation.</w:t>
      </w:r>
    </w:p>
    <w:p>
      <w:pPr>
        <w:keepNext/>
        <w:spacing w:before="160" w:after="40"/>
      </w:pPr>
      <w:r>
        <w:rPr>
          <w:rFonts w:ascii="Comic Sans MS" w:hAnsi="Comic Sans MS" w:cs="Comic Sans MS" w:eastAsia="Comic Sans MS"/>
          <w:b/>
          <w:i w:val="0"/>
          <w:color w:val="000000"/>
          <w:sz w:val="28"/>
        </w:rPr>
        <w:t>3.4.4 Ophthalmic, Topical and Other Routes</w:t>
      </w:r>
    </w:p>
    <w:p>
      <w:pPr>
        <w:spacing w:after="160"/>
        <w:jc w:val="both"/>
      </w:pPr>
      <w:r>
        <w:rPr>
          <w:rFonts w:ascii="Comic Sans MS" w:hAnsi="Comic Sans MS" w:cs="Comic Sans MS" w:eastAsia="Comic Sans MS"/>
          <w:b w:val="0"/>
          <w:i w:val="0"/>
          <w:color w:val="000000"/>
          <w:sz w:val="28"/>
        </w:rPr>
        <w:t>For ophthalmic products, solubilization must be achieved with a very restricted set of excipients, at near-neutral pH and physiological tonicity, and without causing irritation or blurring; cyclodextrins, low levels of non-ionic surfactants and in situ gelling systems are used. In topical and transdermal products the thermodynamic activity of the drug in the vehicle, rather than its absolute solubility, governs flux, so a saturated or supersaturated system is often the objective, and cosolvents and penetration enhancers are combined. For pulmonary and nasal delivery, particle engineering and the use of small volumes of tolerable cosolvents and cyclodextrins predominate.</w:t>
      </w:r>
    </w:p>
    <w:p>
      <w:pPr>
        <w:keepNext/>
        <w:spacing w:before="160" w:after="40"/>
      </w:pPr>
      <w:r>
        <w:rPr>
          <w:rFonts w:ascii="Comic Sans MS" w:hAnsi="Comic Sans MS" w:cs="Comic Sans MS" w:eastAsia="Comic Sans MS"/>
          <w:b/>
          <w:i w:val="0"/>
          <w:color w:val="000000"/>
          <w:sz w:val="28"/>
        </w:rPr>
        <w:t>3.5 Evaluation of Solubilized Systems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Equilibrium and kinetic solubility,</w:t>
      </w:r>
      <w:r>
        <w:rPr>
          <w:rFonts w:ascii="Comic Sans MS" w:hAnsi="Comic Sans MS" w:cs="Comic Sans MS" w:eastAsia="Comic Sans MS"/>
          <w:b w:val="0"/>
          <w:i w:val="0"/>
          <w:color w:val="000000"/>
          <w:sz w:val="28"/>
        </w:rPr>
        <w:t xml:space="preserve"> the latter measuring the concentration achieved and maintained from a supersaturating system, which is the more relevant measure for amorphous formulations.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Phase solubility analysis</w:t>
      </w:r>
      <w:r>
        <w:rPr>
          <w:rFonts w:ascii="Comic Sans MS" w:hAnsi="Comic Sans MS" w:cs="Comic Sans MS" w:eastAsia="Comic Sans MS"/>
          <w:b w:val="0"/>
          <w:i w:val="0"/>
          <w:color w:val="000000"/>
          <w:sz w:val="28"/>
        </w:rPr>
        <w:t xml:space="preserve"> for complexation systems, giving stoichiometry and stability constant.</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Dissolution testing,</w:t>
      </w:r>
      <w:r>
        <w:rPr>
          <w:rFonts w:ascii="Comic Sans MS" w:hAnsi="Comic Sans MS" w:cs="Comic Sans MS" w:eastAsia="Comic Sans MS"/>
          <w:b w:val="0"/>
          <w:i w:val="0"/>
          <w:color w:val="000000"/>
          <w:sz w:val="28"/>
        </w:rPr>
        <w:t xml:space="preserve"> including non-sink and biphasic methods and transfer models that simulate transit from stomach to intestine, in order to reveal precipitation.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Solid-state characterisation</w:t>
      </w:r>
      <w:r>
        <w:rPr>
          <w:rFonts w:ascii="Comic Sans MS" w:hAnsi="Comic Sans MS" w:cs="Comic Sans MS" w:eastAsia="Comic Sans MS"/>
          <w:b w:val="0"/>
          <w:i w:val="0"/>
          <w:color w:val="000000"/>
          <w:sz w:val="28"/>
        </w:rPr>
        <w:t xml:space="preserve"> by X-ray powder diffraction, differential scanning calorimetry, modulated differential scanning calorimetry and solid-state nuclear magnetic resonance, to confirm the amorphous state, the absence of residual crystallinity and the presence of a single glass transition indicating molecular miscibility.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Microscopy, particle size and zeta potential</w:t>
      </w:r>
      <w:r>
        <w:rPr>
          <w:rFonts w:ascii="Comic Sans MS" w:hAnsi="Comic Sans MS" w:cs="Comic Sans MS" w:eastAsia="Comic Sans MS"/>
          <w:b w:val="0"/>
          <w:i w:val="0"/>
          <w:color w:val="000000"/>
          <w:sz w:val="28"/>
        </w:rPr>
        <w:t xml:space="preserve"> for nanosuspensions, emulsions and vesicular systems, together with droplet size and polydispersity after dispersion for self-emulsifying systems.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Physical stability studies</w:t>
      </w:r>
      <w:r>
        <w:rPr>
          <w:rFonts w:ascii="Comic Sans MS" w:hAnsi="Comic Sans MS" w:cs="Comic Sans MS" w:eastAsia="Comic Sans MS"/>
          <w:b w:val="0"/>
          <w:i w:val="0"/>
          <w:color w:val="000000"/>
          <w:sz w:val="28"/>
        </w:rPr>
        <w:t xml:space="preserve"> under accelerated conditions, specifically monitoring recrystallisation, particle growth, phase separation and change in dissolution.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Residual solvent determination</w:t>
      </w:r>
      <w:r>
        <w:rPr>
          <w:rFonts w:ascii="Comic Sans MS" w:hAnsi="Comic Sans MS" w:cs="Comic Sans MS" w:eastAsia="Comic Sans MS"/>
          <w:b w:val="0"/>
          <w:i w:val="0"/>
          <w:color w:val="000000"/>
          <w:sz w:val="28"/>
        </w:rPr>
        <w:t xml:space="preserve"> where solvent-based processes are used.</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In vivo or biorelevant assessment,</w:t>
      </w:r>
      <w:r>
        <w:rPr>
          <w:rFonts w:ascii="Comic Sans MS" w:hAnsi="Comic Sans MS" w:cs="Comic Sans MS" w:eastAsia="Comic Sans MS"/>
          <w:b w:val="0"/>
          <w:i w:val="0"/>
          <w:color w:val="000000"/>
          <w:sz w:val="28"/>
        </w:rPr>
        <w:t xml:space="preserve"> by pharmacokinetic study in an appropriate animal model or by validated biopredictive dissolution, since an increase in in vitro solubility does not automatically translate into increased bioavailability.</w:t>
      </w:r>
    </w:p>
    <w:p>
      <w:pPr>
        <w:keepNext/>
        <w:spacing w:before="160" w:after="40"/>
      </w:pPr>
      <w:r>
        <w:rPr>
          <w:rFonts w:ascii="Comic Sans MS" w:hAnsi="Comic Sans MS" w:cs="Comic Sans MS" w:eastAsia="Comic Sans MS"/>
          <w:b/>
          <w:i w:val="0"/>
          <w:color w:val="000000"/>
          <w:sz w:val="28"/>
        </w:rPr>
        <w:t>3.6 Summary of Unit III</w:t>
      </w:r>
    </w:p>
    <w:p>
      <w:pPr>
        <w:spacing w:after="160"/>
        <w:jc w:val="both"/>
      </w:pPr>
      <w:r>
        <w:rPr>
          <w:rFonts w:ascii="Comic Sans MS" w:hAnsi="Comic Sans MS" w:cs="Comic Sans MS" w:eastAsia="Comic Sans MS"/>
          <w:b w:val="0"/>
          <w:i w:val="0"/>
          <w:color w:val="000000"/>
          <w:sz w:val="28"/>
        </w:rPr>
        <w:t>Solubility is governed by the balance between the energy required to break the crystal lattice and to create a cavity in the solvent, and the energy released on solvation, and it can be predicted from melting point and lipophilicity through the General Solubility Equation. That equation also divides poorly soluble drugs into lattice-limited and lipophilicity-limited types, which respond to different strategies. The theoretical framework of micellar solubilization, cosolvency, hydrotropy and complexation, together with phase solubility analysis, provides the quantitative basis for formulation. In practice, dissolution rate is improved by particle size reduction and nanosizing; apparent solubility is raised by salt and co-crystal formation, by amorphous solid dispersions prepared by hot-melt extrusion or spray drying, by cyclodextrin complexation, by cosolvency and micellar solubilization, and by lipid-based self-emulsifying systems; and in every case the enhancement must be preserved through downstream processing and shelf life, and must be shown to translate into improved in vivo performance.</w:t>
      </w:r>
    </w:p>
    <w:p>
      <w:r>
        <w:br w:type="page"/>
      </w:r>
    </w:p>
    <w:p>
      <w:pPr>
        <w:keepNext/>
        <w:spacing w:before="200" w:after="120" w:line="540" w:lineRule="exact"/>
        <w:jc w:val="both"/>
      </w:pPr>
      <w:r>
        <w:rPr>
          <w:rFonts w:ascii="Comic Sans MS" w:hAnsi="Comic Sans MS" w:cs="Comic Sans MS" w:eastAsia="Comic Sans MS"/>
          <w:b/>
          <w:i w:val="0"/>
          <w:color w:val="FF0000"/>
          <w:sz w:val="36"/>
        </w:rPr>
        <w:t>Unit IV - Stability Study</w:t>
      </w:r>
    </w:p>
    <w:p>
      <w:pPr>
        <w:keepNext/>
        <w:spacing w:before="160" w:after="40"/>
      </w:pPr>
      <w:r>
        <w:rPr>
          <w:rFonts w:ascii="Comic Sans MS" w:hAnsi="Comic Sans MS" w:cs="Comic Sans MS" w:eastAsia="Comic Sans MS"/>
          <w:b/>
          <w:i w:val="0"/>
          <w:color w:val="000000"/>
          <w:sz w:val="28"/>
        </w:rPr>
        <w:t>4.1 Basic Concepts and Definitions</w:t>
      </w:r>
    </w:p>
    <w:p>
      <w:pPr>
        <w:spacing w:after="160"/>
        <w:jc w:val="both"/>
      </w:pPr>
      <w:r>
        <w:rPr>
          <w:rFonts w:ascii="Comic Sans MS" w:hAnsi="Comic Sans MS" w:cs="Comic Sans MS" w:eastAsia="Comic Sans MS"/>
          <w:b/>
          <w:i w:val="0"/>
          <w:color w:val="000000"/>
          <w:sz w:val="28"/>
        </w:rPr>
        <w:t>Stability</w:t>
      </w:r>
      <w:r>
        <w:rPr>
          <w:rFonts w:ascii="Comic Sans MS" w:hAnsi="Comic Sans MS" w:cs="Comic Sans MS" w:eastAsia="Comic Sans MS"/>
          <w:b w:val="0"/>
          <w:i w:val="0"/>
          <w:color w:val="000000"/>
          <w:sz w:val="28"/>
        </w:rPr>
        <w:t xml:space="preserve"> is defined as the capacity of a drug substance or drug product to remain within established specifications for identity, strength, quality and purity throughout its retest or shelf-life period, when stored under the conditions stated on the label.</w:t>
      </w:r>
    </w:p>
    <w:p>
      <w:pPr>
        <w:spacing w:after="160"/>
        <w:jc w:val="both"/>
      </w:pPr>
      <w:r>
        <w:rPr>
          <w:rFonts w:ascii="Comic Sans MS" w:hAnsi="Comic Sans MS" w:cs="Comic Sans MS" w:eastAsia="Comic Sans MS"/>
          <w:b/>
          <w:i w:val="0"/>
          <w:color w:val="000000"/>
          <w:sz w:val="28"/>
        </w:rPr>
        <w:t>Stability testing</w:t>
      </w:r>
      <w:r>
        <w:rPr>
          <w:rFonts w:ascii="Comic Sans MS" w:hAnsi="Comic Sans MS" w:cs="Comic Sans MS" w:eastAsia="Comic Sans MS"/>
          <w:b w:val="0"/>
          <w:i w:val="0"/>
          <w:color w:val="000000"/>
          <w:sz w:val="28"/>
        </w:rPr>
        <w:t xml:space="preserve"> is the set of procedures by which information is generated on how the quality of a drug substance or product varies with time under the influence of environmental factors such as temperature, humidity and light, and by which a retest period, a shelf life and recommended storage conditions are established.</w:t>
      </w:r>
    </w:p>
    <w:p>
      <w:pPr>
        <w:spacing w:after="160"/>
        <w:jc w:val="both"/>
      </w:pPr>
      <w:r>
        <w:rPr>
          <w:rFonts w:ascii="Comic Sans MS" w:hAnsi="Comic Sans MS" w:cs="Comic Sans MS" w:eastAsia="Comic Sans MS"/>
          <w:b w:val="0"/>
          <w:i w:val="0"/>
          <w:color w:val="000000"/>
          <w:sz w:val="28"/>
        </w:rPr>
        <w:t>The related regulatory terms must be distinguished carefully: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Shelf life (expiration dating period).</w:t>
      </w:r>
      <w:r>
        <w:rPr>
          <w:rFonts w:ascii="Comic Sans MS" w:hAnsi="Comic Sans MS" w:cs="Comic Sans MS" w:eastAsia="Comic Sans MS"/>
          <w:b w:val="0"/>
          <w:i w:val="0"/>
          <w:color w:val="000000"/>
          <w:sz w:val="28"/>
        </w:rPr>
        <w:t xml:space="preserve"> The time period during which a drug product is expected to remain within the approved shelf-life specification, provided it is stored under the conditions defined on the label.</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Retest period.</w:t>
      </w:r>
      <w:r>
        <w:rPr>
          <w:rFonts w:ascii="Comic Sans MS" w:hAnsi="Comic Sans MS" w:cs="Comic Sans MS" w:eastAsia="Comic Sans MS"/>
          <w:b w:val="0"/>
          <w:i w:val="0"/>
          <w:color w:val="000000"/>
          <w:sz w:val="28"/>
        </w:rPr>
        <w:t xml:space="preserve"> The period during which a drug substance is expected to remain within its specification and therefore may be used in manufacture, provided it has been stored under the defined conditions. After this period the batch must be retested for compliance and used immediately. The concept applies to drug substances, not to drug products.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Expiry date.</w:t>
      </w:r>
      <w:r>
        <w:rPr>
          <w:rFonts w:ascii="Comic Sans MS" w:hAnsi="Comic Sans MS" w:cs="Comic Sans MS" w:eastAsia="Comic Sans MS"/>
          <w:b w:val="0"/>
          <w:i w:val="0"/>
          <w:color w:val="000000"/>
          <w:sz w:val="28"/>
        </w:rPr>
        <w:t xml:space="preserve"> The date placed on the container label beyond which the product should not be used.</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Primary batches.</w:t>
      </w:r>
      <w:r>
        <w:rPr>
          <w:rFonts w:ascii="Comic Sans MS" w:hAnsi="Comic Sans MS" w:cs="Comic Sans MS" w:eastAsia="Comic Sans MS"/>
          <w:b w:val="0"/>
          <w:i w:val="0"/>
          <w:color w:val="000000"/>
          <w:sz w:val="28"/>
        </w:rPr>
        <w:t xml:space="preserve"> Batches of drug substance or product used in a formal stability study, from which the retest period or shelf life is derived. For a drug product, two of the three batches must be at least pilot scale and the third may be smaller.</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Commitment batches.</w:t>
      </w:r>
      <w:r>
        <w:rPr>
          <w:rFonts w:ascii="Comic Sans MS" w:hAnsi="Comic Sans MS" w:cs="Comic Sans MS" w:eastAsia="Comic Sans MS"/>
          <w:b w:val="0"/>
          <w:i w:val="0"/>
          <w:color w:val="000000"/>
          <w:sz w:val="28"/>
        </w:rPr>
        <w:t xml:space="preserve"> Production batches for which stability studies are begun or completed after approval, in accordance with a commitment given in the application.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Long term, intermediate and accelerated testing.</w:t>
      </w:r>
      <w:r>
        <w:rPr>
          <w:rFonts w:ascii="Comic Sans MS" w:hAnsi="Comic Sans MS" w:cs="Comic Sans MS" w:eastAsia="Comic Sans MS"/>
          <w:b w:val="0"/>
          <w:i w:val="0"/>
          <w:color w:val="000000"/>
          <w:sz w:val="28"/>
        </w:rPr>
        <w:t xml:space="preserve"> Studies under the labelled storage conditions, under conditions designed to moderately increase the rate of degradation, and under conditions designed to increase it substantially, respectively.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Stress testing (forced degradation).</w:t>
      </w:r>
      <w:r>
        <w:rPr>
          <w:rFonts w:ascii="Comic Sans MS" w:hAnsi="Comic Sans MS" w:cs="Comic Sans MS" w:eastAsia="Comic Sans MS"/>
          <w:b w:val="0"/>
          <w:i w:val="0"/>
          <w:color w:val="000000"/>
          <w:sz w:val="28"/>
        </w:rPr>
        <w:t xml:space="preserve"> Studies carried out under conditions more severe than accelerated, undertaken to elucidate the intrinsic stability of the molecule, to identify degradation pathways and products, and to demonstrate that the analytical procedure is stability indicating.</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Supporting data.</w:t>
      </w:r>
      <w:r>
        <w:rPr>
          <w:rFonts w:ascii="Comic Sans MS" w:hAnsi="Comic Sans MS" w:cs="Comic Sans MS" w:eastAsia="Comic Sans MS"/>
          <w:b w:val="0"/>
          <w:i w:val="0"/>
          <w:color w:val="000000"/>
          <w:sz w:val="28"/>
        </w:rPr>
        <w:t xml:space="preserve"> Data other than those from formal stability studies, for example from small-scale batches, investigational formulations or related products, which support the analytical procedures, the proposed shelf life or the storage statement.</w:t>
      </w:r>
    </w:p>
    <w:p>
      <w:pPr>
        <w:keepNext/>
        <w:spacing w:before="160" w:after="40"/>
      </w:pPr>
      <w:r>
        <w:rPr>
          <w:rFonts w:ascii="Comic Sans MS" w:hAnsi="Comic Sans MS" w:cs="Comic Sans MS" w:eastAsia="Comic Sans MS"/>
          <w:b/>
          <w:i w:val="0"/>
          <w:color w:val="000000"/>
          <w:sz w:val="28"/>
        </w:rPr>
        <w:t>4.1.1 Types of Stability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Chemical stability.</w:t>
      </w:r>
      <w:r>
        <w:rPr>
          <w:rFonts w:ascii="Comic Sans MS" w:hAnsi="Comic Sans MS" w:cs="Comic Sans MS" w:eastAsia="Comic Sans MS"/>
          <w:b w:val="0"/>
          <w:i w:val="0"/>
          <w:color w:val="000000"/>
          <w:sz w:val="28"/>
        </w:rPr>
        <w:t xml:space="preserve"> Each active ingredient retains its chemical integrity and labelled potency within the specified limits. Loss arises from hydrolysis, oxidation, photolysis, isomerisation, decarboxylation and polymerisation.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Physical stability.</w:t>
      </w:r>
      <w:r>
        <w:rPr>
          <w:rFonts w:ascii="Comic Sans MS" w:hAnsi="Comic Sans MS" w:cs="Comic Sans MS" w:eastAsia="Comic Sans MS"/>
          <w:b w:val="0"/>
          <w:i w:val="0"/>
          <w:color w:val="000000"/>
          <w:sz w:val="28"/>
        </w:rPr>
        <w:t xml:space="preserve"> The original physical properties, including appearance, palatability, uniformity, dissolution, hardness, friability, particle size, crystal form and suspendability, are retained. Examples of failure include caking of suspensions, cracking of emulsions, polymorphic conversion, crystal growth, moisture uptake, and slowing of dissolution in aged tablets.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Microbiological stability.</w:t>
      </w:r>
      <w:r>
        <w:rPr>
          <w:rFonts w:ascii="Comic Sans MS" w:hAnsi="Comic Sans MS" w:cs="Comic Sans MS" w:eastAsia="Comic Sans MS"/>
          <w:b w:val="0"/>
          <w:i w:val="0"/>
          <w:color w:val="000000"/>
          <w:sz w:val="28"/>
        </w:rPr>
        <w:t xml:space="preserve"> Sterility or resistance to microbial growth is retained according to the specified requirements, and any antimicrobial preservative remains effective.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Therapeutic stability.</w:t>
      </w:r>
      <w:r>
        <w:rPr>
          <w:rFonts w:ascii="Comic Sans MS" w:hAnsi="Comic Sans MS" w:cs="Comic Sans MS" w:eastAsia="Comic Sans MS"/>
          <w:b w:val="0"/>
          <w:i w:val="0"/>
          <w:color w:val="000000"/>
          <w:sz w:val="28"/>
        </w:rPr>
        <w:t xml:space="preserve"> The therapeutic effect remains unchanged.</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Toxicological stability.</w:t>
      </w:r>
      <w:r>
        <w:rPr>
          <w:rFonts w:ascii="Comic Sans MS" w:hAnsi="Comic Sans MS" w:cs="Comic Sans MS" w:eastAsia="Comic Sans MS"/>
          <w:b w:val="0"/>
          <w:i w:val="0"/>
          <w:color w:val="000000"/>
          <w:sz w:val="28"/>
        </w:rPr>
        <w:t xml:space="preserve"> No significant increase in toxicity occurs, in particular no accumulation of toxic degradation products. This is the reason that a degradation product limit may be far tighter than the assay limit.</w:t>
      </w:r>
    </w:p>
    <w:p>
      <w:pPr>
        <w:keepNext/>
        <w:spacing w:before="160" w:after="40"/>
      </w:pPr>
      <w:r>
        <w:rPr>
          <w:rFonts w:ascii="Comic Sans MS" w:hAnsi="Comic Sans MS" w:cs="Comic Sans MS" w:eastAsia="Comic Sans MS"/>
          <w:b/>
          <w:i w:val="0"/>
          <w:color w:val="000000"/>
          <w:sz w:val="28"/>
        </w:rPr>
        <w:t>4.1.2 Objectives of Stability Studies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To determine the intrinsic stability of the drug molecule and the pathways by which it degrades.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To establish the degradation products and to ensure that they are identified, qualified and controlled within safe limits.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To determine the shelf life of the product and the retest period of the drug substance.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To establish the recommended storage conditions and the corresponding label statement.</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To select the container closure system and packaging that will protect the product adequately.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To demonstrate that the analytical methods used are stability indicating.</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To provide the data required by regulatory authorities for registration, and to fulfil the legal requirement that a product complies with its specification throughout its shelf life.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To support changes in formulation, process, site, scale or packaging after approval.</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To establish in-use stability for multidose products, reconstituted powders and diluted infusions.</w:t>
      </w:r>
    </w:p>
    <w:p>
      <w:pPr>
        <w:keepNext/>
        <w:spacing w:before="160" w:after="40"/>
      </w:pPr>
      <w:r>
        <w:rPr>
          <w:rFonts w:ascii="Comic Sans MS" w:hAnsi="Comic Sans MS" w:cs="Comic Sans MS" w:eastAsia="Comic Sans MS"/>
          <w:b/>
          <w:i w:val="0"/>
          <w:color w:val="000000"/>
          <w:sz w:val="28"/>
        </w:rPr>
        <w:t>4.2 Reaction Kinetics and the Prediction of Shelf Life</w:t>
      </w:r>
    </w:p>
    <w:p>
      <w:pPr>
        <w:spacing w:after="160"/>
        <w:jc w:val="both"/>
      </w:pPr>
      <w:r>
        <w:rPr>
          <w:rFonts w:ascii="Comic Sans MS" w:hAnsi="Comic Sans MS" w:cs="Comic Sans MS" w:eastAsia="Comic Sans MS"/>
          <w:b w:val="0"/>
          <w:i w:val="0"/>
          <w:color w:val="000000"/>
          <w:sz w:val="28"/>
        </w:rPr>
        <w:t xml:space="preserve">The rate at which a drug degrades is described by chemical kinetics, and the </w:t>
      </w:r>
      <w:r>
        <w:rPr>
          <w:rFonts w:ascii="Comic Sans MS" w:hAnsi="Comic Sans MS" w:cs="Comic Sans MS" w:eastAsia="Comic Sans MS"/>
          <w:b/>
          <w:i w:val="0"/>
          <w:color w:val="000000"/>
          <w:sz w:val="28"/>
        </w:rPr>
        <w:t>order of reaction</w:t>
      </w:r>
      <w:r>
        <w:rPr>
          <w:rFonts w:ascii="Comic Sans MS" w:hAnsi="Comic Sans MS" w:cs="Comic Sans MS" w:eastAsia="Comic Sans MS"/>
          <w:b w:val="0"/>
          <w:i w:val="0"/>
          <w:color w:val="000000"/>
          <w:sz w:val="28"/>
        </w:rPr>
        <w:t xml:space="preserve"> is the power to which the concentration term is raised in the experimentally determined rate equation. It is an empirical quantity determined from experiment, and it must be distinguished from molecularity, which is the number of molecules taking part in the rate-determining step.</w:t>
      </w:r>
    </w:p>
    <w:p>
      <w:pPr>
        <w:keepNext/>
        <w:spacing w:before="160" w:after="40"/>
      </w:pPr>
      <w:r>
        <w:rPr>
          <w:rFonts w:ascii="Comic Sans MS" w:hAnsi="Comic Sans MS" w:cs="Comic Sans MS" w:eastAsia="Comic Sans MS"/>
          <w:b/>
          <w:i w:val="0"/>
          <w:color w:val="000000"/>
          <w:sz w:val="28"/>
        </w:rPr>
        <w:t>4.2.1 Zero-Order Reactions</w:t>
      </w:r>
    </w:p>
    <w:p>
      <w:pPr>
        <w:spacing w:after="160"/>
        <w:jc w:val="both"/>
      </w:pPr>
      <w:r>
        <w:rPr>
          <w:rFonts w:ascii="Comic Sans MS" w:hAnsi="Comic Sans MS" w:cs="Comic Sans MS" w:eastAsia="Comic Sans MS"/>
          <w:b w:val="0"/>
          <w:i w:val="0"/>
          <w:color w:val="000000"/>
          <w:sz w:val="28"/>
        </w:rPr>
        <w:t>In a zero-order reaction the rate is independent of the concentration of the reactant:</w:t>
      </w:r>
    </w:p>
    <w:p>
      <w:pPr>
        <w:spacing w:after="160"/>
        <w:jc w:val="both"/>
      </w:pPr>
      <w:r>
        <w:rPr>
          <w:rFonts w:ascii="Comic Sans MS" w:hAnsi="Comic Sans MS" w:cs="Comic Sans MS" w:eastAsia="Comic Sans MS"/>
          <w:b/>
          <w:i w:val="0"/>
          <w:color w:val="000000"/>
          <w:sz w:val="28"/>
        </w:rPr>
        <w:t>- dC/dt = k0</w:t>
      </w:r>
    </w:p>
    <w:p>
      <w:pPr>
        <w:spacing w:after="160"/>
        <w:jc w:val="both"/>
      </w:pPr>
      <w:r>
        <w:rPr>
          <w:rFonts w:ascii="Comic Sans MS" w:hAnsi="Comic Sans MS" w:cs="Comic Sans MS" w:eastAsia="Comic Sans MS"/>
          <w:b w:val="0"/>
          <w:i w:val="0"/>
          <w:color w:val="000000"/>
          <w:sz w:val="28"/>
        </w:rPr>
        <w:t>which on integration gives</w:t>
      </w:r>
    </w:p>
    <w:p>
      <w:pPr>
        <w:spacing w:after="160"/>
        <w:jc w:val="both"/>
      </w:pPr>
      <w:r>
        <w:rPr>
          <w:rFonts w:ascii="Comic Sans MS" w:hAnsi="Comic Sans MS" w:cs="Comic Sans MS" w:eastAsia="Comic Sans MS"/>
          <w:b/>
          <w:i w:val="0"/>
          <w:color w:val="000000"/>
          <w:sz w:val="28"/>
        </w:rPr>
        <w:t>C = C0 - k0 t</w:t>
      </w:r>
    </w:p>
    <w:p>
      <w:pPr>
        <w:spacing w:after="160"/>
        <w:jc w:val="both"/>
      </w:pPr>
      <w:r>
        <w:rPr>
          <w:rFonts w:ascii="Comic Sans MS" w:hAnsi="Comic Sans MS" w:cs="Comic Sans MS" w:eastAsia="Comic Sans MS"/>
          <w:b w:val="0"/>
          <w:i w:val="0"/>
          <w:color w:val="000000"/>
          <w:sz w:val="28"/>
        </w:rPr>
        <w:t>A plot of concentration against time is therefore linear with slope minus k0, and the units of k0 are concentration per unit time, for example milligrams per millilitre per hour.</w:t>
      </w:r>
    </w:p>
    <w:p>
      <w:pPr>
        <w:spacing w:after="160"/>
        <w:jc w:val="both"/>
      </w:pPr>
      <w:r>
        <w:rPr>
          <w:rFonts w:ascii="Comic Sans MS" w:hAnsi="Comic Sans MS" w:cs="Comic Sans MS" w:eastAsia="Comic Sans MS"/>
          <w:b/>
          <w:i w:val="0"/>
          <w:color w:val="000000"/>
          <w:sz w:val="28"/>
        </w:rPr>
        <w:t>Half-life</w:t>
      </w:r>
      <w:r>
        <w:rPr>
          <w:rFonts w:ascii="Comic Sans MS" w:hAnsi="Comic Sans MS" w:cs="Comic Sans MS" w:eastAsia="Comic Sans MS"/>
          <w:b w:val="0"/>
          <w:i w:val="0"/>
          <w:color w:val="000000"/>
          <w:sz w:val="28"/>
        </w:rPr>
        <w:t xml:space="preserve"> is the time for the concentration to fall to one half of its initial value:</w:t>
      </w:r>
    </w:p>
    <w:p>
      <w:pPr>
        <w:spacing w:after="160"/>
        <w:jc w:val="both"/>
      </w:pPr>
      <w:r>
        <w:rPr>
          <w:rFonts w:ascii="Comic Sans MS" w:hAnsi="Comic Sans MS" w:cs="Comic Sans MS" w:eastAsia="Comic Sans MS"/>
          <w:b/>
          <w:i w:val="0"/>
          <w:color w:val="000000"/>
          <w:sz w:val="28"/>
        </w:rPr>
        <w:t>t(1/2) = 0.5 C0 / k0</w:t>
      </w:r>
    </w:p>
    <w:p>
      <w:pPr>
        <w:spacing w:after="160"/>
        <w:jc w:val="both"/>
      </w:pPr>
      <w:r>
        <w:rPr>
          <w:rFonts w:ascii="Comic Sans MS" w:hAnsi="Comic Sans MS" w:cs="Comic Sans MS" w:eastAsia="Comic Sans MS"/>
          <w:b/>
          <w:i w:val="0"/>
          <w:color w:val="000000"/>
          <w:sz w:val="28"/>
        </w:rPr>
        <w:t>Shelf life,</w:t>
      </w:r>
      <w:r>
        <w:rPr>
          <w:rFonts w:ascii="Comic Sans MS" w:hAnsi="Comic Sans MS" w:cs="Comic Sans MS" w:eastAsia="Comic Sans MS"/>
          <w:b w:val="0"/>
          <w:i w:val="0"/>
          <w:color w:val="000000"/>
          <w:sz w:val="28"/>
        </w:rPr>
        <w:t xml:space="preserve"> conventionally the time for the concentration to fall to 90 per cent of the initial value, that is a 10 per cent loss:</w:t>
      </w:r>
    </w:p>
    <w:p>
      <w:pPr>
        <w:spacing w:after="160"/>
        <w:jc w:val="both"/>
      </w:pPr>
      <w:r>
        <w:rPr>
          <w:rFonts w:ascii="Comic Sans MS" w:hAnsi="Comic Sans MS" w:cs="Comic Sans MS" w:eastAsia="Comic Sans MS"/>
          <w:b/>
          <w:i w:val="0"/>
          <w:color w:val="000000"/>
          <w:sz w:val="28"/>
        </w:rPr>
        <w:t>t(90) = 0.1 C0 / k0</w:t>
      </w:r>
    </w:p>
    <w:p>
      <w:pPr>
        <w:spacing w:after="160"/>
        <w:jc w:val="both"/>
      </w:pPr>
      <w:r>
        <w:rPr>
          <w:rFonts w:ascii="Comic Sans MS" w:hAnsi="Comic Sans MS" w:cs="Comic Sans MS" w:eastAsia="Comic Sans MS"/>
          <w:b w:val="0"/>
          <w:i w:val="0"/>
          <w:color w:val="000000"/>
          <w:sz w:val="28"/>
        </w:rPr>
        <w:t>Note that for a zero-order reaction both the half-life and the shelf life depend on the initial concentration.</w:t>
      </w:r>
    </w:p>
    <w:p>
      <w:pPr>
        <w:spacing w:after="160"/>
        <w:jc w:val="both"/>
      </w:pPr>
      <w:r>
        <w:rPr>
          <w:rFonts w:ascii="Comic Sans MS" w:hAnsi="Comic Sans MS" w:cs="Comic Sans MS" w:eastAsia="Comic Sans MS"/>
          <w:b/>
          <w:i w:val="0"/>
          <w:color w:val="000000"/>
          <w:sz w:val="28"/>
        </w:rPr>
        <w:t>Pharmaceutical examples.</w:t>
      </w:r>
      <w:r>
        <w:rPr>
          <w:rFonts w:ascii="Comic Sans MS" w:hAnsi="Comic Sans MS" w:cs="Comic Sans MS" w:eastAsia="Comic Sans MS"/>
          <w:b w:val="0"/>
          <w:i w:val="0"/>
          <w:color w:val="000000"/>
          <w:sz w:val="28"/>
        </w:rPr>
        <w:t xml:space="preserve"> The degradation of a drug in a </w:t>
      </w:r>
      <w:r>
        <w:rPr>
          <w:rFonts w:ascii="Comic Sans MS" w:hAnsi="Comic Sans MS" w:cs="Comic Sans MS" w:eastAsia="Comic Sans MS"/>
          <w:b/>
          <w:i w:val="0"/>
          <w:color w:val="000000"/>
          <w:sz w:val="28"/>
        </w:rPr>
        <w:t>suspension</w:t>
      </w:r>
      <w:r>
        <w:rPr>
          <w:rFonts w:ascii="Comic Sans MS" w:hAnsi="Comic Sans MS" w:cs="Comic Sans MS" w:eastAsia="Comic Sans MS"/>
          <w:b w:val="0"/>
          <w:i w:val="0"/>
          <w:color w:val="000000"/>
          <w:sz w:val="28"/>
        </w:rPr>
        <w:t xml:space="preserve"> follows apparent zero-order kinetics, because the solution remains saturated by dissolution of the reservoir of undissolved solid, so the concentration of dissolved drug, and hence the rate, remains constant. This behaviour is called </w:t>
      </w:r>
      <w:r>
        <w:rPr>
          <w:rFonts w:ascii="Comic Sans MS" w:hAnsi="Comic Sans MS" w:cs="Comic Sans MS" w:eastAsia="Comic Sans MS"/>
          <w:b/>
          <w:i w:val="0"/>
          <w:color w:val="000000"/>
          <w:sz w:val="28"/>
        </w:rPr>
        <w:t>pseudo-zero-order</w:t>
      </w:r>
      <w:r>
        <w:rPr>
          <w:rFonts w:ascii="Comic Sans MS" w:hAnsi="Comic Sans MS" w:cs="Comic Sans MS" w:eastAsia="Comic Sans MS"/>
          <w:b w:val="0"/>
          <w:i w:val="0"/>
          <w:color w:val="000000"/>
          <w:sz w:val="28"/>
        </w:rPr>
        <w:t xml:space="preserve"> or apparent zero-order kinetics, and it is the reason that an aqueous suspension of an unstable drug, such as an aspirin or procaine penicillin suspension, is frequently more stable in terms of percentage loss per unit time than the corresponding solution. Loss of water from a semi-solid, photodegradation of a solid surface at constant light intensity and some enzyme-catalysed reactions at saturating substrate concentration are also zero order.</w:t>
      </w:r>
    </w:p>
    <w:p>
      <w:pPr>
        <w:keepNext/>
        <w:spacing w:before="160" w:after="40"/>
      </w:pPr>
      <w:r>
        <w:rPr>
          <w:rFonts w:ascii="Comic Sans MS" w:hAnsi="Comic Sans MS" w:cs="Comic Sans MS" w:eastAsia="Comic Sans MS"/>
          <w:b/>
          <w:i w:val="0"/>
          <w:color w:val="000000"/>
          <w:sz w:val="28"/>
        </w:rPr>
        <w:t>4.2.2 First-Order Reactions</w:t>
      </w:r>
    </w:p>
    <w:p>
      <w:pPr>
        <w:spacing w:after="160"/>
        <w:jc w:val="both"/>
      </w:pPr>
      <w:r>
        <w:rPr>
          <w:rFonts w:ascii="Comic Sans MS" w:hAnsi="Comic Sans MS" w:cs="Comic Sans MS" w:eastAsia="Comic Sans MS"/>
          <w:b w:val="0"/>
          <w:i w:val="0"/>
          <w:color w:val="000000"/>
          <w:sz w:val="28"/>
        </w:rPr>
        <w:t>In a first-order reaction the rate is directly proportional to the concentration of one reactant:</w:t>
      </w:r>
    </w:p>
    <w:p>
      <w:pPr>
        <w:spacing w:after="160"/>
        <w:jc w:val="both"/>
      </w:pPr>
      <w:r>
        <w:rPr>
          <w:rFonts w:ascii="Comic Sans MS" w:hAnsi="Comic Sans MS" w:cs="Comic Sans MS" w:eastAsia="Comic Sans MS"/>
          <w:b/>
          <w:i w:val="0"/>
          <w:color w:val="000000"/>
          <w:sz w:val="28"/>
        </w:rPr>
        <w:t>- dC/dt = k1 C</w:t>
      </w:r>
    </w:p>
    <w:p>
      <w:pPr>
        <w:spacing w:after="160"/>
        <w:jc w:val="both"/>
      </w:pPr>
      <w:r>
        <w:rPr>
          <w:rFonts w:ascii="Comic Sans MS" w:hAnsi="Comic Sans MS" w:cs="Comic Sans MS" w:eastAsia="Comic Sans MS"/>
          <w:b w:val="0"/>
          <w:i w:val="0"/>
          <w:color w:val="000000"/>
          <w:sz w:val="28"/>
        </w:rPr>
        <w:t>On integration:</w:t>
      </w:r>
    </w:p>
    <w:p>
      <w:pPr>
        <w:spacing w:after="160"/>
        <w:jc w:val="both"/>
      </w:pPr>
      <w:r>
        <w:rPr>
          <w:rFonts w:ascii="Comic Sans MS" w:hAnsi="Comic Sans MS" w:cs="Comic Sans MS" w:eastAsia="Comic Sans MS"/>
          <w:b/>
          <w:i w:val="0"/>
          <w:color w:val="000000"/>
          <w:sz w:val="28"/>
        </w:rPr>
        <w:t>ln C = ln C0 - k1 t</w:t>
      </w:r>
      <w:r>
        <w:rPr>
          <w:rFonts w:ascii="Comic Sans MS" w:hAnsi="Comic Sans MS" w:cs="Comic Sans MS" w:eastAsia="Comic Sans MS"/>
          <w:b w:val="0"/>
          <w:i w:val="0"/>
          <w:color w:val="000000"/>
          <w:sz w:val="28"/>
        </w:rPr>
        <w:t xml:space="preserve">, or </w:t>
      </w:r>
      <w:r>
        <w:rPr>
          <w:rFonts w:ascii="Comic Sans MS" w:hAnsi="Comic Sans MS" w:cs="Comic Sans MS" w:eastAsia="Comic Sans MS"/>
          <w:b/>
          <w:i w:val="0"/>
          <w:color w:val="000000"/>
          <w:sz w:val="28"/>
        </w:rPr>
        <w:t>log C = log C0 - k1 t / 2.303</w:t>
      </w:r>
    </w:p>
    <w:p>
      <w:pPr>
        <w:spacing w:after="160"/>
        <w:jc w:val="both"/>
      </w:pPr>
      <w:r>
        <w:rPr>
          <w:rFonts w:ascii="Comic Sans MS" w:hAnsi="Comic Sans MS" w:cs="Comic Sans MS" w:eastAsia="Comic Sans MS"/>
          <w:b w:val="0"/>
          <w:i w:val="0"/>
          <w:color w:val="000000"/>
          <w:sz w:val="28"/>
        </w:rPr>
        <w:t>A plot of the logarithm of concentration against time is linear, with slope minus k1 divided by 2.303, and the units of k1 are reciprocal time, for example per hour.</w:t>
      </w:r>
    </w:p>
    <w:p>
      <w:pPr>
        <w:spacing w:after="160"/>
        <w:jc w:val="both"/>
      </w:pPr>
      <w:r>
        <w:rPr>
          <w:rFonts w:ascii="Comic Sans MS" w:hAnsi="Comic Sans MS" w:cs="Comic Sans MS" w:eastAsia="Comic Sans MS"/>
          <w:b/>
          <w:i w:val="0"/>
          <w:color w:val="000000"/>
          <w:sz w:val="28"/>
        </w:rPr>
        <w:t>Half-life:</w:t>
      </w:r>
    </w:p>
    <w:p>
      <w:pPr>
        <w:spacing w:after="160"/>
        <w:jc w:val="both"/>
      </w:pPr>
      <w:r>
        <w:rPr>
          <w:rFonts w:ascii="Comic Sans MS" w:hAnsi="Comic Sans MS" w:cs="Comic Sans MS" w:eastAsia="Comic Sans MS"/>
          <w:b/>
          <w:i w:val="0"/>
          <w:color w:val="000000"/>
          <w:sz w:val="28"/>
        </w:rPr>
        <w:t>t(1/2) = 0.693 / k1</w:t>
      </w:r>
    </w:p>
    <w:p>
      <w:pPr>
        <w:spacing w:after="160"/>
        <w:jc w:val="both"/>
      </w:pPr>
      <w:r>
        <w:rPr>
          <w:rFonts w:ascii="Comic Sans MS" w:hAnsi="Comic Sans MS" w:cs="Comic Sans MS" w:eastAsia="Comic Sans MS"/>
          <w:b/>
          <w:i w:val="0"/>
          <w:color w:val="000000"/>
          <w:sz w:val="28"/>
        </w:rPr>
        <w:t>Shelf life:</w:t>
      </w:r>
    </w:p>
    <w:p>
      <w:pPr>
        <w:spacing w:after="160"/>
        <w:jc w:val="both"/>
      </w:pPr>
      <w:r>
        <w:rPr>
          <w:rFonts w:ascii="Comic Sans MS" w:hAnsi="Comic Sans MS" w:cs="Comic Sans MS" w:eastAsia="Comic Sans MS"/>
          <w:b/>
          <w:i w:val="0"/>
          <w:color w:val="000000"/>
          <w:sz w:val="28"/>
        </w:rPr>
        <w:t>t(90) = 0.105 / k1</w:t>
      </w:r>
    </w:p>
    <w:p>
      <w:pPr>
        <w:spacing w:after="160"/>
        <w:jc w:val="both"/>
      </w:pPr>
      <w:r>
        <w:rPr>
          <w:rFonts w:ascii="Comic Sans MS" w:hAnsi="Comic Sans MS" w:cs="Comic Sans MS" w:eastAsia="Comic Sans MS"/>
          <w:b w:val="0"/>
          <w:i w:val="0"/>
          <w:color w:val="000000"/>
          <w:sz w:val="28"/>
        </w:rPr>
        <w:t>For a first-order reaction both are independent of the initial concentration, which is a great practical convenience and is the main reason why first-order treatment is preferred wherever the data permit.</w:t>
      </w:r>
    </w:p>
    <w:p>
      <w:pPr>
        <w:spacing w:after="160"/>
        <w:jc w:val="both"/>
      </w:pPr>
      <w:r>
        <w:rPr>
          <w:rFonts w:ascii="Comic Sans MS" w:hAnsi="Comic Sans MS" w:cs="Comic Sans MS" w:eastAsia="Comic Sans MS"/>
          <w:b/>
          <w:i w:val="0"/>
          <w:color w:val="000000"/>
          <w:sz w:val="28"/>
        </w:rPr>
        <w:t>Pharmaceutical examples.</w:t>
      </w:r>
      <w:r>
        <w:rPr>
          <w:rFonts w:ascii="Comic Sans MS" w:hAnsi="Comic Sans MS" w:cs="Comic Sans MS" w:eastAsia="Comic Sans MS"/>
          <w:b w:val="0"/>
          <w:i w:val="0"/>
          <w:color w:val="000000"/>
          <w:sz w:val="28"/>
        </w:rPr>
        <w:t xml:space="preserve"> Hydrolysis of most drugs in dilute aqueous solution, radioactive decay, and the great majority of degradation reactions encountered in liquid products. Many reactions that are strictly of higher order behave as first order because one reactant, usually water, is present in such large excess that its concentration is effectively constant; these are termed </w:t>
      </w:r>
      <w:r>
        <w:rPr>
          <w:rFonts w:ascii="Comic Sans MS" w:hAnsi="Comic Sans MS" w:cs="Comic Sans MS" w:eastAsia="Comic Sans MS"/>
          <w:b/>
          <w:i w:val="0"/>
          <w:color w:val="000000"/>
          <w:sz w:val="28"/>
        </w:rPr>
        <w:t>pseudo-first-order</w:t>
      </w:r>
      <w:r>
        <w:rPr>
          <w:rFonts w:ascii="Comic Sans MS" w:hAnsi="Comic Sans MS" w:cs="Comic Sans MS" w:eastAsia="Comic Sans MS"/>
          <w:b w:val="0"/>
          <w:i w:val="0"/>
          <w:color w:val="000000"/>
          <w:sz w:val="28"/>
        </w:rPr>
        <w:t xml:space="preserve"> reactions. The hydrolysis of aspirin in aqueous solution is the standard example.</w:t>
      </w:r>
    </w:p>
    <w:p>
      <w:pPr>
        <w:keepNext/>
        <w:spacing w:before="160" w:after="40"/>
      </w:pPr>
      <w:r>
        <w:rPr>
          <w:rFonts w:ascii="Comic Sans MS" w:hAnsi="Comic Sans MS" w:cs="Comic Sans MS" w:eastAsia="Comic Sans MS"/>
          <w:b/>
          <w:i w:val="0"/>
          <w:color w:val="000000"/>
          <w:sz w:val="28"/>
        </w:rPr>
        <w:t>4.2.3 Second-Order Reactions</w:t>
      </w:r>
    </w:p>
    <w:p>
      <w:pPr>
        <w:spacing w:after="160"/>
        <w:jc w:val="both"/>
      </w:pPr>
      <w:r>
        <w:rPr>
          <w:rFonts w:ascii="Comic Sans MS" w:hAnsi="Comic Sans MS" w:cs="Comic Sans MS" w:eastAsia="Comic Sans MS"/>
          <w:b w:val="0"/>
          <w:i w:val="0"/>
          <w:color w:val="000000"/>
          <w:sz w:val="28"/>
        </w:rPr>
        <w:t>Here the rate depends on the product of two concentration terms:</w:t>
      </w:r>
    </w:p>
    <w:p>
      <w:pPr>
        <w:spacing w:after="160"/>
        <w:jc w:val="both"/>
      </w:pPr>
      <w:r>
        <w:rPr>
          <w:rFonts w:ascii="Comic Sans MS" w:hAnsi="Comic Sans MS" w:cs="Comic Sans MS" w:eastAsia="Comic Sans MS"/>
          <w:b/>
          <w:i w:val="0"/>
          <w:color w:val="000000"/>
          <w:sz w:val="28"/>
        </w:rPr>
        <w:t>- dC/dt = k2 [A][B]</w:t>
      </w:r>
    </w:p>
    <w:p>
      <w:pPr>
        <w:spacing w:after="160"/>
        <w:jc w:val="both"/>
      </w:pPr>
      <w:r>
        <w:rPr>
          <w:rFonts w:ascii="Comic Sans MS" w:hAnsi="Comic Sans MS" w:cs="Comic Sans MS" w:eastAsia="Comic Sans MS"/>
          <w:b w:val="0"/>
          <w:i w:val="0"/>
          <w:color w:val="000000"/>
          <w:sz w:val="28"/>
        </w:rPr>
        <w:t>When the initial concentrations of A and B are equal, integration gives</w:t>
      </w:r>
    </w:p>
    <w:p>
      <w:pPr>
        <w:spacing w:after="160"/>
        <w:jc w:val="both"/>
      </w:pPr>
      <w:r>
        <w:rPr>
          <w:rFonts w:ascii="Comic Sans MS" w:hAnsi="Comic Sans MS" w:cs="Comic Sans MS" w:eastAsia="Comic Sans MS"/>
          <w:b/>
          <w:i w:val="0"/>
          <w:color w:val="000000"/>
          <w:sz w:val="28"/>
        </w:rPr>
        <w:t>1/C = 1/C0 + k2 t</w:t>
      </w:r>
    </w:p>
    <w:p>
      <w:pPr>
        <w:spacing w:after="160"/>
        <w:jc w:val="both"/>
      </w:pPr>
      <w:r>
        <w:rPr>
          <w:rFonts w:ascii="Comic Sans MS" w:hAnsi="Comic Sans MS" w:cs="Comic Sans MS" w:eastAsia="Comic Sans MS"/>
          <w:b w:val="0"/>
          <w:i w:val="0"/>
          <w:color w:val="000000"/>
          <w:sz w:val="28"/>
        </w:rPr>
        <w:t xml:space="preserve">so that a plot of the reciprocal of concentration against time is linear. The half-life is </w:t>
      </w:r>
      <w:r>
        <w:rPr>
          <w:rFonts w:ascii="Comic Sans MS" w:hAnsi="Comic Sans MS" w:cs="Comic Sans MS" w:eastAsia="Comic Sans MS"/>
          <w:b/>
          <w:i w:val="0"/>
          <w:color w:val="000000"/>
          <w:sz w:val="28"/>
        </w:rPr>
        <w:t>t(1/2) = 1 / (k2 C0)</w:t>
      </w:r>
      <w:r>
        <w:rPr>
          <w:rFonts w:ascii="Comic Sans MS" w:hAnsi="Comic Sans MS" w:cs="Comic Sans MS" w:eastAsia="Comic Sans MS"/>
          <w:b w:val="0"/>
          <w:i w:val="0"/>
          <w:color w:val="000000"/>
          <w:sz w:val="28"/>
        </w:rPr>
        <w:t xml:space="preserve"> and is inversely proportional to the initial concentration. Base-catalysed ester hydrolysis at comparable reactant concentrations and some oxidation reactions are second order.</w:t>
      </w:r>
    </w:p>
    <w:p>
      <w:pPr>
        <w:keepNext/>
        <w:spacing w:before="160" w:after="40"/>
      </w:pPr>
      <w:r>
        <w:rPr>
          <w:rFonts w:ascii="Comic Sans MS" w:hAnsi="Comic Sans MS" w:cs="Comic Sans MS" w:eastAsia="Comic Sans MS"/>
          <w:b/>
          <w:i w:val="0"/>
          <w:color w:val="000000"/>
          <w:sz w:val="28"/>
        </w:rPr>
        <w:t>4.2.4 Determination of the Order of Reaction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Graphical (integration) method.</w:t>
      </w:r>
      <w:r>
        <w:rPr>
          <w:rFonts w:ascii="Comic Sans MS" w:hAnsi="Comic Sans MS" w:cs="Comic Sans MS" w:eastAsia="Comic Sans MS"/>
          <w:b w:val="0"/>
          <w:i w:val="0"/>
          <w:color w:val="000000"/>
          <w:sz w:val="28"/>
        </w:rPr>
        <w:t xml:space="preserve"> The data are plotted as concentration against time, log concentration against time, and reciprocal concentration against time; whichever gives the best straight line indicates the order. This is the most commonly used approach.</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Half-life method.</w:t>
      </w:r>
      <w:r>
        <w:rPr>
          <w:rFonts w:ascii="Comic Sans MS" w:hAnsi="Comic Sans MS" w:cs="Comic Sans MS" w:eastAsia="Comic Sans MS"/>
          <w:b w:val="0"/>
          <w:i w:val="0"/>
          <w:color w:val="000000"/>
          <w:sz w:val="28"/>
        </w:rPr>
        <w:t xml:space="preserve"> The dependence of half-life on initial concentration is examined: independence indicates first order, proportionality to initial concentration indicates zero order, and inverse proportionality indicates second order.</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Substitution method.</w:t>
      </w:r>
      <w:r>
        <w:rPr>
          <w:rFonts w:ascii="Comic Sans MS" w:hAnsi="Comic Sans MS" w:cs="Comic Sans MS" w:eastAsia="Comic Sans MS"/>
          <w:b w:val="0"/>
          <w:i w:val="0"/>
          <w:color w:val="000000"/>
          <w:sz w:val="28"/>
        </w:rPr>
        <w:t xml:space="preserve"> The data are inserted into the integrated equations in turn, and the order is that which gives a constant value of k.</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Differential or initial rate method (van't Hoff).</w:t>
      </w:r>
      <w:r>
        <w:rPr>
          <w:rFonts w:ascii="Comic Sans MS" w:hAnsi="Comic Sans MS" w:cs="Comic Sans MS" w:eastAsia="Comic Sans MS"/>
          <w:b w:val="0"/>
          <w:i w:val="0"/>
          <w:color w:val="000000"/>
          <w:sz w:val="28"/>
        </w:rPr>
        <w:t xml:space="preserve"> The logarithm of the initial rate is plotted against the logarithm of the initial concentration; the slope gives the order.</w:t>
      </w:r>
    </w:p>
    <w:p>
      <w:pPr>
        <w:keepNext/>
        <w:spacing w:before="160" w:after="40"/>
      </w:pPr>
      <w:r>
        <w:rPr>
          <w:rFonts w:ascii="Comic Sans MS" w:hAnsi="Comic Sans MS" w:cs="Comic Sans MS" w:eastAsia="Comic Sans MS"/>
          <w:b/>
          <w:i w:val="0"/>
          <w:color w:val="000000"/>
          <w:sz w:val="28"/>
        </w:rPr>
        <w:t>4.2.5 Worked Illustrations</w:t>
      </w:r>
    </w:p>
    <w:p>
      <w:pPr>
        <w:spacing w:after="160"/>
        <w:jc w:val="both"/>
      </w:pPr>
      <w:r>
        <w:rPr>
          <w:rFonts w:ascii="Comic Sans MS" w:hAnsi="Comic Sans MS" w:cs="Comic Sans MS" w:eastAsia="Comic Sans MS"/>
          <w:b/>
          <w:i w:val="0"/>
          <w:color w:val="000000"/>
          <w:sz w:val="28"/>
        </w:rPr>
        <w:t>Example 1 (first order).</w:t>
      </w:r>
      <w:r>
        <w:rPr>
          <w:rFonts w:ascii="Comic Sans MS" w:hAnsi="Comic Sans MS" w:cs="Comic Sans MS" w:eastAsia="Comic Sans MS"/>
          <w:b w:val="0"/>
          <w:i w:val="0"/>
          <w:color w:val="000000"/>
          <w:sz w:val="28"/>
        </w:rPr>
        <w:t xml:space="preserve"> A drug solution assayed initially at 100 milligrams per millilitre contains 95 milligrams per millilitre after 20 days at 25 degrees Celsius, and the degradation is known to be first order. Then k1 = (2.303/20) x log(100/95) = 0.1152 x 0.02228 = 2.566 x 10 to the power minus 3 per day. The shelf life is t(90) = 0.105/k1 = 0.105/0.002566 = 40.9 days, and the half-life is 0.693/0.002566 = 270 days. The example makes the important point that a 5 per cent loss in 20 days corresponds to a shelf life of only about six weeks.</w:t>
      </w:r>
    </w:p>
    <w:p>
      <w:pPr>
        <w:spacing w:after="160"/>
        <w:jc w:val="both"/>
      </w:pPr>
      <w:r>
        <w:rPr>
          <w:rFonts w:ascii="Comic Sans MS" w:hAnsi="Comic Sans MS" w:cs="Comic Sans MS" w:eastAsia="Comic Sans MS"/>
          <w:b/>
          <w:i w:val="0"/>
          <w:color w:val="000000"/>
          <w:sz w:val="28"/>
        </w:rPr>
        <w:t>Example 2 (zero order).</w:t>
      </w:r>
      <w:r>
        <w:rPr>
          <w:rFonts w:ascii="Comic Sans MS" w:hAnsi="Comic Sans MS" w:cs="Comic Sans MS" w:eastAsia="Comic Sans MS"/>
          <w:b w:val="0"/>
          <w:i w:val="0"/>
          <w:color w:val="000000"/>
          <w:sz w:val="28"/>
        </w:rPr>
        <w:t xml:space="preserve"> A suspension containing 125 milligrams per 5 millilitres shows a loss of 5 milligrams per 5 millilitres in 30 days, the degradation being apparent zero order. Then k0 = 5/30 = 0.167 milligrams per 5 millilitres per day, and t(90) = 0.1 x 125 / 0.167 = 74.9 days.</w:t>
      </w:r>
    </w:p>
    <w:p>
      <w:pPr>
        <w:spacing w:after="160"/>
        <w:jc w:val="both"/>
      </w:pPr>
      <w:r>
        <w:rPr>
          <w:rFonts w:ascii="Comic Sans MS" w:hAnsi="Comic Sans MS" w:cs="Comic Sans MS" w:eastAsia="Comic Sans MS"/>
          <w:b/>
          <w:i w:val="0"/>
          <w:color w:val="000000"/>
          <w:sz w:val="28"/>
        </w:rPr>
        <w:t>Example 3 (order from data).</w:t>
      </w:r>
      <w:r>
        <w:rPr>
          <w:rFonts w:ascii="Comic Sans MS" w:hAnsi="Comic Sans MS" w:cs="Comic Sans MS" w:eastAsia="Comic Sans MS"/>
          <w:b w:val="0"/>
          <w:i w:val="0"/>
          <w:color w:val="000000"/>
          <w:sz w:val="28"/>
        </w:rPr>
        <w:t xml:space="preserve"> If a plot of the logarithm of remaining drug against time is linear while the plot of the drug concentration itself is curved, the reaction is first order, and the rate constant is obtained as 2.303 times the negative slope.</w:t>
      </w:r>
    </w:p>
    <w:p>
      <w:pPr>
        <w:keepNext/>
        <w:spacing w:before="160" w:after="40"/>
      </w:pPr>
      <w:r>
        <w:rPr>
          <w:rFonts w:ascii="Comic Sans MS" w:hAnsi="Comic Sans MS" w:cs="Comic Sans MS" w:eastAsia="Comic Sans MS"/>
          <w:b/>
          <w:i w:val="0"/>
          <w:color w:val="000000"/>
          <w:sz w:val="28"/>
        </w:rPr>
        <w:t>4.3 The Influence of Temperature: the Arrhenius Relationship</w:t>
      </w:r>
    </w:p>
    <w:p>
      <w:pPr>
        <w:spacing w:after="160"/>
        <w:jc w:val="both"/>
      </w:pPr>
      <w:r>
        <w:rPr>
          <w:rFonts w:ascii="Comic Sans MS" w:hAnsi="Comic Sans MS" w:cs="Comic Sans MS" w:eastAsia="Comic Sans MS"/>
          <w:b w:val="0"/>
          <w:i w:val="0"/>
          <w:color w:val="000000"/>
          <w:sz w:val="28"/>
        </w:rPr>
        <w:t xml:space="preserve">Temperature is the single most important environmental variable, because reaction rate increases steeply and predictably with it. The relationship is expressed by the </w:t>
      </w:r>
      <w:r>
        <w:rPr>
          <w:rFonts w:ascii="Comic Sans MS" w:hAnsi="Comic Sans MS" w:cs="Comic Sans MS" w:eastAsia="Comic Sans MS"/>
          <w:b/>
          <w:i w:val="0"/>
          <w:color w:val="000000"/>
          <w:sz w:val="28"/>
        </w:rPr>
        <w:t>Arrhenius equation:</w:t>
      </w:r>
    </w:p>
    <w:p>
      <w:pPr>
        <w:spacing w:after="160"/>
        <w:jc w:val="both"/>
      </w:pPr>
      <w:r>
        <w:rPr>
          <w:rFonts w:ascii="Comic Sans MS" w:hAnsi="Comic Sans MS" w:cs="Comic Sans MS" w:eastAsia="Comic Sans MS"/>
          <w:b/>
          <w:i w:val="0"/>
          <w:color w:val="000000"/>
          <w:sz w:val="28"/>
        </w:rPr>
        <w:t>k = A e raised to the power (- Ea / R T)</w:t>
      </w:r>
    </w:p>
    <w:p>
      <w:pPr>
        <w:spacing w:after="160"/>
        <w:jc w:val="both"/>
      </w:pPr>
      <w:r>
        <w:rPr>
          <w:rFonts w:ascii="Comic Sans MS" w:hAnsi="Comic Sans MS" w:cs="Comic Sans MS" w:eastAsia="Comic Sans MS"/>
          <w:b w:val="0"/>
          <w:i w:val="0"/>
          <w:color w:val="000000"/>
          <w:sz w:val="28"/>
        </w:rPr>
        <w:t>or in logarithmic form</w:t>
      </w:r>
    </w:p>
    <w:p>
      <w:pPr>
        <w:spacing w:after="160"/>
        <w:jc w:val="both"/>
      </w:pPr>
      <w:r>
        <w:rPr>
          <w:rFonts w:ascii="Comic Sans MS" w:hAnsi="Comic Sans MS" w:cs="Comic Sans MS" w:eastAsia="Comic Sans MS"/>
          <w:b/>
          <w:i w:val="0"/>
          <w:color w:val="000000"/>
          <w:sz w:val="28"/>
        </w:rPr>
        <w:t>log k = log A - Ea / (2.303 R T)</w:t>
      </w:r>
    </w:p>
    <w:p>
      <w:pPr>
        <w:spacing w:after="160"/>
        <w:jc w:val="both"/>
      </w:pPr>
      <w:r>
        <w:rPr>
          <w:rFonts w:ascii="Comic Sans MS" w:hAnsi="Comic Sans MS" w:cs="Comic Sans MS" w:eastAsia="Comic Sans MS"/>
          <w:b w:val="0"/>
          <w:i w:val="0"/>
          <w:color w:val="000000"/>
          <w:sz w:val="28"/>
        </w:rPr>
        <w:t>where k is the rate constant, A is the frequency or pre-exponential factor, Ea is the energy of activation, R is the gas constant (1.987 calories per mole per kelvin, or 8.314 joules per mole per kelvin) and T is the absolute temperature.</w:t>
      </w:r>
    </w:p>
    <w:p>
      <w:pPr>
        <w:spacing w:after="160"/>
        <w:jc w:val="both"/>
      </w:pPr>
      <w:r>
        <w:rPr>
          <w:rFonts w:ascii="Comic Sans MS" w:hAnsi="Comic Sans MS" w:cs="Comic Sans MS" w:eastAsia="Comic Sans MS"/>
          <w:b w:val="0"/>
          <w:i w:val="0"/>
          <w:color w:val="000000"/>
          <w:sz w:val="28"/>
        </w:rPr>
        <w:t xml:space="preserve">A plot of log k against the reciprocal of absolute temperature, the </w:t>
      </w:r>
      <w:r>
        <w:rPr>
          <w:rFonts w:ascii="Comic Sans MS" w:hAnsi="Comic Sans MS" w:cs="Comic Sans MS" w:eastAsia="Comic Sans MS"/>
          <w:b/>
          <w:i w:val="0"/>
          <w:color w:val="000000"/>
          <w:sz w:val="28"/>
        </w:rPr>
        <w:t>Arrhenius plot</w:t>
      </w:r>
      <w:r>
        <w:rPr>
          <w:rFonts w:ascii="Comic Sans MS" w:hAnsi="Comic Sans MS" w:cs="Comic Sans MS" w:eastAsia="Comic Sans MS"/>
          <w:b w:val="0"/>
          <w:i w:val="0"/>
          <w:color w:val="000000"/>
          <w:sz w:val="28"/>
        </w:rPr>
        <w:t>, is linear with slope minus Ea divided by 2.303 R. From data obtained at two or more elevated temperatures the rate constant at the intended storage temperature can therefore be obtained by extrapolation, and the shelf life calculated from it. Activation energies for pharmaceutical degradation typically lie between about 10 and 30 kilocalories per mole; a value of about 20 kilocalories per mole corresponds to roughly a two- to three-fold increase in rate for each 10 degree rise in temperature.</w:t>
      </w:r>
    </w:p>
    <w:p>
      <w:pPr>
        <w:spacing w:after="160"/>
        <w:jc w:val="both"/>
      </w:pPr>
      <w:r>
        <w:rPr>
          <w:rFonts w:ascii="Comic Sans MS" w:hAnsi="Comic Sans MS" w:cs="Comic Sans MS" w:eastAsia="Comic Sans MS"/>
          <w:b w:val="0"/>
          <w:i w:val="0"/>
          <w:color w:val="000000"/>
          <w:sz w:val="28"/>
        </w:rPr>
        <w:t>The two-point form used for calculation is</w:t>
      </w:r>
    </w:p>
    <w:p>
      <w:pPr>
        <w:spacing w:after="160"/>
        <w:jc w:val="both"/>
      </w:pPr>
      <w:r>
        <w:rPr>
          <w:rFonts w:ascii="Comic Sans MS" w:hAnsi="Comic Sans MS" w:cs="Comic Sans MS" w:eastAsia="Comic Sans MS"/>
          <w:b/>
          <w:i w:val="0"/>
          <w:color w:val="000000"/>
          <w:sz w:val="28"/>
        </w:rPr>
        <w:t>log (k2/k1) = (Ea / 2.303 R) x [ (T2 - T1) / (T1 T2) ]</w:t>
      </w:r>
    </w:p>
    <w:p>
      <w:pPr>
        <w:spacing w:after="160"/>
        <w:jc w:val="both"/>
      </w:pPr>
      <w:r>
        <w:rPr>
          <w:rFonts w:ascii="Comic Sans MS" w:hAnsi="Comic Sans MS" w:cs="Comic Sans MS" w:eastAsia="Comic Sans MS"/>
          <w:b w:val="0"/>
          <w:i w:val="0"/>
          <w:color w:val="000000"/>
          <w:sz w:val="28"/>
        </w:rPr>
        <w:t xml:space="preserve">The </w:t>
      </w:r>
      <w:r>
        <w:rPr>
          <w:rFonts w:ascii="Comic Sans MS" w:hAnsi="Comic Sans MS" w:cs="Comic Sans MS" w:eastAsia="Comic Sans MS"/>
          <w:b/>
          <w:i w:val="0"/>
          <w:color w:val="000000"/>
          <w:sz w:val="28"/>
        </w:rPr>
        <w:t>Q10 approach</w:t>
      </w:r>
      <w:r>
        <w:rPr>
          <w:rFonts w:ascii="Comic Sans MS" w:hAnsi="Comic Sans MS" w:cs="Comic Sans MS" w:eastAsia="Comic Sans MS"/>
          <w:b w:val="0"/>
          <w:i w:val="0"/>
          <w:color w:val="000000"/>
          <w:sz w:val="28"/>
        </w:rPr>
        <w:t xml:space="preserve"> is a convenient simplification, in which Q10 is the factor by which the rate increases for a 10 degree rise in temperature; taking values of 2, 3 or 4 according to the activation energy, the shelf life at one temperature may be estimated from that at another by dividing by Q10 raised to the power of the temperature difference divided by ten.</w:t>
      </w:r>
    </w:p>
    <w:p>
      <w:pPr>
        <w:keepNext/>
        <w:spacing w:before="160" w:after="40"/>
      </w:pPr>
      <w:r>
        <w:rPr>
          <w:rFonts w:ascii="Comic Sans MS" w:hAnsi="Comic Sans MS" w:cs="Comic Sans MS" w:eastAsia="Comic Sans MS"/>
          <w:b/>
          <w:i w:val="0"/>
          <w:color w:val="000000"/>
          <w:sz w:val="28"/>
        </w:rPr>
        <w:t>4.4 Accelerated Stability Studies</w:t>
      </w:r>
    </w:p>
    <w:p>
      <w:pPr>
        <w:keepNext/>
        <w:spacing w:before="160" w:after="40"/>
      </w:pPr>
      <w:r>
        <w:rPr>
          <w:rFonts w:ascii="Comic Sans MS" w:hAnsi="Comic Sans MS" w:cs="Comic Sans MS" w:eastAsia="Comic Sans MS"/>
          <w:b/>
          <w:i w:val="0"/>
          <w:color w:val="000000"/>
          <w:sz w:val="28"/>
        </w:rPr>
        <w:t>4.4.1 Principle</w:t>
      </w:r>
    </w:p>
    <w:p>
      <w:pPr>
        <w:spacing w:after="160"/>
        <w:jc w:val="both"/>
      </w:pPr>
      <w:r>
        <w:rPr>
          <w:rFonts w:ascii="Comic Sans MS" w:hAnsi="Comic Sans MS" w:cs="Comic Sans MS" w:eastAsia="Comic Sans MS"/>
          <w:b w:val="0"/>
          <w:i w:val="0"/>
          <w:color w:val="000000"/>
          <w:sz w:val="28"/>
        </w:rPr>
        <w:t xml:space="preserve">In an accelerated stability study the product is deliberately stored under conditions of exaggerated temperature, and usually humidity, so that degradation is measurably fast; the results are then extrapolated, most often by means of the Arrhenius relationship, to predict behaviour at the intended storage temperature. The classical experimental designs are those of </w:t>
      </w:r>
      <w:r>
        <w:rPr>
          <w:rFonts w:ascii="Comic Sans MS" w:hAnsi="Comic Sans MS" w:cs="Comic Sans MS" w:eastAsia="Comic Sans MS"/>
          <w:b/>
          <w:i w:val="0"/>
          <w:color w:val="000000"/>
          <w:sz w:val="28"/>
        </w:rPr>
        <w:t>Free and Blythe</w:t>
      </w:r>
      <w:r>
        <w:rPr>
          <w:rFonts w:ascii="Comic Sans MS" w:hAnsi="Comic Sans MS" w:cs="Comic Sans MS" w:eastAsia="Comic Sans MS"/>
          <w:b w:val="0"/>
          <w:i w:val="0"/>
          <w:color w:val="000000"/>
          <w:sz w:val="28"/>
        </w:rPr>
        <w:t xml:space="preserve">, in which the time to a fixed extent of degradation is determined at several temperatures and extrapolated, and the </w:t>
      </w:r>
      <w:r>
        <w:rPr>
          <w:rFonts w:ascii="Comic Sans MS" w:hAnsi="Comic Sans MS" w:cs="Comic Sans MS" w:eastAsia="Comic Sans MS"/>
          <w:b/>
          <w:i w:val="0"/>
          <w:color w:val="000000"/>
          <w:sz w:val="28"/>
        </w:rPr>
        <w:t>Q10 method</w:t>
      </w:r>
      <w:r>
        <w:rPr>
          <w:rFonts w:ascii="Comic Sans MS" w:hAnsi="Comic Sans MS" w:cs="Comic Sans MS" w:eastAsia="Comic Sans MS"/>
          <w:b w:val="0"/>
          <w:i w:val="0"/>
          <w:color w:val="000000"/>
          <w:sz w:val="28"/>
        </w:rPr>
        <w:t xml:space="preserve"> described above.</w:t>
      </w:r>
    </w:p>
    <w:p>
      <w:pPr>
        <w:keepNext/>
        <w:spacing w:before="160" w:after="40"/>
      </w:pPr>
      <w:r>
        <w:rPr>
          <w:rFonts w:ascii="Comic Sans MS" w:hAnsi="Comic Sans MS" w:cs="Comic Sans MS" w:eastAsia="Comic Sans MS"/>
          <w:b/>
          <w:i w:val="0"/>
          <w:color w:val="000000"/>
          <w:sz w:val="28"/>
        </w:rPr>
        <w:t>4.4.2 Importance and Advantages of Accelerated Studies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Rapid prediction of shelf life.</w:t>
      </w:r>
      <w:r>
        <w:rPr>
          <w:rFonts w:ascii="Comic Sans MS" w:hAnsi="Comic Sans MS" w:cs="Comic Sans MS" w:eastAsia="Comic Sans MS"/>
          <w:b w:val="0"/>
          <w:i w:val="0"/>
          <w:color w:val="000000"/>
          <w:sz w:val="28"/>
        </w:rPr>
        <w:t xml:space="preserve"> A tentative shelf life can be assigned on the basis of six months of accelerated data supported by long-term data, which permits a product to be submitted for registration and marketed years before real-time data covering the full shelf life could possibly be available.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Rapid screening during development.</w:t>
      </w:r>
      <w:r>
        <w:rPr>
          <w:rFonts w:ascii="Comic Sans MS" w:hAnsi="Comic Sans MS" w:cs="Comic Sans MS" w:eastAsia="Comic Sans MS"/>
          <w:b w:val="0"/>
          <w:i w:val="0"/>
          <w:color w:val="000000"/>
          <w:sz w:val="28"/>
        </w:rPr>
        <w:t xml:space="preserve"> Prototype formulations, packaging options, salt and polymorph choices and excipient combinations can be ranked in weeks rather than years, which is the single greatest practical benefit.</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Evaluation of short-term excursions.</w:t>
      </w:r>
      <w:r>
        <w:rPr>
          <w:rFonts w:ascii="Comic Sans MS" w:hAnsi="Comic Sans MS" w:cs="Comic Sans MS" w:eastAsia="Comic Sans MS"/>
          <w:b w:val="0"/>
          <w:i w:val="0"/>
          <w:color w:val="000000"/>
          <w:sz w:val="28"/>
        </w:rPr>
        <w:t xml:space="preserve"> Accelerated and intermediate data are formally used to assess the effect of excursions outside the labelled conditions, such as occur during shipping and distribution.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Identification of degradation pathways and products,</w:t>
      </w:r>
      <w:r>
        <w:rPr>
          <w:rFonts w:ascii="Comic Sans MS" w:hAnsi="Comic Sans MS" w:cs="Comic Sans MS" w:eastAsia="Comic Sans MS"/>
          <w:b w:val="0"/>
          <w:i w:val="0"/>
          <w:color w:val="000000"/>
          <w:sz w:val="28"/>
        </w:rPr>
        <w:t xml:space="preserve"> so that the analytical method can be shown to be stability indicating and impurity limits can be set.</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Selection of the container closure system,</w:t>
      </w:r>
      <w:r>
        <w:rPr>
          <w:rFonts w:ascii="Comic Sans MS" w:hAnsi="Comic Sans MS" w:cs="Comic Sans MS" w:eastAsia="Comic Sans MS"/>
          <w:b w:val="0"/>
          <w:i w:val="0"/>
          <w:color w:val="000000"/>
          <w:sz w:val="28"/>
        </w:rPr>
        <w:t xml:space="preserve"> including the demonstration that a moisture-sensitive product requires a high-barrier blister or a desiccant.</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Economy of time and material,</w:t>
      </w:r>
      <w:r>
        <w:rPr>
          <w:rFonts w:ascii="Comic Sans MS" w:hAnsi="Comic Sans MS" w:cs="Comic Sans MS" w:eastAsia="Comic Sans MS"/>
          <w:b w:val="0"/>
          <w:i w:val="0"/>
          <w:color w:val="000000"/>
          <w:sz w:val="28"/>
        </w:rPr>
        <w:t xml:space="preserve"> and early warning of problems while reformulation is still inexpensive.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Regulatory necessity.</w:t>
      </w:r>
      <w:r>
        <w:rPr>
          <w:rFonts w:ascii="Comic Sans MS" w:hAnsi="Comic Sans MS" w:cs="Comic Sans MS" w:eastAsia="Comic Sans MS"/>
          <w:b w:val="0"/>
          <w:i w:val="0"/>
          <w:color w:val="000000"/>
          <w:sz w:val="28"/>
        </w:rPr>
        <w:t xml:space="preserve"> Accelerated data are a mandatory component of the registration dossier under ICH Q1A(R2).</w:t>
      </w:r>
    </w:p>
    <w:p>
      <w:pPr>
        <w:keepNext/>
        <w:spacing w:before="160" w:after="40"/>
      </w:pPr>
      <w:r>
        <w:rPr>
          <w:rFonts w:ascii="Comic Sans MS" w:hAnsi="Comic Sans MS" w:cs="Comic Sans MS" w:eastAsia="Comic Sans MS"/>
          <w:b/>
          <w:i w:val="0"/>
          <w:color w:val="000000"/>
          <w:sz w:val="28"/>
        </w:rPr>
        <w:t>4.4.3 Limitations of Accelerated Studies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The mechanism of degradation may change with temperature, in which case extrapolation is invalid. A reaction that is negligible at 25 degrees may dominate at 50 degrees.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The Arrhenius relationship applies to a single reaction in solution. It does not reliably describe solid-state degradation, in which diffusion, crystal defects and moisture distribution intervene, nor systems in which the physical state changes, for example by melting of a suppository, softening of a coating, or crystallisation of an amorphous dispersion.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Physical changes such as phase separation of emulsions, polymorphic transition and moisture redistribution are frequently not accelerated proportionally and may even be reversed at higher temperature.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 xml:space="preserve">Heterogeneous and multiphase systems, suspensions, emulsions, semisolids and proteins generally do not obey the relationship. For </w:t>
      </w:r>
      <w:r>
        <w:rPr>
          <w:rFonts w:ascii="Comic Sans MS" w:hAnsi="Comic Sans MS" w:cs="Comic Sans MS" w:eastAsia="Comic Sans MS"/>
          <w:b/>
          <w:i w:val="0"/>
          <w:color w:val="000000"/>
          <w:sz w:val="28"/>
        </w:rPr>
        <w:t>biotechnology-derived products,</w:t>
      </w:r>
      <w:r>
        <w:rPr>
          <w:rFonts w:ascii="Comic Sans MS" w:hAnsi="Comic Sans MS" w:cs="Comic Sans MS" w:eastAsia="Comic Sans MS"/>
          <w:b w:val="0"/>
          <w:i w:val="0"/>
          <w:color w:val="000000"/>
          <w:sz w:val="28"/>
        </w:rPr>
        <w:t xml:space="preserve"> accelerated data cannot be used to extrapolate shelf life at all, and ICH Q5C requires real-time, real-condition data.</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The kinetics are affected by humidity as well as temperature, and simple Arrhenius treatment does not account for it; extended models incorporating a humidity term are needed.</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Autoxidation, photolysis and microbiological changes are not predicted.</w:t>
      </w:r>
    </w:p>
    <w:p>
      <w:pPr>
        <w:spacing w:after="160"/>
        <w:jc w:val="both"/>
      </w:pPr>
      <w:r>
        <w:rPr>
          <w:rFonts w:ascii="Comic Sans MS" w:hAnsi="Comic Sans MS" w:cs="Comic Sans MS" w:eastAsia="Comic Sans MS"/>
          <w:b w:val="0"/>
          <w:i w:val="0"/>
          <w:color w:val="000000"/>
          <w:sz w:val="28"/>
        </w:rPr>
        <w:t>For these reasons accelerated data are used to support, and never to replace, long-term data, and the final shelf life is always confirmed by real-time results.</w:t>
      </w:r>
    </w:p>
    <w:p>
      <w:pPr>
        <w:keepNext/>
        <w:spacing w:before="160" w:after="40"/>
      </w:pPr>
      <w:r>
        <w:rPr>
          <w:rFonts w:ascii="Comic Sans MS" w:hAnsi="Comic Sans MS" w:cs="Comic Sans MS" w:eastAsia="Comic Sans MS"/>
          <w:b/>
          <w:i w:val="0"/>
          <w:color w:val="000000"/>
          <w:sz w:val="28"/>
        </w:rPr>
        <w:t>4.5 Effect of Environmental and Processing Factors, and Techniques of Stabilisation</w:t>
      </w:r>
    </w:p>
    <w:p>
      <w:pPr>
        <w:keepNext/>
        <w:spacing w:before="160" w:after="40"/>
      </w:pPr>
      <w:r>
        <w:rPr>
          <w:rFonts w:ascii="Comic Sans MS" w:hAnsi="Comic Sans MS" w:cs="Comic Sans MS" w:eastAsia="Comic Sans MS"/>
          <w:b/>
          <w:i w:val="0"/>
          <w:color w:val="000000"/>
          <w:sz w:val="28"/>
        </w:rPr>
        <w:t>4.5.1 Temperature</w:t>
      </w:r>
    </w:p>
    <w:p>
      <w:pPr>
        <w:spacing w:after="160"/>
        <w:jc w:val="both"/>
      </w:pPr>
      <w:r>
        <w:rPr>
          <w:rFonts w:ascii="Comic Sans MS" w:hAnsi="Comic Sans MS" w:cs="Comic Sans MS" w:eastAsia="Comic Sans MS"/>
          <w:b/>
          <w:i w:val="0"/>
          <w:color w:val="000000"/>
          <w:sz w:val="28"/>
        </w:rPr>
        <w:t>Effect.</w:t>
      </w:r>
      <w:r>
        <w:rPr>
          <w:rFonts w:ascii="Comic Sans MS" w:hAnsi="Comic Sans MS" w:cs="Comic Sans MS" w:eastAsia="Comic Sans MS"/>
          <w:b w:val="0"/>
          <w:i w:val="0"/>
          <w:color w:val="000000"/>
          <w:sz w:val="28"/>
        </w:rPr>
        <w:t xml:space="preserve"> Increases the rate of all chemical degradation, and additionally causes melting, softening, sublimation, solvent loss, coalescence of emulsions, polymorphic transition, crystallisation of amorphous solids and loss of protein conformation. Freezing is equally damaging, causing cracking of emulsions, aggregation of proteins, and pH shifts in buffered frozen systems.</w:t>
      </w:r>
    </w:p>
    <w:p>
      <w:pPr>
        <w:spacing w:after="160"/>
        <w:jc w:val="both"/>
      </w:pPr>
      <w:r>
        <w:rPr>
          <w:rFonts w:ascii="Comic Sans MS" w:hAnsi="Comic Sans MS" w:cs="Comic Sans MS" w:eastAsia="Comic Sans MS"/>
          <w:b/>
          <w:i w:val="0"/>
          <w:color w:val="000000"/>
          <w:sz w:val="28"/>
        </w:rPr>
        <w:t>Stabilisation.</w:t>
      </w:r>
      <w:r>
        <w:rPr>
          <w:rFonts w:ascii="Comic Sans MS" w:hAnsi="Comic Sans MS" w:cs="Comic Sans MS" w:eastAsia="Comic Sans MS"/>
          <w:b w:val="0"/>
          <w:i w:val="0"/>
          <w:color w:val="000000"/>
          <w:sz w:val="28"/>
        </w:rPr>
        <w:t xml:space="preserve"> Storage at a controlled and, where necessary, reduced temperature, with an appropriate label statement; selection of the more thermostable salt, polymorph or formulation; lyophilisation where an aqueous solution is inadequate; avoidance of unnecessary heat during processing; and validated cold-chain distribution with temperature monitoring.</w:t>
      </w:r>
    </w:p>
    <w:p>
      <w:pPr>
        <w:keepNext/>
        <w:spacing w:before="160" w:after="40"/>
      </w:pPr>
      <w:r>
        <w:rPr>
          <w:rFonts w:ascii="Comic Sans MS" w:hAnsi="Comic Sans MS" w:cs="Comic Sans MS" w:eastAsia="Comic Sans MS"/>
          <w:b/>
          <w:i w:val="0"/>
          <w:color w:val="000000"/>
          <w:sz w:val="28"/>
        </w:rPr>
        <w:t>4.5.2 pH and Buffer Catalysis</w:t>
      </w:r>
    </w:p>
    <w:p>
      <w:pPr>
        <w:spacing w:after="160"/>
        <w:jc w:val="both"/>
      </w:pPr>
      <w:r>
        <w:rPr>
          <w:rFonts w:ascii="Comic Sans MS" w:hAnsi="Comic Sans MS" w:cs="Comic Sans MS" w:eastAsia="Comic Sans MS"/>
          <w:b/>
          <w:i w:val="0"/>
          <w:color w:val="000000"/>
          <w:sz w:val="28"/>
        </w:rPr>
        <w:t>Effect.</w:t>
      </w:r>
      <w:r>
        <w:rPr>
          <w:rFonts w:ascii="Comic Sans MS" w:hAnsi="Comic Sans MS" w:cs="Comic Sans MS" w:eastAsia="Comic Sans MS"/>
          <w:b w:val="0"/>
          <w:i w:val="0"/>
          <w:color w:val="000000"/>
          <w:sz w:val="28"/>
        </w:rPr>
        <w:t xml:space="preserve"> Hydrolysis is catalysed by hydrogen and hydroxyl ions, and the resulting </w:t>
      </w:r>
      <w:r>
        <w:rPr>
          <w:rFonts w:ascii="Comic Sans MS" w:hAnsi="Comic Sans MS" w:cs="Comic Sans MS" w:eastAsia="Comic Sans MS"/>
          <w:b/>
          <w:i w:val="0"/>
          <w:color w:val="000000"/>
          <w:sz w:val="28"/>
        </w:rPr>
        <w:t>pH-rate profile</w:t>
      </w:r>
      <w:r>
        <w:rPr>
          <w:rFonts w:ascii="Comic Sans MS" w:hAnsi="Comic Sans MS" w:cs="Comic Sans MS" w:eastAsia="Comic Sans MS"/>
          <w:b w:val="0"/>
          <w:i w:val="0"/>
          <w:color w:val="000000"/>
          <w:sz w:val="28"/>
        </w:rPr>
        <w:t>, a plot of the logarithm of the observed rate constant against pH, is the single most valuable diagram in preformulation stability work. Its shape reveals the mechanism: a V-shaped profile indicates specific acid and base catalysis with a minimum at the pH of maximum stability; a sigmoid profile indicates that the ionised and unionised species degrade at different rates; and plateaux indicate solvent-catalysed (water-mediated) regions. Oxidation is also pH dependent, since the redox potential of many drugs changes with the degree of ionisation.</w:t>
      </w:r>
    </w:p>
    <w:p>
      <w:pPr>
        <w:spacing w:after="160"/>
        <w:jc w:val="both"/>
      </w:pPr>
      <w:r>
        <w:rPr>
          <w:rFonts w:ascii="Comic Sans MS" w:hAnsi="Comic Sans MS" w:cs="Comic Sans MS" w:eastAsia="Comic Sans MS"/>
          <w:b w:val="0"/>
          <w:i w:val="0"/>
          <w:color w:val="000000"/>
          <w:sz w:val="28"/>
        </w:rPr>
        <w:t xml:space="preserve">An important and often overlooked phenomenon is </w:t>
      </w:r>
      <w:r>
        <w:rPr>
          <w:rFonts w:ascii="Comic Sans MS" w:hAnsi="Comic Sans MS" w:cs="Comic Sans MS" w:eastAsia="Comic Sans MS"/>
          <w:b/>
          <w:i w:val="0"/>
          <w:color w:val="000000"/>
          <w:sz w:val="28"/>
        </w:rPr>
        <w:t>general acid-base catalysis by buffer components</w:t>
      </w:r>
      <w:r>
        <w:rPr>
          <w:rFonts w:ascii="Comic Sans MS" w:hAnsi="Comic Sans MS" w:cs="Comic Sans MS" w:eastAsia="Comic Sans MS"/>
          <w:b w:val="0"/>
          <w:i w:val="0"/>
          <w:color w:val="000000"/>
          <w:sz w:val="28"/>
        </w:rPr>
        <w:t xml:space="preserve"> themselves. The observed rate constant increases with buffer concentration at constant pH, and the true pH effect must therefore be determined by extrapolating to zero buffer concentration.</w:t>
      </w:r>
    </w:p>
    <w:p>
      <w:pPr>
        <w:spacing w:after="160"/>
        <w:jc w:val="both"/>
      </w:pPr>
      <w:r>
        <w:rPr>
          <w:rFonts w:ascii="Comic Sans MS" w:hAnsi="Comic Sans MS" w:cs="Comic Sans MS" w:eastAsia="Comic Sans MS"/>
          <w:b/>
          <w:i w:val="0"/>
          <w:color w:val="000000"/>
          <w:sz w:val="28"/>
        </w:rPr>
        <w:t>Stabilisation.</w:t>
      </w:r>
      <w:r>
        <w:rPr>
          <w:rFonts w:ascii="Comic Sans MS" w:hAnsi="Comic Sans MS" w:cs="Comic Sans MS" w:eastAsia="Comic Sans MS"/>
          <w:b w:val="0"/>
          <w:i w:val="0"/>
          <w:color w:val="000000"/>
          <w:sz w:val="28"/>
        </w:rPr>
        <w:t xml:space="preserve"> Determine the pH-rate profile and formulate at the pH of maximum stability, using the lowest buffer concentration that will hold the pH; select a buffer species that is not itself catalytic; in solid dosage forms adjust the </w:t>
      </w:r>
      <w:r>
        <w:rPr>
          <w:rFonts w:ascii="Comic Sans MS" w:hAnsi="Comic Sans MS" w:cs="Comic Sans MS" w:eastAsia="Comic Sans MS"/>
          <w:b/>
          <w:i w:val="0"/>
          <w:color w:val="000000"/>
          <w:sz w:val="28"/>
        </w:rPr>
        <w:t>microenvironmental pH</w:t>
      </w:r>
      <w:r>
        <w:rPr>
          <w:rFonts w:ascii="Comic Sans MS" w:hAnsi="Comic Sans MS" w:cs="Comic Sans MS" w:eastAsia="Comic Sans MS"/>
          <w:b w:val="0"/>
          <w:i w:val="0"/>
          <w:color w:val="000000"/>
          <w:sz w:val="28"/>
        </w:rPr>
        <w:t xml:space="preserve"> with acidic or alkaline excipients; and where the pH of maximum stability and that of maximum solubility differ irreconcilably, consider a suspension, a non-aqueous vehicle or a lyophilised product.</w:t>
      </w:r>
    </w:p>
    <w:p>
      <w:pPr>
        <w:keepNext/>
        <w:spacing w:before="160" w:after="40"/>
      </w:pPr>
      <w:r>
        <w:rPr>
          <w:rFonts w:ascii="Comic Sans MS" w:hAnsi="Comic Sans MS" w:cs="Comic Sans MS" w:eastAsia="Comic Sans MS"/>
          <w:b/>
          <w:i w:val="0"/>
          <w:color w:val="000000"/>
          <w:sz w:val="28"/>
        </w:rPr>
        <w:t>4.5.3 Moisture and Water Activity</w:t>
      </w:r>
    </w:p>
    <w:p>
      <w:pPr>
        <w:spacing w:after="160"/>
        <w:jc w:val="both"/>
      </w:pPr>
      <w:r>
        <w:rPr>
          <w:rFonts w:ascii="Comic Sans MS" w:hAnsi="Comic Sans MS" w:cs="Comic Sans MS" w:eastAsia="Comic Sans MS"/>
          <w:b/>
          <w:i w:val="0"/>
          <w:color w:val="000000"/>
          <w:sz w:val="28"/>
        </w:rPr>
        <w:t>Effect.</w:t>
      </w:r>
      <w:r>
        <w:rPr>
          <w:rFonts w:ascii="Comic Sans MS" w:hAnsi="Comic Sans MS" w:cs="Comic Sans MS" w:eastAsia="Comic Sans MS"/>
          <w:b w:val="0"/>
          <w:i w:val="0"/>
          <w:color w:val="000000"/>
          <w:sz w:val="28"/>
        </w:rPr>
        <w:t xml:space="preserve"> Water is the medium in which hydrolysis occurs and the plasticiser that mobilises amorphous solids. In the solid state it is not the total water content but the </w:t>
      </w:r>
      <w:r>
        <w:rPr>
          <w:rFonts w:ascii="Comic Sans MS" w:hAnsi="Comic Sans MS" w:cs="Comic Sans MS" w:eastAsia="Comic Sans MS"/>
          <w:b/>
          <w:i w:val="0"/>
          <w:color w:val="000000"/>
          <w:sz w:val="28"/>
        </w:rPr>
        <w:t>water activity</w:t>
      </w:r>
      <w:r>
        <w:rPr>
          <w:rFonts w:ascii="Comic Sans MS" w:hAnsi="Comic Sans MS" w:cs="Comic Sans MS" w:eastAsia="Comic Sans MS"/>
          <w:b w:val="0"/>
          <w:i w:val="0"/>
          <w:color w:val="000000"/>
          <w:sz w:val="28"/>
        </w:rPr>
        <w:t>, that is, the availability of the water, that governs reactivity; water tightly bound as a hydrate may be harmless while a much smaller quantity of free surface water is destructive. Moisture also promotes caking, microbial growth, dissolution slowing, and the lowering of the glass transition temperature that precipitates recrystallisation of amorphous dispersions.</w:t>
      </w:r>
    </w:p>
    <w:p>
      <w:pPr>
        <w:spacing w:after="160"/>
        <w:jc w:val="both"/>
      </w:pPr>
      <w:r>
        <w:rPr>
          <w:rFonts w:ascii="Comic Sans MS" w:hAnsi="Comic Sans MS" w:cs="Comic Sans MS" w:eastAsia="Comic Sans MS"/>
          <w:b/>
          <w:i w:val="0"/>
          <w:color w:val="000000"/>
          <w:sz w:val="28"/>
        </w:rPr>
        <w:t>Stabilisation.</w:t>
      </w:r>
      <w:r>
        <w:rPr>
          <w:rFonts w:ascii="Comic Sans MS" w:hAnsi="Comic Sans MS" w:cs="Comic Sans MS" w:eastAsia="Comic Sans MS"/>
          <w:b w:val="0"/>
          <w:i w:val="0"/>
          <w:color w:val="000000"/>
          <w:sz w:val="28"/>
        </w:rPr>
        <w:t xml:space="preserve"> Control of moisture in raw materials and of humidity in the manufacturing area; selection of excipients of low water activity rather than merely low water content; drying to an optimum, not a minimum, moisture level; use of desiccants such as silica gel and molecular sieves in the package; high-barrier packaging, for example aluminium-aluminium blisters or high-density polyethylene bottles with induction seals; film coating to retard moisture ingress; and formulation as a dry powder for reconstitution.</w:t>
      </w:r>
    </w:p>
    <w:p>
      <w:pPr>
        <w:keepNext/>
        <w:spacing w:before="160" w:after="40"/>
      </w:pPr>
      <w:r>
        <w:rPr>
          <w:rFonts w:ascii="Comic Sans MS" w:hAnsi="Comic Sans MS" w:cs="Comic Sans MS" w:eastAsia="Comic Sans MS"/>
          <w:b/>
          <w:i w:val="0"/>
          <w:color w:val="000000"/>
          <w:sz w:val="28"/>
        </w:rPr>
        <w:t>4.5.4 Light</w:t>
      </w:r>
    </w:p>
    <w:p>
      <w:pPr>
        <w:spacing w:after="160"/>
        <w:jc w:val="both"/>
      </w:pPr>
      <w:r>
        <w:rPr>
          <w:rFonts w:ascii="Comic Sans MS" w:hAnsi="Comic Sans MS" w:cs="Comic Sans MS" w:eastAsia="Comic Sans MS"/>
          <w:b/>
          <w:i w:val="0"/>
          <w:color w:val="000000"/>
          <w:sz w:val="28"/>
        </w:rPr>
        <w:t>Effect.</w:t>
      </w:r>
      <w:r>
        <w:rPr>
          <w:rFonts w:ascii="Comic Sans MS" w:hAnsi="Comic Sans MS" w:cs="Comic Sans MS" w:eastAsia="Comic Sans MS"/>
          <w:b w:val="0"/>
          <w:i w:val="0"/>
          <w:color w:val="000000"/>
          <w:sz w:val="28"/>
        </w:rPr>
        <w:t xml:space="preserve"> Absorption of ultraviolet or visible radiation excites the molecule and initiates photo-oxidation, photoreduction, ring rearrangement, dimerisation, dehalogenation or polymerisation. Only radiation that is absorbed can cause photodegradation, so the ultraviolet-visible absorption spectrum indicates the risk. Discoloration, precipitation and loss of potency result. Nifedipine, sodium nitroprusside, riboflavin, folic acid, furosemide, chlorpromazine, amiodarone and the phenothiazines are well-documented examples.</w:t>
      </w:r>
    </w:p>
    <w:p>
      <w:pPr>
        <w:spacing w:after="160"/>
        <w:jc w:val="both"/>
      </w:pPr>
      <w:r>
        <w:rPr>
          <w:rFonts w:ascii="Comic Sans MS" w:hAnsi="Comic Sans MS" w:cs="Comic Sans MS" w:eastAsia="Comic Sans MS"/>
          <w:b/>
          <w:i w:val="0"/>
          <w:color w:val="000000"/>
          <w:sz w:val="28"/>
        </w:rPr>
        <w:t>Stabilisation.</w:t>
      </w:r>
      <w:r>
        <w:rPr>
          <w:rFonts w:ascii="Comic Sans MS" w:hAnsi="Comic Sans MS" w:cs="Comic Sans MS" w:eastAsia="Comic Sans MS"/>
          <w:b w:val="0"/>
          <w:i w:val="0"/>
          <w:color w:val="000000"/>
          <w:sz w:val="28"/>
        </w:rPr>
        <w:t xml:space="preserve"> Amber or opaque primary containers; secondary cartons, aluminium foil overwraps and light-resistant sleeves; incorporation of opacifiers such as titanium dioxide and of coloured pigments and iron oxides into film coats; addition of ultraviolet absorbers; complexation with cyclodextrins; and appropriate label statements such as "protect from light". Protection must be demonstrated, not assumed, by testing according to ICH Q1B.</w:t>
      </w:r>
    </w:p>
    <w:p>
      <w:pPr>
        <w:keepNext/>
        <w:spacing w:before="160" w:after="40"/>
      </w:pPr>
      <w:r>
        <w:rPr>
          <w:rFonts w:ascii="Comic Sans MS" w:hAnsi="Comic Sans MS" w:cs="Comic Sans MS" w:eastAsia="Comic Sans MS"/>
          <w:b/>
          <w:i w:val="0"/>
          <w:color w:val="000000"/>
          <w:sz w:val="28"/>
        </w:rPr>
        <w:t>4.5.5 Oxygen and Oxidising Agents</w:t>
      </w:r>
    </w:p>
    <w:p>
      <w:pPr>
        <w:spacing w:after="160"/>
        <w:jc w:val="both"/>
      </w:pPr>
      <w:r>
        <w:rPr>
          <w:rFonts w:ascii="Comic Sans MS" w:hAnsi="Comic Sans MS" w:cs="Comic Sans MS" w:eastAsia="Comic Sans MS"/>
          <w:b/>
          <w:i w:val="0"/>
          <w:color w:val="000000"/>
          <w:sz w:val="28"/>
        </w:rPr>
        <w:t>Effect.</w:t>
      </w:r>
      <w:r>
        <w:rPr>
          <w:rFonts w:ascii="Comic Sans MS" w:hAnsi="Comic Sans MS" w:cs="Comic Sans MS" w:eastAsia="Comic Sans MS"/>
          <w:b w:val="0"/>
          <w:i w:val="0"/>
          <w:color w:val="000000"/>
          <w:sz w:val="28"/>
        </w:rPr>
        <w:t xml:space="preserve"> Autoxidation proceeds by a free-radical chain mechanism initiated by traces of transition metals, peroxides, light or heat, and shows a characteristic induction period followed by rapid decomposition. Peroxide impurities present in povidone, polysorbates and polyethylene glycols are a frequent hidden cause.</w:t>
      </w:r>
    </w:p>
    <w:p>
      <w:pPr>
        <w:spacing w:after="160"/>
        <w:jc w:val="both"/>
      </w:pPr>
      <w:r>
        <w:rPr>
          <w:rFonts w:ascii="Comic Sans MS" w:hAnsi="Comic Sans MS" w:cs="Comic Sans MS" w:eastAsia="Comic Sans MS"/>
          <w:b/>
          <w:i w:val="0"/>
          <w:color w:val="000000"/>
          <w:sz w:val="28"/>
        </w:rPr>
        <w:t>Stabilisation.</w:t>
      </w:r>
      <w:r>
        <w:rPr>
          <w:rFonts w:ascii="Comic Sans MS" w:hAnsi="Comic Sans MS" w:cs="Comic Sans MS" w:eastAsia="Comic Sans MS"/>
          <w:b w:val="0"/>
          <w:i w:val="0"/>
          <w:color w:val="000000"/>
          <w:sz w:val="28"/>
        </w:rPr>
        <w:t xml:space="preserve"> Reduce the oxygen concentration by sparging the solution and the headspace with nitrogen or argon, and by vacuum or gas flushing at filling; add antioxidants, either true antioxidants and reducing agents such as sodium metabisulphite, sodium sulphite, ascorbic acid and cysteine, or chain terminators such as butylated hydroxyanisole, butylated hydroxytoluene, propyl gallate and alpha-tocopherol; add synergists and </w:t>
      </w:r>
      <w:r>
        <w:rPr>
          <w:rFonts w:ascii="Comic Sans MS" w:hAnsi="Comic Sans MS" w:cs="Comic Sans MS" w:eastAsia="Comic Sans MS"/>
          <w:b/>
          <w:i w:val="0"/>
          <w:color w:val="000000"/>
          <w:sz w:val="28"/>
        </w:rPr>
        <w:t>chelating agents</w:t>
      </w:r>
      <w:r>
        <w:rPr>
          <w:rFonts w:ascii="Comic Sans MS" w:hAnsi="Comic Sans MS" w:cs="Comic Sans MS" w:eastAsia="Comic Sans MS"/>
          <w:b w:val="0"/>
          <w:i w:val="0"/>
          <w:color w:val="000000"/>
          <w:sz w:val="28"/>
        </w:rPr>
        <w:t xml:space="preserve"> such as edetate disodium, citric acid and tartaric acid to sequester metal ions; control pH; specify low-peroxide grades of excipients; protect from light; and use oxygen-barrier packaging and oxygen scavengers.</w:t>
      </w:r>
    </w:p>
    <w:p>
      <w:pPr>
        <w:keepNext/>
        <w:spacing w:before="160" w:after="40"/>
      </w:pPr>
      <w:r>
        <w:rPr>
          <w:rFonts w:ascii="Comic Sans MS" w:hAnsi="Comic Sans MS" w:cs="Comic Sans MS" w:eastAsia="Comic Sans MS"/>
          <w:b/>
          <w:i w:val="0"/>
          <w:color w:val="000000"/>
          <w:sz w:val="28"/>
        </w:rPr>
        <w:t>4.5.6 Excipients, Container Closure and Other Chemical Factors</w:t>
      </w:r>
    </w:p>
    <w:p>
      <w:pPr>
        <w:spacing w:after="160"/>
        <w:jc w:val="both"/>
      </w:pPr>
      <w:r>
        <w:rPr>
          <w:rFonts w:ascii="Comic Sans MS" w:hAnsi="Comic Sans MS" w:cs="Comic Sans MS" w:eastAsia="Comic Sans MS"/>
          <w:b w:val="0"/>
          <w:i w:val="0"/>
          <w:color w:val="000000"/>
          <w:sz w:val="28"/>
        </w:rPr>
        <w:t>Excipient-mediated degradation has been described in Unit I; the principal mechanisms are the Maillard reaction with reducing sugars, alkaline or acidic shift of the microenvironmental pH, peroxide and formaldehyde impurities, moisture donation, and metal ion catalysis. Container-related effects include adsorption of drug or preservative onto plastic, leaching of plasticisers, extractables and leachables from rubber closures, alkali extraction from inadequately treated glass, permeation of moisture and oxygen through plastic, and loss of volatile constituents. These are controlled by excipient grade selection and functional specification, by compatibility testing, by choice of Type I glass or coated containers, and by formal extractables and leachables studies.</w:t>
      </w:r>
    </w:p>
    <w:p>
      <w:pPr>
        <w:spacing w:after="160"/>
        <w:jc w:val="both"/>
      </w:pPr>
      <w:r>
        <w:rPr>
          <w:rFonts w:ascii="Comic Sans MS" w:hAnsi="Comic Sans MS" w:cs="Comic Sans MS" w:eastAsia="Comic Sans MS"/>
          <w:b/>
          <w:i w:val="0"/>
          <w:color w:val="000000"/>
          <w:sz w:val="28"/>
        </w:rPr>
        <w:t>Ionic strength</w:t>
      </w:r>
      <w:r>
        <w:rPr>
          <w:rFonts w:ascii="Comic Sans MS" w:hAnsi="Comic Sans MS" w:cs="Comic Sans MS" w:eastAsia="Comic Sans MS"/>
          <w:b w:val="0"/>
          <w:i w:val="0"/>
          <w:color w:val="000000"/>
          <w:sz w:val="28"/>
        </w:rPr>
        <w:t xml:space="preserve"> also affects the rate of reactions between ionic species, as described by the Debye-Huckel relationship, and the </w:t>
      </w:r>
      <w:r>
        <w:rPr>
          <w:rFonts w:ascii="Comic Sans MS" w:hAnsi="Comic Sans MS" w:cs="Comic Sans MS" w:eastAsia="Comic Sans MS"/>
          <w:b/>
          <w:i w:val="0"/>
          <w:color w:val="000000"/>
          <w:sz w:val="28"/>
        </w:rPr>
        <w:t>dielectric constant</w:t>
      </w:r>
      <w:r>
        <w:rPr>
          <w:rFonts w:ascii="Comic Sans MS" w:hAnsi="Comic Sans MS" w:cs="Comic Sans MS" w:eastAsia="Comic Sans MS"/>
          <w:b w:val="0"/>
          <w:i w:val="0"/>
          <w:color w:val="000000"/>
          <w:sz w:val="28"/>
        </w:rPr>
        <w:t xml:space="preserve"> of the medium affects both the rate and, sometimes, the mechanism, which is one reason why cosolvents can either stabilise or destabilise a drug.</w:t>
      </w:r>
    </w:p>
    <w:p>
      <w:pPr>
        <w:keepNext/>
        <w:spacing w:before="160" w:after="40"/>
      </w:pPr>
      <w:r>
        <w:rPr>
          <w:rFonts w:ascii="Comic Sans MS" w:hAnsi="Comic Sans MS" w:cs="Comic Sans MS" w:eastAsia="Comic Sans MS"/>
          <w:b/>
          <w:i w:val="0"/>
          <w:color w:val="000000"/>
          <w:sz w:val="28"/>
        </w:rPr>
        <w:t>4.5.7 Processing Factors</w:t>
      </w:r>
    </w:p>
    <w:p>
      <w:pPr>
        <w:spacing w:after="160"/>
        <w:jc w:val="both"/>
      </w:pPr>
      <w:r>
        <w:rPr>
          <w:rFonts w:ascii="Comic Sans MS" w:hAnsi="Comic Sans MS" w:cs="Comic Sans MS" w:eastAsia="Comic Sans MS"/>
          <w:b w:val="0"/>
          <w:i w:val="0"/>
          <w:color w:val="000000"/>
          <w:sz w:val="28"/>
        </w:rPr>
        <w:t>Manufacturing operations themselves impose stresses that can degrade the product or alter its physical form.</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Heat.</w:t>
      </w:r>
      <w:r>
        <w:rPr>
          <w:rFonts w:ascii="Comic Sans MS" w:hAnsi="Comic Sans MS" w:cs="Comic Sans MS" w:eastAsia="Comic Sans MS"/>
          <w:b w:val="0"/>
          <w:i w:val="0"/>
          <w:color w:val="000000"/>
          <w:sz w:val="28"/>
        </w:rPr>
        <w:t xml:space="preserve"> Applied during wet granulation and drying, hot-melt extrusion, film coating, melt filling of capsules and suppositories, and terminal sterilisation. Remedies include dry granulation or direct compression, fluid-bed drying at reduced inlet temperature, microwave or vacuum drying, and aseptic processing or sterilising filtration in place of terminal heat sterilisation.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Moisture from processing.</w:t>
      </w:r>
      <w:r>
        <w:rPr>
          <w:rFonts w:ascii="Comic Sans MS" w:hAnsi="Comic Sans MS" w:cs="Comic Sans MS" w:eastAsia="Comic Sans MS"/>
          <w:b w:val="0"/>
          <w:i w:val="0"/>
          <w:color w:val="000000"/>
          <w:sz w:val="28"/>
        </w:rPr>
        <w:t xml:space="preserve"> Wet granulation introduces water that may hydrolyse the drug, form a hydrate, or plasticise an amorphous dispersion. Remedies are non-aqueous granulation with ethanol or isopropanol, dry granulation by roller compaction or slugging, and direct compression.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Mechanical stress in milling and micronisation.</w:t>
      </w:r>
      <w:r>
        <w:rPr>
          <w:rFonts w:ascii="Comic Sans MS" w:hAnsi="Comic Sans MS" w:cs="Comic Sans MS" w:eastAsia="Comic Sans MS"/>
          <w:b w:val="0"/>
          <w:i w:val="0"/>
          <w:color w:val="000000"/>
          <w:sz w:val="28"/>
        </w:rPr>
        <w:t xml:space="preserve"> Generates localised heat and pressure, creates lattice defects and amorphous surface regions, and can cause polymorphic conversion and increased chemical reactivity. Remedies are controlled, cooled milling, cryogenic milling, or crystallisation directly to the required particle size.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Compression.</w:t>
      </w:r>
      <w:r>
        <w:rPr>
          <w:rFonts w:ascii="Comic Sans MS" w:hAnsi="Comic Sans MS" w:cs="Comic Sans MS" w:eastAsia="Comic Sans MS"/>
          <w:b w:val="0"/>
          <w:i w:val="0"/>
          <w:color w:val="000000"/>
          <w:sz w:val="28"/>
        </w:rPr>
        <w:t xml:space="preserve"> High compaction pressure can induce polymorphic transition, crystallisation of an amorphous form, and thermal degradation at points of contact, as well as reducing dissolution. Remedies are minimisation of compression force consistent with adequate tablet strength, and use of plastically deforming excipients.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Shear and interfacial stress.</w:t>
      </w:r>
      <w:r>
        <w:rPr>
          <w:rFonts w:ascii="Comic Sans MS" w:hAnsi="Comic Sans MS" w:cs="Comic Sans MS" w:eastAsia="Comic Sans MS"/>
          <w:b w:val="0"/>
          <w:i w:val="0"/>
          <w:color w:val="000000"/>
          <w:sz w:val="28"/>
        </w:rPr>
        <w:t xml:space="preserve"> Critical for proteins and emulsions, in which pumping, filtration, homogenisation and filling generate air-liquid and solid-liquid interfaces that denature protein and coalesce droplets. Remedies are gentle handling, addition of non-ionic surfactant, avoidance of foaming, and minimisation of the number of transfer steps.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Freeze-drying.</w:t>
      </w:r>
      <w:r>
        <w:rPr>
          <w:rFonts w:ascii="Comic Sans MS" w:hAnsi="Comic Sans MS" w:cs="Comic Sans MS" w:eastAsia="Comic Sans MS"/>
          <w:b w:val="0"/>
          <w:i w:val="0"/>
          <w:color w:val="000000"/>
          <w:sz w:val="28"/>
        </w:rPr>
        <w:t xml:space="preserve"> Freezing concentrates solutes, shifts pH, and creates ice-water interfaces; drying removes the hydration shell. Remedies are careful selection of buffer (avoiding phosphate in frozen systems), inclusion of cryoprotectants and lyoprotectants such as sucrose and trehalose, and control of the primary drying temperature below the collapse temperature.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Sterilisation.</w:t>
      </w:r>
      <w:r>
        <w:rPr>
          <w:rFonts w:ascii="Comic Sans MS" w:hAnsi="Comic Sans MS" w:cs="Comic Sans MS" w:eastAsia="Comic Sans MS"/>
          <w:b w:val="0"/>
          <w:i w:val="0"/>
          <w:color w:val="000000"/>
          <w:sz w:val="28"/>
        </w:rPr>
        <w:t xml:space="preserve"> Heat, radiation and ethylene oxide each impose a specific chemical stress; the method must be selected in the light of the stability data and validated for the particular product.</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Light exposure during manufacture,</w:t>
      </w:r>
      <w:r>
        <w:rPr>
          <w:rFonts w:ascii="Comic Sans MS" w:hAnsi="Comic Sans MS" w:cs="Comic Sans MS" w:eastAsia="Comic Sans MS"/>
          <w:b w:val="0"/>
          <w:i w:val="0"/>
          <w:color w:val="000000"/>
          <w:sz w:val="28"/>
        </w:rPr>
        <w:t xml:space="preserve"> often neglected, may be significant for highly photolabile drugs, and processing under subdued or filtered light may be required.</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Equipment contact.</w:t>
      </w:r>
      <w:r>
        <w:rPr>
          <w:rFonts w:ascii="Comic Sans MS" w:hAnsi="Comic Sans MS" w:cs="Comic Sans MS" w:eastAsia="Comic Sans MS"/>
          <w:b w:val="0"/>
          <w:i w:val="0"/>
          <w:color w:val="000000"/>
          <w:sz w:val="28"/>
        </w:rPr>
        <w:t xml:space="preserve"> Metal ions abraded from stainless steel may catalyse oxidation; adsorption of low-dose drug onto equipment surfaces causes content loss.</w:t>
      </w:r>
    </w:p>
    <w:p>
      <w:pPr>
        <w:keepNext/>
        <w:spacing w:before="160" w:after="40"/>
      </w:pPr>
      <w:r>
        <w:rPr>
          <w:rFonts w:ascii="Comic Sans MS" w:hAnsi="Comic Sans MS" w:cs="Comic Sans MS" w:eastAsia="Comic Sans MS"/>
          <w:b/>
          <w:i w:val="0"/>
          <w:color w:val="000000"/>
          <w:sz w:val="28"/>
        </w:rPr>
        <w:t>4.6 Regulatory Requirements for Stability Testing</w:t>
      </w:r>
    </w:p>
    <w:p>
      <w:pPr>
        <w:keepNext/>
        <w:spacing w:before="160" w:after="40"/>
      </w:pPr>
      <w:r>
        <w:rPr>
          <w:rFonts w:ascii="Comic Sans MS" w:hAnsi="Comic Sans MS" w:cs="Comic Sans MS" w:eastAsia="Comic Sans MS"/>
          <w:b/>
          <w:i w:val="0"/>
          <w:color w:val="000000"/>
          <w:sz w:val="28"/>
        </w:rPr>
        <w:t>4.6.1 The ICH Stability Guidelines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Q1A(R2)</w:t>
      </w:r>
      <w:r>
        <w:rPr>
          <w:rFonts w:ascii="Comic Sans MS" w:hAnsi="Comic Sans MS" w:cs="Comic Sans MS" w:eastAsia="Comic Sans MS"/>
          <w:b w:val="0"/>
          <w:i w:val="0"/>
          <w:color w:val="000000"/>
          <w:sz w:val="28"/>
        </w:rPr>
        <w:t xml:space="preserve"> Stability testing of new drug substances and products, the parent guideline.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Q1B</w:t>
      </w:r>
      <w:r>
        <w:rPr>
          <w:rFonts w:ascii="Comic Sans MS" w:hAnsi="Comic Sans MS" w:cs="Comic Sans MS" w:eastAsia="Comic Sans MS"/>
          <w:b w:val="0"/>
          <w:i w:val="0"/>
          <w:color w:val="000000"/>
          <w:sz w:val="28"/>
        </w:rPr>
        <w:t xml:space="preserve"> Photostability testing of new drug substances and products.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Q1C</w:t>
      </w:r>
      <w:r>
        <w:rPr>
          <w:rFonts w:ascii="Comic Sans MS" w:hAnsi="Comic Sans MS" w:cs="Comic Sans MS" w:eastAsia="Comic Sans MS"/>
          <w:b w:val="0"/>
          <w:i w:val="0"/>
          <w:color w:val="000000"/>
          <w:sz w:val="28"/>
        </w:rPr>
        <w:t xml:space="preserve"> Stability testing for new dosage forms.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Q1D</w:t>
      </w:r>
      <w:r>
        <w:rPr>
          <w:rFonts w:ascii="Comic Sans MS" w:hAnsi="Comic Sans MS" w:cs="Comic Sans MS" w:eastAsia="Comic Sans MS"/>
          <w:b w:val="0"/>
          <w:i w:val="0"/>
          <w:color w:val="000000"/>
          <w:sz w:val="28"/>
        </w:rPr>
        <w:t xml:space="preserve"> Bracketing and matrixing designs for stability testing.</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Q1E</w:t>
      </w:r>
      <w:r>
        <w:rPr>
          <w:rFonts w:ascii="Comic Sans MS" w:hAnsi="Comic Sans MS" w:cs="Comic Sans MS" w:eastAsia="Comic Sans MS"/>
          <w:b w:val="0"/>
          <w:i w:val="0"/>
          <w:color w:val="000000"/>
          <w:sz w:val="28"/>
        </w:rPr>
        <w:t xml:space="preserve"> Evaluation of stability data, including extrapolation.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Q1F</w:t>
      </w:r>
      <w:r>
        <w:rPr>
          <w:rFonts w:ascii="Comic Sans MS" w:hAnsi="Comic Sans MS" w:cs="Comic Sans MS" w:eastAsia="Comic Sans MS"/>
          <w:b w:val="0"/>
          <w:i w:val="0"/>
          <w:color w:val="000000"/>
          <w:sz w:val="28"/>
        </w:rPr>
        <w:t xml:space="preserve"> Stability data package for registration in climatic zones III and IV (subsequently withdrawn by ICH, with the setting of conditions for those zones left to the individual regions and to WHO).</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Q5C</w:t>
      </w:r>
      <w:r>
        <w:rPr>
          <w:rFonts w:ascii="Comic Sans MS" w:hAnsi="Comic Sans MS" w:cs="Comic Sans MS" w:eastAsia="Comic Sans MS"/>
          <w:b w:val="0"/>
          <w:i w:val="0"/>
          <w:color w:val="000000"/>
          <w:sz w:val="28"/>
        </w:rPr>
        <w:t xml:space="preserve"> Stability testing of biotechnological and biological products.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Q3A(R2) and Q3B(R2)</w:t>
      </w:r>
      <w:r>
        <w:rPr>
          <w:rFonts w:ascii="Comic Sans MS" w:hAnsi="Comic Sans MS" w:cs="Comic Sans MS" w:eastAsia="Comic Sans MS"/>
          <w:b w:val="0"/>
          <w:i w:val="0"/>
          <w:color w:val="000000"/>
          <w:sz w:val="28"/>
        </w:rPr>
        <w:t xml:space="preserve"> Impurities in new drug substances and in new drug products, which govern the reporting, identification and qualification of degradation products found in stability studies.</w:t>
      </w:r>
    </w:p>
    <w:p>
      <w:pPr>
        <w:spacing w:after="160"/>
        <w:jc w:val="both"/>
      </w:pPr>
      <w:r>
        <w:rPr>
          <w:rFonts w:ascii="Comic Sans MS" w:hAnsi="Comic Sans MS" w:cs="Comic Sans MS" w:eastAsia="Comic Sans MS"/>
          <w:b w:val="0"/>
          <w:i w:val="0"/>
          <w:color w:val="000000"/>
          <w:sz w:val="28"/>
        </w:rPr>
        <w:t>In India these are implemented through Schedule Y and the relevant provisions of the Drugs and Cosmetics Rules, and through the guidance of the Central Drugs Standard Control Organisation; the WHO guidelines on stability testing of active pharmaceutical ingredients and finished pharmaceutical products apply to prequalified products.</w:t>
      </w:r>
    </w:p>
    <w:p>
      <w:pPr>
        <w:keepNext/>
        <w:spacing w:before="160" w:after="40"/>
      </w:pPr>
      <w:r>
        <w:rPr>
          <w:rFonts w:ascii="Comic Sans MS" w:hAnsi="Comic Sans MS" w:cs="Comic Sans MS" w:eastAsia="Comic Sans MS"/>
          <w:b/>
          <w:i w:val="0"/>
          <w:color w:val="000000"/>
          <w:sz w:val="28"/>
        </w:rPr>
        <w:t>4.6.2 General Requirements of Q1A(R2)</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Stress testing</w:t>
      </w:r>
      <w:r>
        <w:rPr>
          <w:rFonts w:ascii="Comic Sans MS" w:hAnsi="Comic Sans MS" w:cs="Comic Sans MS" w:eastAsia="Comic Sans MS"/>
          <w:b w:val="0"/>
          <w:i w:val="0"/>
          <w:color w:val="000000"/>
          <w:sz w:val="28"/>
        </w:rPr>
        <w:t xml:space="preserve"> is carried out on a single batch of drug substance, and normally examines the effect of temperature in increments above the accelerated condition, of humidity where appropriate, of oxidation, of hydrolysis across a range of pH values, and of light as specified in Q1B.</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Selection of batches.</w:t>
      </w:r>
      <w:r>
        <w:rPr>
          <w:rFonts w:ascii="Comic Sans MS" w:hAnsi="Comic Sans MS" w:cs="Comic Sans MS" w:eastAsia="Comic Sans MS"/>
          <w:b w:val="0"/>
          <w:i w:val="0"/>
          <w:color w:val="000000"/>
          <w:sz w:val="28"/>
        </w:rPr>
        <w:t xml:space="preserve"> Data from a minimum of </w:t>
      </w:r>
      <w:r>
        <w:rPr>
          <w:rFonts w:ascii="Comic Sans MS" w:hAnsi="Comic Sans MS" w:cs="Comic Sans MS" w:eastAsia="Comic Sans MS"/>
          <w:b/>
          <w:i w:val="0"/>
          <w:color w:val="000000"/>
          <w:sz w:val="28"/>
        </w:rPr>
        <w:t>three primary batches</w:t>
      </w:r>
      <w:r>
        <w:rPr>
          <w:rFonts w:ascii="Comic Sans MS" w:hAnsi="Comic Sans MS" w:cs="Comic Sans MS" w:eastAsia="Comic Sans MS"/>
          <w:b w:val="0"/>
          <w:i w:val="0"/>
          <w:color w:val="000000"/>
          <w:sz w:val="28"/>
        </w:rPr>
        <w:t xml:space="preserve"> are required. For the drug substance the batches should be manufactured to a minimum of pilot scale by the same route and method as production batches. For the drug product, the three batches should be of the same formulation and packaging as proposed for marketing, and at least two should be at least pilot scale, the third being smaller if justified.</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Container closure system.</w:t>
      </w:r>
      <w:r>
        <w:rPr>
          <w:rFonts w:ascii="Comic Sans MS" w:hAnsi="Comic Sans MS" w:cs="Comic Sans MS" w:eastAsia="Comic Sans MS"/>
          <w:b w:val="0"/>
          <w:i w:val="0"/>
          <w:color w:val="000000"/>
          <w:sz w:val="28"/>
        </w:rPr>
        <w:t xml:space="preserve"> Testing must be performed in the container closure system proposed for storage and distribution.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Specification.</w:t>
      </w:r>
      <w:r>
        <w:rPr>
          <w:rFonts w:ascii="Comic Sans MS" w:hAnsi="Comic Sans MS" w:cs="Comic Sans MS" w:eastAsia="Comic Sans MS"/>
          <w:b w:val="0"/>
          <w:i w:val="0"/>
          <w:color w:val="000000"/>
          <w:sz w:val="28"/>
        </w:rPr>
        <w:t xml:space="preserve"> The stability specification must include those attributes susceptible to change, and must cover physical, chemical, biological and microbiological attributes, preservative content and functionality tests. Analytical procedures must be fully validated and stability indicating. Shelf-life and release acceptance criteria may differ, and for a preservative the shelf-life criterion must be supported by efficacy testing.</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Testing frequency.</w:t>
      </w:r>
      <w:r>
        <w:rPr>
          <w:rFonts w:ascii="Comic Sans MS" w:hAnsi="Comic Sans MS" w:cs="Comic Sans MS" w:eastAsia="Comic Sans MS"/>
          <w:b w:val="0"/>
          <w:i w:val="0"/>
          <w:color w:val="000000"/>
          <w:sz w:val="28"/>
        </w:rPr>
        <w:t xml:space="preserve"> For long-term studies, normally every three months over the first year, every six months over the second year, and annually thereafter through the proposed shelf life. For accelerated studies of six months, a minimum of three time points including the initial and final point, for example 0, 3 and 6 months. For intermediate studies, a minimum of four time points including initial and final, for example 0, 6, 9 and 12 months.</w:t>
      </w:r>
    </w:p>
    <w:p>
      <w:pPr>
        <w:keepNext/>
        <w:spacing w:before="160" w:after="40"/>
      </w:pPr>
      <w:r>
        <w:rPr>
          <w:rFonts w:ascii="Comic Sans MS" w:hAnsi="Comic Sans MS" w:cs="Comic Sans MS" w:eastAsia="Comic Sans MS"/>
          <w:b/>
          <w:i w:val="0"/>
          <w:color w:val="000000"/>
          <w:sz w:val="28"/>
        </w:rPr>
        <w:t>4.6.3 Storage Conditions</w:t>
      </w:r>
    </w:p>
    <w:p>
      <w:pPr>
        <w:spacing w:after="160"/>
        <w:jc w:val="both"/>
      </w:pPr>
      <w:r>
        <w:rPr>
          <w:rFonts w:ascii="Comic Sans MS" w:hAnsi="Comic Sans MS" w:cs="Comic Sans MS" w:eastAsia="Comic Sans MS"/>
          <w:b/>
          <w:i w:val="0"/>
          <w:color w:val="000000"/>
          <w:sz w:val="28"/>
        </w:rPr>
        <w:t>Drug substance and drug product - general case:</w:t>
      </w:r>
    </w:p>
    <w:tbl>
      <w:tblPr>
        <w:tblStyle w:val="TableGrid"/>
        <w:tblW w:type="auto" w:w="0"/>
        <w:jc w:val="center"/>
        <w:tblLook w:firstColumn="1" w:firstRow="1" w:lastColumn="0" w:lastRow="0" w:noHBand="0" w:noVBand="1" w:val="04A0"/>
      </w:tblPr>
      <w:tblGrid>
        <w:gridCol w:w="3120"/>
        <w:gridCol w:w="3120"/>
        <w:gridCol w:w="3120"/>
      </w:tblGrid>
      <w:tr>
        <w:tc>
          <w:tcPr>
            <w:tcW w:type="dxa" w:w="2160"/>
          </w:tcPr>
          <w:p>
            <w:pPr>
              <w:spacing w:after="20" w:before="20" w:line="300" w:lineRule="exact"/>
            </w:pPr>
            <w:r/>
            <w:r>
              <w:rPr>
                <w:rFonts w:ascii="Comic Sans MS" w:hAnsi="Comic Sans MS" w:cs="Comic Sans MS" w:eastAsia="Comic Sans MS"/>
                <w:b/>
                <w:i w:val="0"/>
                <w:color w:val="000000"/>
                <w:sz w:val="22"/>
              </w:rPr>
              <w:t>Study</w:t>
            </w:r>
          </w:p>
        </w:tc>
        <w:tc>
          <w:tcPr>
            <w:tcW w:type="dxa" w:w="4032"/>
          </w:tcPr>
          <w:p>
            <w:pPr>
              <w:spacing w:after="20" w:before="20" w:line="300" w:lineRule="exact"/>
            </w:pPr>
            <w:r/>
            <w:r>
              <w:rPr>
                <w:rFonts w:ascii="Comic Sans MS" w:hAnsi="Comic Sans MS" w:cs="Comic Sans MS" w:eastAsia="Comic Sans MS"/>
                <w:b/>
                <w:i w:val="0"/>
                <w:color w:val="000000"/>
                <w:sz w:val="22"/>
              </w:rPr>
              <w:t>Storage condition</w:t>
            </w:r>
          </w:p>
        </w:tc>
        <w:tc>
          <w:tcPr>
            <w:tcW w:type="dxa" w:w="2736"/>
          </w:tcPr>
          <w:p>
            <w:pPr>
              <w:spacing w:after="20" w:before="20" w:line="300" w:lineRule="exact"/>
            </w:pPr>
            <w:r/>
            <w:r>
              <w:rPr>
                <w:rFonts w:ascii="Comic Sans MS" w:hAnsi="Comic Sans MS" w:cs="Comic Sans MS" w:eastAsia="Comic Sans MS"/>
                <w:b/>
                <w:i w:val="0"/>
                <w:color w:val="000000"/>
                <w:sz w:val="22"/>
              </w:rPr>
              <w:t>Minimum period at submission</w:t>
            </w:r>
          </w:p>
        </w:tc>
      </w:tr>
      <w:tr>
        <w:tc>
          <w:tcPr>
            <w:tcW w:type="dxa" w:w="2160"/>
          </w:tcPr>
          <w:p>
            <w:pPr>
              <w:spacing w:after="20" w:before="20" w:line="300" w:lineRule="exact"/>
            </w:pPr>
            <w:r/>
            <w:r>
              <w:rPr>
                <w:rFonts w:ascii="Comic Sans MS" w:hAnsi="Comic Sans MS" w:cs="Comic Sans MS" w:eastAsia="Comic Sans MS"/>
                <w:b w:val="0"/>
                <w:i w:val="0"/>
                <w:color w:val="000000"/>
                <w:sz w:val="22"/>
              </w:rPr>
              <w:t>Long term</w:t>
            </w:r>
          </w:p>
        </w:tc>
        <w:tc>
          <w:tcPr>
            <w:tcW w:type="dxa" w:w="4032"/>
          </w:tcPr>
          <w:p>
            <w:pPr>
              <w:spacing w:after="20" w:before="20" w:line="300" w:lineRule="exact"/>
            </w:pPr>
            <w:r/>
            <w:r>
              <w:rPr>
                <w:rFonts w:ascii="Comic Sans MS" w:hAnsi="Comic Sans MS" w:cs="Comic Sans MS" w:eastAsia="Comic Sans MS"/>
                <w:b w:val="0"/>
                <w:i w:val="0"/>
                <w:color w:val="000000"/>
                <w:sz w:val="22"/>
              </w:rPr>
              <w:t>25 C plus or minus 2 C / 60 per cent RH plus or minus 5 per cent RH, or 30 C plus or minus 2 C / 65 per cent RH plus or minus 5 per cent RH</w:t>
            </w:r>
          </w:p>
        </w:tc>
        <w:tc>
          <w:tcPr>
            <w:tcW w:type="dxa" w:w="2736"/>
          </w:tcPr>
          <w:p>
            <w:pPr>
              <w:spacing w:after="20" w:before="20" w:line="300" w:lineRule="exact"/>
            </w:pPr>
            <w:r/>
            <w:r>
              <w:rPr>
                <w:rFonts w:ascii="Comic Sans MS" w:hAnsi="Comic Sans MS" w:cs="Comic Sans MS" w:eastAsia="Comic Sans MS"/>
                <w:b w:val="0"/>
                <w:i w:val="0"/>
                <w:color w:val="000000"/>
                <w:sz w:val="22"/>
              </w:rPr>
              <w:t>12 months</w:t>
            </w:r>
          </w:p>
        </w:tc>
      </w:tr>
      <w:tr>
        <w:tc>
          <w:tcPr>
            <w:tcW w:type="dxa" w:w="2160"/>
          </w:tcPr>
          <w:p>
            <w:pPr>
              <w:spacing w:after="20" w:before="20" w:line="300" w:lineRule="exact"/>
            </w:pPr>
            <w:r/>
            <w:r>
              <w:rPr>
                <w:rFonts w:ascii="Comic Sans MS" w:hAnsi="Comic Sans MS" w:cs="Comic Sans MS" w:eastAsia="Comic Sans MS"/>
                <w:b w:val="0"/>
                <w:i w:val="0"/>
                <w:color w:val="000000"/>
                <w:sz w:val="22"/>
              </w:rPr>
              <w:t>Intermediate</w:t>
            </w:r>
          </w:p>
        </w:tc>
        <w:tc>
          <w:tcPr>
            <w:tcW w:type="dxa" w:w="4032"/>
          </w:tcPr>
          <w:p>
            <w:pPr>
              <w:spacing w:after="20" w:before="20" w:line="300" w:lineRule="exact"/>
            </w:pPr>
            <w:r/>
            <w:r>
              <w:rPr>
                <w:rFonts w:ascii="Comic Sans MS" w:hAnsi="Comic Sans MS" w:cs="Comic Sans MS" w:eastAsia="Comic Sans MS"/>
                <w:b w:val="0"/>
                <w:i w:val="0"/>
                <w:color w:val="000000"/>
                <w:sz w:val="22"/>
              </w:rPr>
              <w:t>30 C plus or minus 2 C / 65 per cent RH plus or minus 5 per cent RH</w:t>
            </w:r>
          </w:p>
        </w:tc>
        <w:tc>
          <w:tcPr>
            <w:tcW w:type="dxa" w:w="2736"/>
          </w:tcPr>
          <w:p>
            <w:pPr>
              <w:spacing w:after="20" w:before="20" w:line="300" w:lineRule="exact"/>
            </w:pPr>
            <w:r/>
            <w:r>
              <w:rPr>
                <w:rFonts w:ascii="Comic Sans MS" w:hAnsi="Comic Sans MS" w:cs="Comic Sans MS" w:eastAsia="Comic Sans MS"/>
                <w:b w:val="0"/>
                <w:i w:val="0"/>
                <w:color w:val="000000"/>
                <w:sz w:val="22"/>
              </w:rPr>
              <w:t>6 months</w:t>
            </w:r>
          </w:p>
        </w:tc>
      </w:tr>
      <w:tr>
        <w:tc>
          <w:tcPr>
            <w:tcW w:type="dxa" w:w="2160"/>
          </w:tcPr>
          <w:p>
            <w:pPr>
              <w:spacing w:after="20" w:before="20" w:line="300" w:lineRule="exact"/>
            </w:pPr>
            <w:r/>
            <w:r>
              <w:rPr>
                <w:rFonts w:ascii="Comic Sans MS" w:hAnsi="Comic Sans MS" w:cs="Comic Sans MS" w:eastAsia="Comic Sans MS"/>
                <w:b w:val="0"/>
                <w:i w:val="0"/>
                <w:color w:val="000000"/>
                <w:sz w:val="22"/>
              </w:rPr>
              <w:t>Accelerated</w:t>
            </w:r>
          </w:p>
        </w:tc>
        <w:tc>
          <w:tcPr>
            <w:tcW w:type="dxa" w:w="4032"/>
          </w:tcPr>
          <w:p>
            <w:pPr>
              <w:spacing w:after="20" w:before="20" w:line="300" w:lineRule="exact"/>
            </w:pPr>
            <w:r/>
            <w:r>
              <w:rPr>
                <w:rFonts w:ascii="Comic Sans MS" w:hAnsi="Comic Sans MS" w:cs="Comic Sans MS" w:eastAsia="Comic Sans MS"/>
                <w:b w:val="0"/>
                <w:i w:val="0"/>
                <w:color w:val="000000"/>
                <w:sz w:val="22"/>
              </w:rPr>
              <w:t>40 C plus or minus 2 C / 75 per cent RH plus or minus 5 per cent RH</w:t>
            </w:r>
          </w:p>
        </w:tc>
        <w:tc>
          <w:tcPr>
            <w:tcW w:type="dxa" w:w="2736"/>
          </w:tcPr>
          <w:p>
            <w:pPr>
              <w:spacing w:after="20" w:before="20" w:line="300" w:lineRule="exact"/>
            </w:pPr>
            <w:r/>
            <w:r>
              <w:rPr>
                <w:rFonts w:ascii="Comic Sans MS" w:hAnsi="Comic Sans MS" w:cs="Comic Sans MS" w:eastAsia="Comic Sans MS"/>
                <w:b w:val="0"/>
                <w:i w:val="0"/>
                <w:color w:val="000000"/>
                <w:sz w:val="22"/>
              </w:rPr>
              <w:t>6 months</w:t>
            </w:r>
          </w:p>
        </w:tc>
      </w:tr>
    </w:tbl>
    <w:p>
      <w:pPr>
        <w:spacing w:after="0" w:line="160" w:lineRule="exact"/>
      </w:pPr>
    </w:p>
    <w:p>
      <w:pPr>
        <w:spacing w:after="160"/>
        <w:jc w:val="both"/>
      </w:pPr>
      <w:r>
        <w:rPr>
          <w:rFonts w:ascii="Comic Sans MS" w:hAnsi="Comic Sans MS" w:cs="Comic Sans MS" w:eastAsia="Comic Sans MS"/>
          <w:b w:val="0"/>
          <w:i w:val="0"/>
          <w:color w:val="000000"/>
          <w:sz w:val="28"/>
        </w:rPr>
        <w:t xml:space="preserve">The applicant decides whether the long-term study is performed at 25 C/60 per cent RH or at 30 C/65 per cent RH. </w:t>
      </w:r>
      <w:r>
        <w:rPr>
          <w:rFonts w:ascii="Comic Sans MS" w:hAnsi="Comic Sans MS" w:cs="Comic Sans MS" w:eastAsia="Comic Sans MS"/>
          <w:b/>
          <w:i w:val="0"/>
          <w:color w:val="000000"/>
          <w:sz w:val="28"/>
        </w:rPr>
        <w:t>If 30 C/65 per cent RH is chosen as the long-term condition, there is no intermediate condition.</w:t>
      </w:r>
      <w:r>
        <w:rPr>
          <w:rFonts w:ascii="Comic Sans MS" w:hAnsi="Comic Sans MS" w:cs="Comic Sans MS" w:eastAsia="Comic Sans MS"/>
          <w:b w:val="0"/>
          <w:i w:val="0"/>
          <w:color w:val="000000"/>
          <w:sz w:val="28"/>
        </w:rPr>
        <w:t xml:space="preserve"> Where the long-term study is conducted at 25 C/60 per cent RH and significant change occurs at any time during the six months at the accelerated condition, additional testing at the intermediate condition must be conducted, and the application must include a minimum of six months' data from a twelve-month intermediate study.</w:t>
      </w:r>
    </w:p>
    <w:p>
      <w:pPr>
        <w:spacing w:after="160"/>
        <w:jc w:val="both"/>
      </w:pPr>
      <w:r>
        <w:rPr>
          <w:rFonts w:ascii="Comic Sans MS" w:hAnsi="Comic Sans MS" w:cs="Comic Sans MS" w:eastAsia="Comic Sans MS"/>
          <w:b/>
          <w:i w:val="0"/>
          <w:color w:val="000000"/>
          <w:sz w:val="28"/>
        </w:rPr>
        <w:t>Drug products packaged in impermeable containers.</w:t>
      </w:r>
      <w:r>
        <w:rPr>
          <w:rFonts w:ascii="Comic Sans MS" w:hAnsi="Comic Sans MS" w:cs="Comic Sans MS" w:eastAsia="Comic Sans MS"/>
          <w:b w:val="0"/>
          <w:i w:val="0"/>
          <w:color w:val="000000"/>
          <w:sz w:val="28"/>
        </w:rPr>
        <w:t xml:space="preserve"> Because moisture ingress and solvent loss are not a concern, studies may be conducted under any controlled or ambient humidity.</w:t>
      </w:r>
    </w:p>
    <w:p>
      <w:pPr>
        <w:spacing w:after="160"/>
        <w:jc w:val="both"/>
      </w:pPr>
      <w:r>
        <w:rPr>
          <w:rFonts w:ascii="Comic Sans MS" w:hAnsi="Comic Sans MS" w:cs="Comic Sans MS" w:eastAsia="Comic Sans MS"/>
          <w:b/>
          <w:i w:val="0"/>
          <w:color w:val="000000"/>
          <w:sz w:val="28"/>
        </w:rPr>
        <w:t>Drug products packaged in semi-permeable containers</w:t>
      </w:r>
      <w:r>
        <w:rPr>
          <w:rFonts w:ascii="Comic Sans MS" w:hAnsi="Comic Sans MS" w:cs="Comic Sans MS" w:eastAsia="Comic Sans MS"/>
          <w:b w:val="0"/>
          <w:i w:val="0"/>
          <w:color w:val="000000"/>
          <w:sz w:val="28"/>
        </w:rPr>
        <w:t>, that is aqueous products in low-density polyethylene bags, plastic ampoules and similar containers, must additionally be assessed for water loss, and are stored at low relative humidity:</w:t>
      </w:r>
    </w:p>
    <w:tbl>
      <w:tblPr>
        <w:tblStyle w:val="TableGrid"/>
        <w:tblW w:type="auto" w:w="0"/>
        <w:jc w:val="center"/>
        <w:tblLook w:firstColumn="1" w:firstRow="1" w:lastColumn="0" w:lastRow="0" w:noHBand="0" w:noVBand="1" w:val="04A0"/>
      </w:tblPr>
      <w:tblGrid>
        <w:gridCol w:w="3120"/>
        <w:gridCol w:w="3120"/>
        <w:gridCol w:w="3120"/>
      </w:tblGrid>
      <w:tr>
        <w:tc>
          <w:tcPr>
            <w:tcW w:type="dxa" w:w="2160"/>
          </w:tcPr>
          <w:p>
            <w:pPr>
              <w:spacing w:after="20" w:before="20" w:line="300" w:lineRule="exact"/>
            </w:pPr>
            <w:r/>
            <w:r>
              <w:rPr>
                <w:rFonts w:ascii="Comic Sans MS" w:hAnsi="Comic Sans MS" w:cs="Comic Sans MS" w:eastAsia="Comic Sans MS"/>
                <w:b/>
                <w:i w:val="0"/>
                <w:color w:val="000000"/>
                <w:sz w:val="22"/>
              </w:rPr>
              <w:t>Study</w:t>
            </w:r>
          </w:p>
        </w:tc>
        <w:tc>
          <w:tcPr>
            <w:tcW w:type="dxa" w:w="4032"/>
          </w:tcPr>
          <w:p>
            <w:pPr>
              <w:spacing w:after="20" w:before="20" w:line="300" w:lineRule="exact"/>
            </w:pPr>
            <w:r/>
            <w:r>
              <w:rPr>
                <w:rFonts w:ascii="Comic Sans MS" w:hAnsi="Comic Sans MS" w:cs="Comic Sans MS" w:eastAsia="Comic Sans MS"/>
                <w:b/>
                <w:i w:val="0"/>
                <w:color w:val="000000"/>
                <w:sz w:val="22"/>
              </w:rPr>
              <w:t>Storage condition</w:t>
            </w:r>
          </w:p>
        </w:tc>
        <w:tc>
          <w:tcPr>
            <w:tcW w:type="dxa" w:w="2736"/>
          </w:tcPr>
          <w:p>
            <w:pPr>
              <w:spacing w:after="20" w:before="20" w:line="300" w:lineRule="exact"/>
            </w:pPr>
            <w:r/>
            <w:r>
              <w:rPr>
                <w:rFonts w:ascii="Comic Sans MS" w:hAnsi="Comic Sans MS" w:cs="Comic Sans MS" w:eastAsia="Comic Sans MS"/>
                <w:b/>
                <w:i w:val="0"/>
                <w:color w:val="000000"/>
                <w:sz w:val="22"/>
              </w:rPr>
              <w:t>Minimum period at submission</w:t>
            </w:r>
          </w:p>
        </w:tc>
      </w:tr>
      <w:tr>
        <w:tc>
          <w:tcPr>
            <w:tcW w:type="dxa" w:w="2160"/>
          </w:tcPr>
          <w:p>
            <w:pPr>
              <w:spacing w:after="20" w:before="20" w:line="300" w:lineRule="exact"/>
            </w:pPr>
            <w:r/>
            <w:r>
              <w:rPr>
                <w:rFonts w:ascii="Comic Sans MS" w:hAnsi="Comic Sans MS" w:cs="Comic Sans MS" w:eastAsia="Comic Sans MS"/>
                <w:b w:val="0"/>
                <w:i w:val="0"/>
                <w:color w:val="000000"/>
                <w:sz w:val="22"/>
              </w:rPr>
              <w:t>Long term</w:t>
            </w:r>
          </w:p>
        </w:tc>
        <w:tc>
          <w:tcPr>
            <w:tcW w:type="dxa" w:w="4032"/>
          </w:tcPr>
          <w:p>
            <w:pPr>
              <w:spacing w:after="20" w:before="20" w:line="300" w:lineRule="exact"/>
            </w:pPr>
            <w:r/>
            <w:r>
              <w:rPr>
                <w:rFonts w:ascii="Comic Sans MS" w:hAnsi="Comic Sans MS" w:cs="Comic Sans MS" w:eastAsia="Comic Sans MS"/>
                <w:b w:val="0"/>
                <w:i w:val="0"/>
                <w:color w:val="000000"/>
                <w:sz w:val="22"/>
              </w:rPr>
              <w:t>25 C / 40 per cent RH, or 30 C / 35 per cent RH</w:t>
            </w:r>
          </w:p>
        </w:tc>
        <w:tc>
          <w:tcPr>
            <w:tcW w:type="dxa" w:w="2736"/>
          </w:tcPr>
          <w:p>
            <w:pPr>
              <w:spacing w:after="20" w:before="20" w:line="300" w:lineRule="exact"/>
            </w:pPr>
            <w:r/>
            <w:r>
              <w:rPr>
                <w:rFonts w:ascii="Comic Sans MS" w:hAnsi="Comic Sans MS" w:cs="Comic Sans MS" w:eastAsia="Comic Sans MS"/>
                <w:b w:val="0"/>
                <w:i w:val="0"/>
                <w:color w:val="000000"/>
                <w:sz w:val="22"/>
              </w:rPr>
              <w:t>12 months</w:t>
            </w:r>
          </w:p>
        </w:tc>
      </w:tr>
      <w:tr>
        <w:tc>
          <w:tcPr>
            <w:tcW w:type="dxa" w:w="2160"/>
          </w:tcPr>
          <w:p>
            <w:pPr>
              <w:spacing w:after="20" w:before="20" w:line="300" w:lineRule="exact"/>
            </w:pPr>
            <w:r/>
            <w:r>
              <w:rPr>
                <w:rFonts w:ascii="Comic Sans MS" w:hAnsi="Comic Sans MS" w:cs="Comic Sans MS" w:eastAsia="Comic Sans MS"/>
                <w:b w:val="0"/>
                <w:i w:val="0"/>
                <w:color w:val="000000"/>
                <w:sz w:val="22"/>
              </w:rPr>
              <w:t>Intermediate</w:t>
            </w:r>
          </w:p>
        </w:tc>
        <w:tc>
          <w:tcPr>
            <w:tcW w:type="dxa" w:w="4032"/>
          </w:tcPr>
          <w:p>
            <w:pPr>
              <w:spacing w:after="20" w:before="20" w:line="300" w:lineRule="exact"/>
            </w:pPr>
            <w:r/>
            <w:r>
              <w:rPr>
                <w:rFonts w:ascii="Comic Sans MS" w:hAnsi="Comic Sans MS" w:cs="Comic Sans MS" w:eastAsia="Comic Sans MS"/>
                <w:b w:val="0"/>
                <w:i w:val="0"/>
                <w:color w:val="000000"/>
                <w:sz w:val="22"/>
              </w:rPr>
              <w:t>30 C / 65 per cent RH</w:t>
            </w:r>
          </w:p>
        </w:tc>
        <w:tc>
          <w:tcPr>
            <w:tcW w:type="dxa" w:w="2736"/>
          </w:tcPr>
          <w:p>
            <w:pPr>
              <w:spacing w:after="20" w:before="20" w:line="300" w:lineRule="exact"/>
            </w:pPr>
            <w:r/>
            <w:r>
              <w:rPr>
                <w:rFonts w:ascii="Comic Sans MS" w:hAnsi="Comic Sans MS" w:cs="Comic Sans MS" w:eastAsia="Comic Sans MS"/>
                <w:b w:val="0"/>
                <w:i w:val="0"/>
                <w:color w:val="000000"/>
                <w:sz w:val="22"/>
              </w:rPr>
              <w:t>6 months</w:t>
            </w:r>
          </w:p>
        </w:tc>
      </w:tr>
      <w:tr>
        <w:tc>
          <w:tcPr>
            <w:tcW w:type="dxa" w:w="2160"/>
          </w:tcPr>
          <w:p>
            <w:pPr>
              <w:spacing w:after="20" w:before="20" w:line="300" w:lineRule="exact"/>
            </w:pPr>
            <w:r/>
            <w:r>
              <w:rPr>
                <w:rFonts w:ascii="Comic Sans MS" w:hAnsi="Comic Sans MS" w:cs="Comic Sans MS" w:eastAsia="Comic Sans MS"/>
                <w:b w:val="0"/>
                <w:i w:val="0"/>
                <w:color w:val="000000"/>
                <w:sz w:val="22"/>
              </w:rPr>
              <w:t>Accelerated</w:t>
            </w:r>
          </w:p>
        </w:tc>
        <w:tc>
          <w:tcPr>
            <w:tcW w:type="dxa" w:w="4032"/>
          </w:tcPr>
          <w:p>
            <w:pPr>
              <w:spacing w:after="20" w:before="20" w:line="300" w:lineRule="exact"/>
            </w:pPr>
            <w:r/>
            <w:r>
              <w:rPr>
                <w:rFonts w:ascii="Comic Sans MS" w:hAnsi="Comic Sans MS" w:cs="Comic Sans MS" w:eastAsia="Comic Sans MS"/>
                <w:b w:val="0"/>
                <w:i w:val="0"/>
                <w:color w:val="000000"/>
                <w:sz w:val="22"/>
              </w:rPr>
              <w:t>40 C / not more than 25 per cent RH</w:t>
            </w:r>
          </w:p>
        </w:tc>
        <w:tc>
          <w:tcPr>
            <w:tcW w:type="dxa" w:w="2736"/>
          </w:tcPr>
          <w:p>
            <w:pPr>
              <w:spacing w:after="20" w:before="20" w:line="300" w:lineRule="exact"/>
            </w:pPr>
            <w:r/>
            <w:r>
              <w:rPr>
                <w:rFonts w:ascii="Comic Sans MS" w:hAnsi="Comic Sans MS" w:cs="Comic Sans MS" w:eastAsia="Comic Sans MS"/>
                <w:b w:val="0"/>
                <w:i w:val="0"/>
                <w:color w:val="000000"/>
                <w:sz w:val="22"/>
              </w:rPr>
              <w:t>6 months</w:t>
            </w:r>
          </w:p>
        </w:tc>
      </w:tr>
    </w:tbl>
    <w:p>
      <w:pPr>
        <w:spacing w:after="0" w:line="160" w:lineRule="exact"/>
      </w:pPr>
    </w:p>
    <w:p>
      <w:pPr>
        <w:spacing w:after="160"/>
        <w:jc w:val="both"/>
      </w:pPr>
      <w:r>
        <w:rPr>
          <w:rFonts w:ascii="Comic Sans MS" w:hAnsi="Comic Sans MS" w:cs="Comic Sans MS" w:eastAsia="Comic Sans MS"/>
          <w:b/>
          <w:i w:val="0"/>
          <w:color w:val="000000"/>
          <w:sz w:val="28"/>
        </w:rPr>
        <w:t>Products intended for storage in a refrigerator.</w:t>
      </w:r>
      <w:r>
        <w:rPr>
          <w:rFonts w:ascii="Comic Sans MS" w:hAnsi="Comic Sans MS" w:cs="Comic Sans MS" w:eastAsia="Comic Sans MS"/>
          <w:b w:val="0"/>
          <w:i w:val="0"/>
          <w:color w:val="000000"/>
          <w:sz w:val="28"/>
        </w:rPr>
        <w:t xml:space="preserve"> Long term at 5 C plus or minus 3 C for 12 months, accelerated at 25 C/60 per cent RH for 6 months. </w:t>
      </w:r>
      <w:r>
        <w:rPr>
          <w:rFonts w:ascii="Comic Sans MS" w:hAnsi="Comic Sans MS" w:cs="Comic Sans MS" w:eastAsia="Comic Sans MS"/>
          <w:b/>
          <w:i w:val="0"/>
          <w:color w:val="000000"/>
          <w:sz w:val="28"/>
        </w:rPr>
        <w:t>Products intended for storage in a freezer.</w:t>
      </w:r>
      <w:r>
        <w:rPr>
          <w:rFonts w:ascii="Comic Sans MS" w:hAnsi="Comic Sans MS" w:cs="Comic Sans MS" w:eastAsia="Comic Sans MS"/>
          <w:b w:val="0"/>
          <w:i w:val="0"/>
          <w:color w:val="000000"/>
          <w:sz w:val="28"/>
        </w:rPr>
        <w:t xml:space="preserve"> Long term at minus 20 C plus or minus 5 C for 12 months, with the effect of short-term excursions assessed on a single batch at an elevated temperature.</w:t>
      </w:r>
    </w:p>
    <w:p>
      <w:pPr>
        <w:keepNext/>
        <w:spacing w:before="160" w:after="40"/>
      </w:pPr>
      <w:r>
        <w:rPr>
          <w:rFonts w:ascii="Comic Sans MS" w:hAnsi="Comic Sans MS" w:cs="Comic Sans MS" w:eastAsia="Comic Sans MS"/>
          <w:b/>
          <w:i w:val="0"/>
          <w:color w:val="000000"/>
          <w:sz w:val="28"/>
        </w:rPr>
        <w:t>4.6.4 Significant Change</w:t>
      </w:r>
    </w:p>
    <w:p>
      <w:pPr>
        <w:spacing w:after="160"/>
        <w:jc w:val="both"/>
      </w:pPr>
      <w:r>
        <w:rPr>
          <w:rFonts w:ascii="Comic Sans MS" w:hAnsi="Comic Sans MS" w:cs="Comic Sans MS" w:eastAsia="Comic Sans MS"/>
          <w:b/>
          <w:i w:val="0"/>
          <w:color w:val="000000"/>
          <w:sz w:val="28"/>
        </w:rPr>
        <w:t>For a drug substance,</w:t>
      </w:r>
      <w:r>
        <w:rPr>
          <w:rFonts w:ascii="Comic Sans MS" w:hAnsi="Comic Sans MS" w:cs="Comic Sans MS" w:eastAsia="Comic Sans MS"/>
          <w:b w:val="0"/>
          <w:i w:val="0"/>
          <w:color w:val="000000"/>
          <w:sz w:val="28"/>
        </w:rPr>
        <w:t xml:space="preserve"> significant change is defined simply as failure to meet its specification.</w:t>
      </w:r>
    </w:p>
    <w:p>
      <w:pPr>
        <w:spacing w:after="160"/>
        <w:jc w:val="both"/>
      </w:pPr>
      <w:r>
        <w:rPr>
          <w:rFonts w:ascii="Comic Sans MS" w:hAnsi="Comic Sans MS" w:cs="Comic Sans MS" w:eastAsia="Comic Sans MS"/>
          <w:b/>
          <w:i w:val="0"/>
          <w:color w:val="000000"/>
          <w:sz w:val="28"/>
        </w:rPr>
        <w:t>For a drug product,</w:t>
      </w:r>
      <w:r>
        <w:rPr>
          <w:rFonts w:ascii="Comic Sans MS" w:hAnsi="Comic Sans MS" w:cs="Comic Sans MS" w:eastAsia="Comic Sans MS"/>
          <w:b w:val="0"/>
          <w:i w:val="0"/>
          <w:color w:val="000000"/>
          <w:sz w:val="28"/>
        </w:rPr>
        <w:t xml:space="preserve"> significant change is defined as:</w:t>
      </w:r>
    </w:p>
    <w:p>
      <w:pPr>
        <w:tabs>
          <w:tab w:pos="720" w:val="left"/>
        </w:tabs>
        <w:spacing w:after="0"/>
        <w:ind w:left="720" w:hanging="360"/>
        <w:jc w:val="both"/>
      </w:pPr>
      <w:r>
        <w:rPr>
          <w:rFonts w:ascii="Comic Sans MS" w:hAnsi="Comic Sans MS" w:cs="Comic Sans MS" w:eastAsia="Comic Sans MS"/>
          <w:b/>
          <w:i w:val="0"/>
          <w:color w:val="000000"/>
          <w:sz w:val="28"/>
        </w:rPr>
        <w:t>1.</w:t>
      </w:r>
      <w:r>
        <w:rPr>
          <w:rFonts w:ascii="Comic Sans MS" w:hAnsi="Comic Sans MS" w:cs="Comic Sans MS" w:eastAsia="Comic Sans MS"/>
          <w:b w:val="0"/>
          <w:i w:val="0"/>
          <w:color w:val="000000"/>
          <w:sz w:val="28"/>
        </w:rPr>
        <w:tab/>
        <w:t>A 5 per cent change in assay from the initial value, or failure to meet the acceptance criteria for potency when biological or immunological procedures are used.</w:t>
      </w:r>
    </w:p>
    <w:p>
      <w:pPr>
        <w:tabs>
          <w:tab w:pos="720" w:val="left"/>
        </w:tabs>
        <w:spacing w:after="0"/>
        <w:ind w:left="720" w:hanging="360"/>
        <w:jc w:val="both"/>
      </w:pPr>
      <w:r>
        <w:rPr>
          <w:rFonts w:ascii="Comic Sans MS" w:hAnsi="Comic Sans MS" w:cs="Comic Sans MS" w:eastAsia="Comic Sans MS"/>
          <w:b/>
          <w:i w:val="0"/>
          <w:color w:val="000000"/>
          <w:sz w:val="28"/>
        </w:rPr>
        <w:t>2.</w:t>
      </w:r>
      <w:r>
        <w:rPr>
          <w:rFonts w:ascii="Comic Sans MS" w:hAnsi="Comic Sans MS" w:cs="Comic Sans MS" w:eastAsia="Comic Sans MS"/>
          <w:b w:val="0"/>
          <w:i w:val="0"/>
          <w:color w:val="000000"/>
          <w:sz w:val="28"/>
        </w:rPr>
        <w:tab/>
        <w:t>Any degradation product exceeding its acceptance criterion.</w:t>
      </w:r>
    </w:p>
    <w:p>
      <w:pPr>
        <w:tabs>
          <w:tab w:pos="720" w:val="left"/>
        </w:tabs>
        <w:spacing w:after="0"/>
        <w:ind w:left="720" w:hanging="360"/>
        <w:jc w:val="both"/>
      </w:pPr>
      <w:r>
        <w:rPr>
          <w:rFonts w:ascii="Comic Sans MS" w:hAnsi="Comic Sans MS" w:cs="Comic Sans MS" w:eastAsia="Comic Sans MS"/>
          <w:b/>
          <w:i w:val="0"/>
          <w:color w:val="000000"/>
          <w:sz w:val="28"/>
        </w:rPr>
        <w:t>3.</w:t>
      </w:r>
      <w:r>
        <w:rPr>
          <w:rFonts w:ascii="Comic Sans MS" w:hAnsi="Comic Sans MS" w:cs="Comic Sans MS" w:eastAsia="Comic Sans MS"/>
          <w:b w:val="0"/>
          <w:i w:val="0"/>
          <w:color w:val="000000"/>
          <w:sz w:val="28"/>
        </w:rPr>
        <w:tab/>
        <w:t>Failure to meet the acceptance criteria for appearance, physical attributes and functionality tests, such as colour, phase separation, resuspendability, caking, hardness and dose delivery per actuation. Certain changes in physical attributes, for example softening of suppositories and melting of creams, are expected under accelerated conditions and are not regarded as significant change.</w:t>
      </w:r>
    </w:p>
    <w:p>
      <w:pPr>
        <w:tabs>
          <w:tab w:pos="720" w:val="left"/>
        </w:tabs>
        <w:spacing w:after="0"/>
        <w:ind w:left="720" w:hanging="360"/>
        <w:jc w:val="both"/>
      </w:pPr>
      <w:r>
        <w:rPr>
          <w:rFonts w:ascii="Comic Sans MS" w:hAnsi="Comic Sans MS" w:cs="Comic Sans MS" w:eastAsia="Comic Sans MS"/>
          <w:b/>
          <w:i w:val="0"/>
          <w:color w:val="000000"/>
          <w:sz w:val="28"/>
        </w:rPr>
        <w:t>4.</w:t>
      </w:r>
      <w:r>
        <w:rPr>
          <w:rFonts w:ascii="Comic Sans MS" w:hAnsi="Comic Sans MS" w:cs="Comic Sans MS" w:eastAsia="Comic Sans MS"/>
          <w:b w:val="0"/>
          <w:i w:val="0"/>
          <w:color w:val="000000"/>
          <w:sz w:val="28"/>
        </w:rPr>
        <w:tab/>
        <w:t>Failure to meet the acceptance criterion for pH, where applicable.</w:t>
      </w:r>
    </w:p>
    <w:p>
      <w:pPr>
        <w:tabs>
          <w:tab w:pos="720" w:val="left"/>
        </w:tabs>
        <w:spacing w:after="0"/>
        <w:ind w:left="720" w:hanging="360"/>
        <w:jc w:val="both"/>
      </w:pPr>
      <w:r>
        <w:rPr>
          <w:rFonts w:ascii="Comic Sans MS" w:hAnsi="Comic Sans MS" w:cs="Comic Sans MS" w:eastAsia="Comic Sans MS"/>
          <w:b/>
          <w:i w:val="0"/>
          <w:color w:val="000000"/>
          <w:sz w:val="28"/>
        </w:rPr>
        <w:t>5.</w:t>
      </w:r>
      <w:r>
        <w:rPr>
          <w:rFonts w:ascii="Comic Sans MS" w:hAnsi="Comic Sans MS" w:cs="Comic Sans MS" w:eastAsia="Comic Sans MS"/>
          <w:b w:val="0"/>
          <w:i w:val="0"/>
          <w:color w:val="000000"/>
          <w:sz w:val="28"/>
        </w:rPr>
        <w:tab/>
        <w:t>Failure to meet the acceptance criteria for dissolution for 12 dosage units.</w:t>
      </w:r>
    </w:p>
    <w:p>
      <w:pPr>
        <w:keepNext/>
        <w:spacing w:before="160" w:after="40"/>
      </w:pPr>
      <w:r>
        <w:rPr>
          <w:rFonts w:ascii="Comic Sans MS" w:hAnsi="Comic Sans MS" w:cs="Comic Sans MS" w:eastAsia="Comic Sans MS"/>
          <w:b/>
          <w:i w:val="0"/>
          <w:color w:val="000000"/>
          <w:sz w:val="28"/>
        </w:rPr>
        <w:t>4.6.5 Climatic Zones</w:t>
      </w:r>
    </w:p>
    <w:p>
      <w:pPr>
        <w:spacing w:after="160"/>
        <w:jc w:val="both"/>
      </w:pPr>
      <w:r>
        <w:rPr>
          <w:rFonts w:ascii="Comic Sans MS" w:hAnsi="Comic Sans MS" w:cs="Comic Sans MS" w:eastAsia="Comic Sans MS"/>
          <w:b w:val="0"/>
          <w:i w:val="0"/>
          <w:color w:val="000000"/>
          <w:sz w:val="28"/>
        </w:rPr>
        <w:t>Because the world does not share a single climate, storage conditions for registration are related to the climate of the intended market. Four zones, with Zone IV subdivided, are recognised on the basis of mean annual temperature measured in the open air and mean annual partial water vapour pressure.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008"/>
          </w:tcPr>
          <w:p>
            <w:pPr>
              <w:spacing w:after="20" w:before="20" w:line="300" w:lineRule="exact"/>
            </w:pPr>
            <w:r/>
            <w:r>
              <w:rPr>
                <w:rFonts w:ascii="Comic Sans MS" w:hAnsi="Comic Sans MS" w:cs="Comic Sans MS" w:eastAsia="Comic Sans MS"/>
                <w:b/>
                <w:i w:val="0"/>
                <w:color w:val="000000"/>
                <w:sz w:val="22"/>
              </w:rPr>
              <w:t>Zone</w:t>
            </w:r>
          </w:p>
        </w:tc>
        <w:tc>
          <w:tcPr>
            <w:tcW w:type="dxa" w:w="2736"/>
          </w:tcPr>
          <w:p>
            <w:pPr>
              <w:spacing w:after="20" w:before="20" w:line="300" w:lineRule="exact"/>
            </w:pPr>
            <w:r/>
            <w:r>
              <w:rPr>
                <w:rFonts w:ascii="Comic Sans MS" w:hAnsi="Comic Sans MS" w:cs="Comic Sans MS" w:eastAsia="Comic Sans MS"/>
                <w:b/>
                <w:i w:val="0"/>
                <w:color w:val="000000"/>
                <w:sz w:val="22"/>
              </w:rPr>
              <w:t>Definition</w:t>
            </w:r>
          </w:p>
        </w:tc>
        <w:tc>
          <w:tcPr>
            <w:tcW w:type="dxa" w:w="2304"/>
          </w:tcPr>
          <w:p>
            <w:pPr>
              <w:spacing w:after="20" w:before="20" w:line="300" w:lineRule="exact"/>
            </w:pPr>
            <w:r/>
            <w:r>
              <w:rPr>
                <w:rFonts w:ascii="Comic Sans MS" w:hAnsi="Comic Sans MS" w:cs="Comic Sans MS" w:eastAsia="Comic Sans MS"/>
                <w:b/>
                <w:i w:val="0"/>
                <w:color w:val="000000"/>
                <w:sz w:val="22"/>
              </w:rPr>
              <w:t>Criteria</w:t>
            </w:r>
          </w:p>
        </w:tc>
        <w:tc>
          <w:tcPr>
            <w:tcW w:type="dxa" w:w="2304"/>
          </w:tcPr>
          <w:p>
            <w:pPr>
              <w:spacing w:after="20" w:before="20" w:line="300" w:lineRule="exact"/>
            </w:pPr>
            <w:r/>
            <w:r>
              <w:rPr>
                <w:rFonts w:ascii="Comic Sans MS" w:hAnsi="Comic Sans MS" w:cs="Comic Sans MS" w:eastAsia="Comic Sans MS"/>
                <w:b/>
                <w:i w:val="0"/>
                <w:color w:val="000000"/>
                <w:sz w:val="22"/>
              </w:rPr>
              <w:t>Long-term testing condition</w:t>
            </w:r>
          </w:p>
        </w:tc>
      </w:tr>
      <w:tr>
        <w:tc>
          <w:tcPr>
            <w:tcW w:type="dxa" w:w="1008"/>
          </w:tcPr>
          <w:p>
            <w:pPr>
              <w:spacing w:after="20" w:before="20" w:line="300" w:lineRule="exact"/>
            </w:pPr>
            <w:r/>
            <w:r>
              <w:rPr>
                <w:rFonts w:ascii="Comic Sans MS" w:hAnsi="Comic Sans MS" w:cs="Comic Sans MS" w:eastAsia="Comic Sans MS"/>
                <w:b w:val="0"/>
                <w:i w:val="0"/>
                <w:color w:val="000000"/>
                <w:sz w:val="22"/>
              </w:rPr>
              <w:t>I</w:t>
            </w:r>
          </w:p>
        </w:tc>
        <w:tc>
          <w:tcPr>
            <w:tcW w:type="dxa" w:w="2736"/>
          </w:tcPr>
          <w:p>
            <w:pPr>
              <w:spacing w:after="20" w:before="20" w:line="300" w:lineRule="exact"/>
            </w:pPr>
            <w:r/>
            <w:r>
              <w:rPr>
                <w:rFonts w:ascii="Comic Sans MS" w:hAnsi="Comic Sans MS" w:cs="Comic Sans MS" w:eastAsia="Comic Sans MS"/>
                <w:b w:val="0"/>
                <w:i w:val="0"/>
                <w:color w:val="000000"/>
                <w:sz w:val="22"/>
              </w:rPr>
              <w:t>Temperate</w:t>
            </w:r>
          </w:p>
        </w:tc>
        <w:tc>
          <w:tcPr>
            <w:tcW w:type="dxa" w:w="2304"/>
          </w:tcPr>
          <w:p>
            <w:pPr>
              <w:spacing w:after="20" w:before="20" w:line="300" w:lineRule="exact"/>
            </w:pPr>
            <w:r/>
            <w:r>
              <w:rPr>
                <w:rFonts w:ascii="Comic Sans MS" w:hAnsi="Comic Sans MS" w:cs="Comic Sans MS" w:eastAsia="Comic Sans MS"/>
                <w:b w:val="0"/>
                <w:i w:val="0"/>
                <w:color w:val="000000"/>
                <w:sz w:val="22"/>
              </w:rPr>
              <w:t>Not more than 15 C / not more than 11 hPa</w:t>
            </w:r>
          </w:p>
        </w:tc>
        <w:tc>
          <w:tcPr>
            <w:tcW w:type="dxa" w:w="2304"/>
          </w:tcPr>
          <w:p>
            <w:pPr>
              <w:spacing w:after="20" w:before="20" w:line="300" w:lineRule="exact"/>
            </w:pPr>
            <w:r/>
            <w:r>
              <w:rPr>
                <w:rFonts w:ascii="Comic Sans MS" w:hAnsi="Comic Sans MS" w:cs="Comic Sans MS" w:eastAsia="Comic Sans MS"/>
                <w:b w:val="0"/>
                <w:i w:val="0"/>
                <w:color w:val="000000"/>
                <w:sz w:val="22"/>
              </w:rPr>
              <w:t>21 C / 45 per cent RH</w:t>
            </w:r>
          </w:p>
        </w:tc>
      </w:tr>
      <w:tr>
        <w:tc>
          <w:tcPr>
            <w:tcW w:type="dxa" w:w="1008"/>
          </w:tcPr>
          <w:p>
            <w:pPr>
              <w:spacing w:after="20" w:before="20" w:line="300" w:lineRule="exact"/>
            </w:pPr>
            <w:r/>
            <w:r>
              <w:rPr>
                <w:rFonts w:ascii="Comic Sans MS" w:hAnsi="Comic Sans MS" w:cs="Comic Sans MS" w:eastAsia="Comic Sans MS"/>
                <w:b w:val="0"/>
                <w:i w:val="0"/>
                <w:color w:val="000000"/>
                <w:sz w:val="22"/>
              </w:rPr>
              <w:t>II</w:t>
            </w:r>
          </w:p>
        </w:tc>
        <w:tc>
          <w:tcPr>
            <w:tcW w:type="dxa" w:w="2736"/>
          </w:tcPr>
          <w:p>
            <w:pPr>
              <w:spacing w:after="20" w:before="20" w:line="300" w:lineRule="exact"/>
            </w:pPr>
            <w:r/>
            <w:r>
              <w:rPr>
                <w:rFonts w:ascii="Comic Sans MS" w:hAnsi="Comic Sans MS" w:cs="Comic Sans MS" w:eastAsia="Comic Sans MS"/>
                <w:b w:val="0"/>
                <w:i w:val="0"/>
                <w:color w:val="000000"/>
                <w:sz w:val="22"/>
              </w:rPr>
              <w:t>Mediterranean and subtropical</w:t>
            </w:r>
          </w:p>
        </w:tc>
        <w:tc>
          <w:tcPr>
            <w:tcW w:type="dxa" w:w="2304"/>
          </w:tcPr>
          <w:p>
            <w:pPr>
              <w:spacing w:after="20" w:before="20" w:line="300" w:lineRule="exact"/>
            </w:pPr>
            <w:r/>
            <w:r>
              <w:rPr>
                <w:rFonts w:ascii="Comic Sans MS" w:hAnsi="Comic Sans MS" w:cs="Comic Sans MS" w:eastAsia="Comic Sans MS"/>
                <w:b w:val="0"/>
                <w:i w:val="0"/>
                <w:color w:val="000000"/>
                <w:sz w:val="22"/>
              </w:rPr>
              <w:t>Above 15 to 22 C / above 11 to 18 hPa</w:t>
            </w:r>
          </w:p>
        </w:tc>
        <w:tc>
          <w:tcPr>
            <w:tcW w:type="dxa" w:w="2304"/>
          </w:tcPr>
          <w:p>
            <w:pPr>
              <w:spacing w:after="20" w:before="20" w:line="300" w:lineRule="exact"/>
            </w:pPr>
            <w:r/>
            <w:r>
              <w:rPr>
                <w:rFonts w:ascii="Comic Sans MS" w:hAnsi="Comic Sans MS" w:cs="Comic Sans MS" w:eastAsia="Comic Sans MS"/>
                <w:b w:val="0"/>
                <w:i w:val="0"/>
                <w:color w:val="000000"/>
                <w:sz w:val="22"/>
              </w:rPr>
              <w:t>25 C / 60 per cent RH</w:t>
            </w:r>
          </w:p>
        </w:tc>
      </w:tr>
      <w:tr>
        <w:tc>
          <w:tcPr>
            <w:tcW w:type="dxa" w:w="1008"/>
          </w:tcPr>
          <w:p>
            <w:pPr>
              <w:spacing w:after="20" w:before="20" w:line="300" w:lineRule="exact"/>
            </w:pPr>
            <w:r/>
            <w:r>
              <w:rPr>
                <w:rFonts w:ascii="Comic Sans MS" w:hAnsi="Comic Sans MS" w:cs="Comic Sans MS" w:eastAsia="Comic Sans MS"/>
                <w:b w:val="0"/>
                <w:i w:val="0"/>
                <w:color w:val="000000"/>
                <w:sz w:val="22"/>
              </w:rPr>
              <w:t>III</w:t>
            </w:r>
          </w:p>
        </w:tc>
        <w:tc>
          <w:tcPr>
            <w:tcW w:type="dxa" w:w="2736"/>
          </w:tcPr>
          <w:p>
            <w:pPr>
              <w:spacing w:after="20" w:before="20" w:line="300" w:lineRule="exact"/>
            </w:pPr>
            <w:r/>
            <w:r>
              <w:rPr>
                <w:rFonts w:ascii="Comic Sans MS" w:hAnsi="Comic Sans MS" w:cs="Comic Sans MS" w:eastAsia="Comic Sans MS"/>
                <w:b w:val="0"/>
                <w:i w:val="0"/>
                <w:color w:val="000000"/>
                <w:sz w:val="22"/>
              </w:rPr>
              <w:t>Hot and dry, arid</w:t>
            </w:r>
          </w:p>
        </w:tc>
        <w:tc>
          <w:tcPr>
            <w:tcW w:type="dxa" w:w="2304"/>
          </w:tcPr>
          <w:p>
            <w:pPr>
              <w:spacing w:after="20" w:before="20" w:line="300" w:lineRule="exact"/>
            </w:pPr>
            <w:r/>
            <w:r>
              <w:rPr>
                <w:rFonts w:ascii="Comic Sans MS" w:hAnsi="Comic Sans MS" w:cs="Comic Sans MS" w:eastAsia="Comic Sans MS"/>
                <w:b w:val="0"/>
                <w:i w:val="0"/>
                <w:color w:val="000000"/>
                <w:sz w:val="22"/>
              </w:rPr>
              <w:t>Above 22 C / not more than 15 hPa</w:t>
            </w:r>
          </w:p>
        </w:tc>
        <w:tc>
          <w:tcPr>
            <w:tcW w:type="dxa" w:w="2304"/>
          </w:tcPr>
          <w:p>
            <w:pPr>
              <w:spacing w:after="20" w:before="20" w:line="300" w:lineRule="exact"/>
            </w:pPr>
            <w:r/>
            <w:r>
              <w:rPr>
                <w:rFonts w:ascii="Comic Sans MS" w:hAnsi="Comic Sans MS" w:cs="Comic Sans MS" w:eastAsia="Comic Sans MS"/>
                <w:b w:val="0"/>
                <w:i w:val="0"/>
                <w:color w:val="000000"/>
                <w:sz w:val="22"/>
              </w:rPr>
              <w:t>30 C / 35 per cent RH</w:t>
            </w:r>
          </w:p>
        </w:tc>
      </w:tr>
      <w:tr>
        <w:tc>
          <w:tcPr>
            <w:tcW w:type="dxa" w:w="1008"/>
          </w:tcPr>
          <w:p>
            <w:pPr>
              <w:spacing w:after="20" w:before="20" w:line="300" w:lineRule="exact"/>
            </w:pPr>
            <w:r/>
            <w:r>
              <w:rPr>
                <w:rFonts w:ascii="Comic Sans MS" w:hAnsi="Comic Sans MS" w:cs="Comic Sans MS" w:eastAsia="Comic Sans MS"/>
                <w:b w:val="0"/>
                <w:i w:val="0"/>
                <w:color w:val="000000"/>
                <w:sz w:val="22"/>
              </w:rPr>
              <w:t>IVa</w:t>
            </w:r>
          </w:p>
        </w:tc>
        <w:tc>
          <w:tcPr>
            <w:tcW w:type="dxa" w:w="2736"/>
          </w:tcPr>
          <w:p>
            <w:pPr>
              <w:spacing w:after="20" w:before="20" w:line="300" w:lineRule="exact"/>
            </w:pPr>
            <w:r/>
            <w:r>
              <w:rPr>
                <w:rFonts w:ascii="Comic Sans MS" w:hAnsi="Comic Sans MS" w:cs="Comic Sans MS" w:eastAsia="Comic Sans MS"/>
                <w:b w:val="0"/>
                <w:i w:val="0"/>
                <w:color w:val="000000"/>
                <w:sz w:val="22"/>
              </w:rPr>
              <w:t>Hot and humid</w:t>
            </w:r>
          </w:p>
        </w:tc>
        <w:tc>
          <w:tcPr>
            <w:tcW w:type="dxa" w:w="2304"/>
          </w:tcPr>
          <w:p>
            <w:pPr>
              <w:spacing w:after="20" w:before="20" w:line="300" w:lineRule="exact"/>
            </w:pPr>
            <w:r/>
            <w:r>
              <w:rPr>
                <w:rFonts w:ascii="Comic Sans MS" w:hAnsi="Comic Sans MS" w:cs="Comic Sans MS" w:eastAsia="Comic Sans MS"/>
                <w:b w:val="0"/>
                <w:i w:val="0"/>
                <w:color w:val="000000"/>
                <w:sz w:val="22"/>
              </w:rPr>
              <w:t>Above 22 C / above 15 hPa</w:t>
            </w:r>
          </w:p>
        </w:tc>
        <w:tc>
          <w:tcPr>
            <w:tcW w:type="dxa" w:w="2304"/>
          </w:tcPr>
          <w:p>
            <w:pPr>
              <w:spacing w:after="20" w:before="20" w:line="300" w:lineRule="exact"/>
            </w:pPr>
            <w:r/>
            <w:r>
              <w:rPr>
                <w:rFonts w:ascii="Comic Sans MS" w:hAnsi="Comic Sans MS" w:cs="Comic Sans MS" w:eastAsia="Comic Sans MS"/>
                <w:b w:val="0"/>
                <w:i w:val="0"/>
                <w:color w:val="000000"/>
                <w:sz w:val="22"/>
              </w:rPr>
              <w:t>30 C / 65 per cent RH</w:t>
            </w:r>
          </w:p>
        </w:tc>
      </w:tr>
      <w:tr>
        <w:tc>
          <w:tcPr>
            <w:tcW w:type="dxa" w:w="1008"/>
          </w:tcPr>
          <w:p>
            <w:pPr>
              <w:spacing w:after="20" w:before="20" w:line="300" w:lineRule="exact"/>
            </w:pPr>
            <w:r/>
            <w:r>
              <w:rPr>
                <w:rFonts w:ascii="Comic Sans MS" w:hAnsi="Comic Sans MS" w:cs="Comic Sans MS" w:eastAsia="Comic Sans MS"/>
                <w:b w:val="0"/>
                <w:i w:val="0"/>
                <w:color w:val="000000"/>
                <w:sz w:val="22"/>
              </w:rPr>
              <w:t>IVb</w:t>
            </w:r>
          </w:p>
        </w:tc>
        <w:tc>
          <w:tcPr>
            <w:tcW w:type="dxa" w:w="2736"/>
          </w:tcPr>
          <w:p>
            <w:pPr>
              <w:spacing w:after="20" w:before="20" w:line="300" w:lineRule="exact"/>
            </w:pPr>
            <w:r/>
            <w:r>
              <w:rPr>
                <w:rFonts w:ascii="Comic Sans MS" w:hAnsi="Comic Sans MS" w:cs="Comic Sans MS" w:eastAsia="Comic Sans MS"/>
                <w:b w:val="0"/>
                <w:i w:val="0"/>
                <w:color w:val="000000"/>
                <w:sz w:val="22"/>
              </w:rPr>
              <w:t>Hot and very humid</w:t>
            </w:r>
          </w:p>
        </w:tc>
        <w:tc>
          <w:tcPr>
            <w:tcW w:type="dxa" w:w="2304"/>
          </w:tcPr>
          <w:p>
            <w:pPr>
              <w:spacing w:after="20" w:before="20" w:line="300" w:lineRule="exact"/>
            </w:pPr>
            <w:r/>
            <w:r>
              <w:rPr>
                <w:rFonts w:ascii="Comic Sans MS" w:hAnsi="Comic Sans MS" w:cs="Comic Sans MS" w:eastAsia="Comic Sans MS"/>
                <w:b w:val="0"/>
                <w:i w:val="0"/>
                <w:color w:val="000000"/>
                <w:sz w:val="22"/>
              </w:rPr>
              <w:t>Above 22 C / above 15 hPa</w:t>
            </w:r>
          </w:p>
        </w:tc>
        <w:tc>
          <w:tcPr>
            <w:tcW w:type="dxa" w:w="2304"/>
          </w:tcPr>
          <w:p>
            <w:pPr>
              <w:spacing w:after="20" w:before="20" w:line="300" w:lineRule="exact"/>
            </w:pPr>
            <w:r/>
            <w:r>
              <w:rPr>
                <w:rFonts w:ascii="Comic Sans MS" w:hAnsi="Comic Sans MS" w:cs="Comic Sans MS" w:eastAsia="Comic Sans MS"/>
                <w:b w:val="0"/>
                <w:i w:val="0"/>
                <w:color w:val="000000"/>
                <w:sz w:val="22"/>
              </w:rPr>
              <w:t>30 C / 75 per cent RH</w:t>
            </w:r>
          </w:p>
        </w:tc>
      </w:tr>
    </w:tbl>
    <w:p>
      <w:pPr>
        <w:spacing w:after="0" w:line="160" w:lineRule="exact"/>
      </w:pPr>
    </w:p>
    <w:p>
      <w:pPr>
        <w:spacing w:after="160"/>
        <w:jc w:val="both"/>
      </w:pPr>
      <w:r>
        <w:rPr>
          <w:rFonts w:ascii="Comic Sans MS" w:hAnsi="Comic Sans MS" w:cs="Comic Sans MS" w:eastAsia="Comic Sans MS"/>
          <w:b w:val="0"/>
          <w:i w:val="0"/>
          <w:color w:val="000000"/>
          <w:sz w:val="28"/>
        </w:rPr>
        <w:t xml:space="preserve">Representative countries are the United Kingdom, northern Europe, Canada and Russia in Zone I; the United States, southern Europe and Japan in Zone II; Iran, Iraq and Sudan in Zone III; and Brazil, Ghana, Indonesia, the Philippines and Singapore in Zone IV. </w:t>
      </w:r>
      <w:r>
        <w:rPr>
          <w:rFonts w:ascii="Comic Sans MS" w:hAnsi="Comic Sans MS" w:cs="Comic Sans MS" w:eastAsia="Comic Sans MS"/>
          <w:b/>
          <w:i w:val="0"/>
          <w:color w:val="000000"/>
          <w:sz w:val="28"/>
        </w:rPr>
        <w:t>India is assigned to Zone IVb</w:t>
      </w:r>
      <w:r>
        <w:rPr>
          <w:rFonts w:ascii="Comic Sans MS" w:hAnsi="Comic Sans MS" w:cs="Comic Sans MS" w:eastAsia="Comic Sans MS"/>
          <w:b w:val="0"/>
          <w:i w:val="0"/>
          <w:color w:val="000000"/>
          <w:sz w:val="28"/>
        </w:rPr>
        <w:t>, and long-term stability data for the Indian market are therefore generated at 30 degrees Celsius and 75 per cent relative humidity, with the accelerated condition remaining 40 degrees Celsius and 75 per cent relative humidity. The WHO Expert Committee divided Zone IV into IVa and IVb precisely because a single set of conditions could not protect products destined for the most humid regions, and WHO now expects prequalification data at Zone IVb conditions unless otherwise justified.</w:t>
      </w:r>
    </w:p>
    <w:p>
      <w:pPr>
        <w:keepNext/>
        <w:spacing w:before="160" w:after="40"/>
      </w:pPr>
      <w:r>
        <w:rPr>
          <w:rFonts w:ascii="Comic Sans MS" w:hAnsi="Comic Sans MS" w:cs="Comic Sans MS" w:eastAsia="Comic Sans MS"/>
          <w:b/>
          <w:i w:val="0"/>
          <w:color w:val="000000"/>
          <w:sz w:val="28"/>
        </w:rPr>
        <w:t>4.6.6 Reduced Designs: Bracketing and Matrixing (ICH Q1D)</w:t>
      </w:r>
    </w:p>
    <w:p>
      <w:pPr>
        <w:spacing w:after="160"/>
        <w:jc w:val="both"/>
      </w:pPr>
      <w:r>
        <w:rPr>
          <w:rFonts w:ascii="Comic Sans MS" w:hAnsi="Comic Sans MS" w:cs="Comic Sans MS" w:eastAsia="Comic Sans MS"/>
          <w:b w:val="0"/>
          <w:i w:val="0"/>
          <w:color w:val="000000"/>
          <w:sz w:val="28"/>
        </w:rPr>
        <w:t xml:space="preserve">A full study design is one in which samples for every combination of all design factors are tested at every time point. A </w:t>
      </w:r>
      <w:r>
        <w:rPr>
          <w:rFonts w:ascii="Comic Sans MS" w:hAnsi="Comic Sans MS" w:cs="Comic Sans MS" w:eastAsia="Comic Sans MS"/>
          <w:b/>
          <w:i w:val="0"/>
          <w:color w:val="000000"/>
          <w:sz w:val="28"/>
        </w:rPr>
        <w:t>reduced design</w:t>
      </w:r>
      <w:r>
        <w:rPr>
          <w:rFonts w:ascii="Comic Sans MS" w:hAnsi="Comic Sans MS" w:cs="Comic Sans MS" w:eastAsia="Comic Sans MS"/>
          <w:b w:val="0"/>
          <w:i w:val="0"/>
          <w:color w:val="000000"/>
          <w:sz w:val="28"/>
        </w:rPr>
        <w:t xml:space="preserve"> is one in which some samples are not tested. Reduced designs save a great deal of analytical work, but they carry the risk of yielding a shorter retest period or shelf life than a full design would, and they must be justified.</w:t>
      </w:r>
    </w:p>
    <w:p>
      <w:pPr>
        <w:spacing w:after="160"/>
        <w:jc w:val="both"/>
      </w:pPr>
      <w:r>
        <w:rPr>
          <w:rFonts w:ascii="Comic Sans MS" w:hAnsi="Comic Sans MS" w:cs="Comic Sans MS" w:eastAsia="Comic Sans MS"/>
          <w:b/>
          <w:i w:val="0"/>
          <w:color w:val="000000"/>
          <w:sz w:val="28"/>
        </w:rPr>
        <w:t>Bracketing</w:t>
      </w:r>
      <w:r>
        <w:rPr>
          <w:rFonts w:ascii="Comic Sans MS" w:hAnsi="Comic Sans MS" w:cs="Comic Sans MS" w:eastAsia="Comic Sans MS"/>
          <w:b w:val="0"/>
          <w:i w:val="0"/>
          <w:color w:val="000000"/>
          <w:sz w:val="28"/>
        </w:rPr>
        <w:t xml:space="preserve"> is the design of a stability schedule such that only samples at the </w:t>
      </w:r>
      <w:r>
        <w:rPr>
          <w:rFonts w:ascii="Comic Sans MS" w:hAnsi="Comic Sans MS" w:cs="Comic Sans MS" w:eastAsia="Comic Sans MS"/>
          <w:b/>
          <w:i w:val="0"/>
          <w:color w:val="000000"/>
          <w:sz w:val="28"/>
        </w:rPr>
        <w:t>extremes</w:t>
      </w:r>
      <w:r>
        <w:rPr>
          <w:rFonts w:ascii="Comic Sans MS" w:hAnsi="Comic Sans MS" w:cs="Comic Sans MS" w:eastAsia="Comic Sans MS"/>
          <w:b w:val="0"/>
          <w:i w:val="0"/>
          <w:color w:val="000000"/>
          <w:sz w:val="28"/>
        </w:rPr>
        <w:t xml:space="preserve"> of certain design factors, for example strength and container size or fill, are tested at all time points as in a full design. The design assumes that the stability of intermediate levels is represented by that of the extremes tested.</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Application to strength.</w:t>
      </w:r>
      <w:r>
        <w:rPr>
          <w:rFonts w:ascii="Comic Sans MS" w:hAnsi="Comic Sans MS" w:cs="Comic Sans MS" w:eastAsia="Comic Sans MS"/>
          <w:b w:val="0"/>
          <w:i w:val="0"/>
          <w:color w:val="000000"/>
          <w:sz w:val="28"/>
        </w:rPr>
        <w:t xml:space="preserve"> Bracketing may be applied where the strengths are of identical or closely related composition, for example capsules of different strengths made with different fill weights of the same blend, tablets of different strengths compressed from the same granulation, or oral solutions differing only in minor excipients such as colourants and flavours. With justification it may be applied where the relative proportions of drug and excipient change. Where </w:t>
      </w:r>
      <w:r>
        <w:rPr>
          <w:rFonts w:ascii="Comic Sans MS" w:hAnsi="Comic Sans MS" w:cs="Comic Sans MS" w:eastAsia="Comic Sans MS"/>
          <w:b/>
          <w:i w:val="0"/>
          <w:color w:val="000000"/>
          <w:sz w:val="28"/>
        </w:rPr>
        <w:t>different excipients</w:t>
      </w:r>
      <w:r>
        <w:rPr>
          <w:rFonts w:ascii="Comic Sans MS" w:hAnsi="Comic Sans MS" w:cs="Comic Sans MS" w:eastAsia="Comic Sans MS"/>
          <w:b w:val="0"/>
          <w:i w:val="0"/>
          <w:color w:val="000000"/>
          <w:sz w:val="28"/>
        </w:rPr>
        <w:t xml:space="preserve"> are used among the strengths, bracketing should generally </w:t>
      </w:r>
      <w:r>
        <w:rPr>
          <w:rFonts w:ascii="Comic Sans MS" w:hAnsi="Comic Sans MS" w:cs="Comic Sans MS" w:eastAsia="Comic Sans MS"/>
          <w:b/>
          <w:i w:val="0"/>
          <w:color w:val="000000"/>
          <w:sz w:val="28"/>
        </w:rPr>
        <w:t>not</w:t>
      </w:r>
      <w:r>
        <w:rPr>
          <w:rFonts w:ascii="Comic Sans MS" w:hAnsi="Comic Sans MS" w:cs="Comic Sans MS" w:eastAsia="Comic Sans MS"/>
          <w:b w:val="0"/>
          <w:i w:val="0"/>
          <w:color w:val="000000"/>
          <w:sz w:val="28"/>
        </w:rPr>
        <w:t xml:space="preserve"> be applied.</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Application to container size and fill.</w:t>
      </w:r>
      <w:r>
        <w:rPr>
          <w:rFonts w:ascii="Comic Sans MS" w:hAnsi="Comic Sans MS" w:cs="Comic Sans MS" w:eastAsia="Comic Sans MS"/>
          <w:b w:val="0"/>
          <w:i w:val="0"/>
          <w:color w:val="000000"/>
          <w:sz w:val="28"/>
        </w:rPr>
        <w:t xml:space="preserve"> Bracketing may be applied to the same container closure system where either the size or the fill varies while the other is constant. Where both vary, it must not be assumed that the largest and smallest containers represent the extremes, and the true extremes must be identified by comparing surface-area-to-volume ratio and headspace.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Limitation.</w:t>
      </w:r>
      <w:r>
        <w:rPr>
          <w:rFonts w:ascii="Comic Sans MS" w:hAnsi="Comic Sans MS" w:cs="Comic Sans MS" w:eastAsia="Comic Sans MS"/>
          <w:b w:val="0"/>
          <w:i w:val="0"/>
          <w:color w:val="000000"/>
          <w:sz w:val="28"/>
        </w:rPr>
        <w:t xml:space="preserve"> A bracketing design is not appropriate if it cannot be demonstrated that the levels selected are indeed the extremes. If an extreme is subsequently discontinued, the retest period or shelf life for the intermediate levels must be justified on the remaining data.</w:t>
      </w:r>
    </w:p>
    <w:p>
      <w:pPr>
        <w:spacing w:after="160"/>
        <w:jc w:val="both"/>
      </w:pPr>
      <w:r>
        <w:rPr>
          <w:rFonts w:ascii="Comic Sans MS" w:hAnsi="Comic Sans MS" w:cs="Comic Sans MS" w:eastAsia="Comic Sans MS"/>
          <w:b/>
          <w:i w:val="0"/>
          <w:color w:val="000000"/>
          <w:sz w:val="28"/>
        </w:rPr>
        <w:t>Matrixing</w:t>
      </w:r>
      <w:r>
        <w:rPr>
          <w:rFonts w:ascii="Comic Sans MS" w:hAnsi="Comic Sans MS" w:cs="Comic Sans MS" w:eastAsia="Comic Sans MS"/>
          <w:b w:val="0"/>
          <w:i w:val="0"/>
          <w:color w:val="000000"/>
          <w:sz w:val="28"/>
        </w:rPr>
        <w:t xml:space="preserve"> is the design of a stability schedule such that a selected </w:t>
      </w:r>
      <w:r>
        <w:rPr>
          <w:rFonts w:ascii="Comic Sans MS" w:hAnsi="Comic Sans MS" w:cs="Comic Sans MS" w:eastAsia="Comic Sans MS"/>
          <w:b/>
          <w:i w:val="0"/>
          <w:color w:val="000000"/>
          <w:sz w:val="28"/>
        </w:rPr>
        <w:t>subset</w:t>
      </w:r>
      <w:r>
        <w:rPr>
          <w:rFonts w:ascii="Comic Sans MS" w:hAnsi="Comic Sans MS" w:cs="Comic Sans MS" w:eastAsia="Comic Sans MS"/>
          <w:b w:val="0"/>
          <w:i w:val="0"/>
          <w:color w:val="000000"/>
          <w:sz w:val="28"/>
        </w:rPr>
        <w:t xml:space="preserve"> of the total number of possible samples is tested at any specified time point, with a different subset tested at the next time point. The design assumes that the stability of the subset tested represents that of all the samples.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Matrixing may be applied to time points, and to factors such as batch, strength, container size and fill, and, where the formulations are identical or closely related, to formulation. It is described by the fraction of the full design retained, for example one-half or one-third reduction.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Applicability depends on variability.</w:t>
      </w:r>
      <w:r>
        <w:rPr>
          <w:rFonts w:ascii="Comic Sans MS" w:hAnsi="Comic Sans MS" w:cs="Comic Sans MS" w:eastAsia="Comic Sans MS"/>
          <w:b w:val="0"/>
          <w:i w:val="0"/>
          <w:color w:val="000000"/>
          <w:sz w:val="28"/>
        </w:rPr>
        <w:t xml:space="preserve"> Matrixing is appropriate when the supporting data exhibit only </w:t>
      </w:r>
      <w:r>
        <w:rPr>
          <w:rFonts w:ascii="Comic Sans MS" w:hAnsi="Comic Sans MS" w:cs="Comic Sans MS" w:eastAsia="Comic Sans MS"/>
          <w:b/>
          <w:i w:val="0"/>
          <w:color w:val="000000"/>
          <w:sz w:val="28"/>
        </w:rPr>
        <w:t>small variability.</w:t>
      </w:r>
      <w:r>
        <w:rPr>
          <w:rFonts w:ascii="Comic Sans MS" w:hAnsi="Comic Sans MS" w:cs="Comic Sans MS" w:eastAsia="Comic Sans MS"/>
          <w:b w:val="0"/>
          <w:i w:val="0"/>
          <w:color w:val="000000"/>
          <w:sz w:val="28"/>
        </w:rPr>
        <w:t xml:space="preserve"> Where the supporting data show </w:t>
      </w:r>
      <w:r>
        <w:rPr>
          <w:rFonts w:ascii="Comic Sans MS" w:hAnsi="Comic Sans MS" w:cs="Comic Sans MS" w:eastAsia="Comic Sans MS"/>
          <w:b/>
          <w:i w:val="0"/>
          <w:color w:val="000000"/>
          <w:sz w:val="28"/>
        </w:rPr>
        <w:t>moderate variability</w:t>
      </w:r>
      <w:r>
        <w:rPr>
          <w:rFonts w:ascii="Comic Sans MS" w:hAnsi="Comic Sans MS" w:cs="Comic Sans MS" w:eastAsia="Comic Sans MS"/>
          <w:b w:val="0"/>
          <w:i w:val="0"/>
          <w:color w:val="000000"/>
          <w:sz w:val="28"/>
        </w:rPr>
        <w:t xml:space="preserve">, a matrixing design must be </w:t>
      </w:r>
      <w:r>
        <w:rPr>
          <w:rFonts w:ascii="Comic Sans MS" w:hAnsi="Comic Sans MS" w:cs="Comic Sans MS" w:eastAsia="Comic Sans MS"/>
          <w:b/>
          <w:i w:val="0"/>
          <w:color w:val="000000"/>
          <w:sz w:val="28"/>
        </w:rPr>
        <w:t>statistically justified</w:t>
      </w:r>
      <w:r>
        <w:rPr>
          <w:rFonts w:ascii="Comic Sans MS" w:hAnsi="Comic Sans MS" w:cs="Comic Sans MS" w:eastAsia="Comic Sans MS"/>
          <w:b w:val="0"/>
          <w:i w:val="0"/>
          <w:color w:val="000000"/>
          <w:sz w:val="28"/>
        </w:rPr>
        <w:t xml:space="preserve">, for example by evaluating the power of the design to detect differences in degradation rate or its precision in estimating shelf life. Where the supporting data show </w:t>
      </w:r>
      <w:r>
        <w:rPr>
          <w:rFonts w:ascii="Comic Sans MS" w:hAnsi="Comic Sans MS" w:cs="Comic Sans MS" w:eastAsia="Comic Sans MS"/>
          <w:b/>
          <w:i w:val="0"/>
          <w:color w:val="000000"/>
          <w:sz w:val="28"/>
        </w:rPr>
        <w:t>large variability</w:t>
      </w:r>
      <w:r>
        <w:rPr>
          <w:rFonts w:ascii="Comic Sans MS" w:hAnsi="Comic Sans MS" w:cs="Comic Sans MS" w:eastAsia="Comic Sans MS"/>
          <w:b w:val="0"/>
          <w:i w:val="0"/>
          <w:color w:val="000000"/>
          <w:sz w:val="28"/>
        </w:rPr>
        <w:t xml:space="preserve">, matrixing should </w:t>
      </w:r>
      <w:r>
        <w:rPr>
          <w:rFonts w:ascii="Comic Sans MS" w:hAnsi="Comic Sans MS" w:cs="Comic Sans MS" w:eastAsia="Comic Sans MS"/>
          <w:b/>
          <w:i w:val="0"/>
          <w:color w:val="000000"/>
          <w:sz w:val="28"/>
        </w:rPr>
        <w:t>not</w:t>
      </w:r>
      <w:r>
        <w:rPr>
          <w:rFonts w:ascii="Comic Sans MS" w:hAnsi="Comic Sans MS" w:cs="Comic Sans MS" w:eastAsia="Comic Sans MS"/>
          <w:b w:val="0"/>
          <w:i w:val="0"/>
          <w:color w:val="000000"/>
          <w:sz w:val="28"/>
        </w:rPr>
        <w:t xml:space="preserve"> be applied.</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The greater the number of factors and the number of levels within each factor, the greater the degree of reduction that may be considered, but any reduced design must retain the ability to predict the shelf life adequately.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Potential risk.</w:t>
      </w:r>
      <w:r>
        <w:rPr>
          <w:rFonts w:ascii="Comic Sans MS" w:hAnsi="Comic Sans MS" w:cs="Comic Sans MS" w:eastAsia="Comic Sans MS"/>
          <w:b w:val="0"/>
          <w:i w:val="0"/>
          <w:color w:val="000000"/>
          <w:sz w:val="28"/>
        </w:rPr>
        <w:t xml:space="preserve"> Because less data are collected, a matrixing design generally gives less precision in shelf-life estimation and a shorter estimated shelf life than the corresponding full design, and it may have insufficient power to detect certain effects.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The initial and final time points are normally tested in full, and matrixing on the first and last time points is avoided.</w:t>
      </w:r>
    </w:p>
    <w:p>
      <w:pPr>
        <w:spacing w:after="160"/>
        <w:jc w:val="both"/>
      </w:pPr>
      <w:r>
        <w:rPr>
          <w:rFonts w:ascii="Comic Sans MS" w:hAnsi="Comic Sans MS" w:cs="Comic Sans MS" w:eastAsia="Comic Sans MS"/>
          <w:b w:val="0"/>
          <w:i w:val="0"/>
          <w:color w:val="000000"/>
          <w:sz w:val="28"/>
        </w:rPr>
        <w:t>A change from a reduced design to a full design, or to a less reduced design, may be made during the study if justified, with appropriate adjustment of the statistical analysis.</w:t>
      </w:r>
    </w:p>
    <w:p>
      <w:pPr>
        <w:keepNext/>
        <w:spacing w:before="160" w:after="40"/>
      </w:pPr>
      <w:r>
        <w:rPr>
          <w:rFonts w:ascii="Comic Sans MS" w:hAnsi="Comic Sans MS" w:cs="Comic Sans MS" w:eastAsia="Comic Sans MS"/>
          <w:b/>
          <w:i w:val="0"/>
          <w:color w:val="000000"/>
          <w:sz w:val="28"/>
        </w:rPr>
        <w:t>4.6.7 Evaluation and Extrapolation of Stability Data (ICH Q1E)</w:t>
      </w:r>
    </w:p>
    <w:p>
      <w:pPr>
        <w:spacing w:after="160"/>
        <w:jc w:val="both"/>
      </w:pPr>
      <w:r>
        <w:rPr>
          <w:rFonts w:ascii="Comic Sans MS" w:hAnsi="Comic Sans MS" w:cs="Comic Sans MS" w:eastAsia="Comic Sans MS"/>
          <w:b w:val="0"/>
          <w:i w:val="0"/>
          <w:color w:val="000000"/>
          <w:sz w:val="28"/>
        </w:rPr>
        <w:t>The purpose of evaluation is to establish, with a high degree of confidence, a retest period or shelf life applicable to all future batches. The approach is as follows.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If the data show little degradation and little variability, it may be apparent that the proposed shelf life is justified without formal statistical analysis, and a justification for omitting it should be provided.</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 xml:space="preserve">Otherwise, regression analysis is applied to the quantitative attribute. The </w:t>
      </w:r>
      <w:r>
        <w:rPr>
          <w:rFonts w:ascii="Comic Sans MS" w:hAnsi="Comic Sans MS" w:cs="Comic Sans MS" w:eastAsia="Comic Sans MS"/>
          <w:b/>
          <w:i w:val="0"/>
          <w:color w:val="000000"/>
          <w:sz w:val="28"/>
        </w:rPr>
        <w:t>shelf life is estimated as the time at which the 95 per cent one-sided confidence limit for the mean curve intersects the acceptance criterion.</w:t>
      </w:r>
      <w:r>
        <w:rPr>
          <w:rFonts w:ascii="Comic Sans MS" w:hAnsi="Comic Sans MS" w:cs="Comic Sans MS" w:eastAsia="Comic Sans MS"/>
          <w:b w:val="0"/>
          <w:i w:val="0"/>
          <w:color w:val="000000"/>
          <w:sz w:val="28"/>
        </w:rPr>
        <w:t xml:space="preserve"> For an attribute that may increase or decrease, or where both limits are relevant, two-sided 95 per cent limits are used.</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 xml:space="preserve">Data from the three batches should first be tested for </w:t>
      </w:r>
      <w:r>
        <w:rPr>
          <w:rFonts w:ascii="Comic Sans MS" w:hAnsi="Comic Sans MS" w:cs="Comic Sans MS" w:eastAsia="Comic Sans MS"/>
          <w:b/>
          <w:i w:val="0"/>
          <w:color w:val="000000"/>
          <w:sz w:val="28"/>
        </w:rPr>
        <w:t>poolability</w:t>
      </w:r>
      <w:r>
        <w:rPr>
          <w:rFonts w:ascii="Comic Sans MS" w:hAnsi="Comic Sans MS" w:cs="Comic Sans MS" w:eastAsia="Comic Sans MS"/>
          <w:b w:val="0"/>
          <w:i w:val="0"/>
          <w:color w:val="000000"/>
          <w:sz w:val="28"/>
        </w:rPr>
        <w:t>, using analysis of covariance to compare slopes and intercepts, conventionally at the 0.25 significance level. If the batches may be pooled, a single regression on the combined data gives a longer and better-supported shelf life; if not, the shortest of the individual batch estimates is used.</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Extrapolation</w:t>
      </w:r>
      <w:r>
        <w:rPr>
          <w:rFonts w:ascii="Comic Sans MS" w:hAnsi="Comic Sans MS" w:cs="Comic Sans MS" w:eastAsia="Comic Sans MS"/>
          <w:b w:val="0"/>
          <w:i w:val="0"/>
          <w:color w:val="000000"/>
          <w:sz w:val="28"/>
        </w:rPr>
        <w:t xml:space="preserve"> beyond the observed long-term data may be proposed, but must be supported by a sound scientific rationale and by the accelerated and, where applicable, intermediate data. Q1E sets out the permissible extent of extrapolation: broadly, where no significant change occurs at the accelerated condition and the long-term data show little or no change and little variability, the shelf life may be extended up to twice, but not more than twelve months beyond, the period covered by long-term data.</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The evaluation must also consider attributes that cannot be treated by regression, such as appearance, and the results of any statistical treatment must be consistent with the observed data.</w:t>
      </w:r>
    </w:p>
    <w:p>
      <w:pPr>
        <w:keepNext/>
        <w:spacing w:before="160" w:after="40"/>
      </w:pPr>
      <w:r>
        <w:rPr>
          <w:rFonts w:ascii="Comic Sans MS" w:hAnsi="Comic Sans MS" w:cs="Comic Sans MS" w:eastAsia="Comic Sans MS"/>
          <w:b/>
          <w:i w:val="0"/>
          <w:color w:val="000000"/>
          <w:sz w:val="28"/>
        </w:rPr>
        <w:t>4.6.8 Photostability Testing (ICH Q1B)</w:t>
      </w:r>
    </w:p>
    <w:p>
      <w:pPr>
        <w:spacing w:after="160"/>
        <w:jc w:val="both"/>
      </w:pPr>
      <w:r>
        <w:rPr>
          <w:rFonts w:ascii="Comic Sans MS" w:hAnsi="Comic Sans MS" w:cs="Comic Sans MS" w:eastAsia="Comic Sans MS"/>
          <w:b w:val="0"/>
          <w:i w:val="0"/>
          <w:color w:val="000000"/>
          <w:sz w:val="28"/>
        </w:rPr>
        <w:t>Photostability testing forms an integral part of stress testing. Its design is sequential: testing of the drug substance, then of the exposed drug product outside its immediate pack, then if necessary of the product in the immediate pack, and finally in the marketing pack, continuing only until adequate protection is demonstrated.</w:t>
      </w:r>
    </w:p>
    <w:p>
      <w:pPr>
        <w:spacing w:after="160"/>
        <w:jc w:val="both"/>
      </w:pPr>
      <w:r>
        <w:rPr>
          <w:rFonts w:ascii="Comic Sans MS" w:hAnsi="Comic Sans MS" w:cs="Comic Sans MS" w:eastAsia="Comic Sans MS"/>
          <w:b/>
          <w:i w:val="0"/>
          <w:color w:val="000000"/>
          <w:sz w:val="28"/>
        </w:rPr>
        <w:t>Light sources.</w:t>
      </w:r>
      <w:r>
        <w:rPr>
          <w:rFonts w:ascii="Comic Sans MS" w:hAnsi="Comic Sans MS" w:cs="Comic Sans MS" w:eastAsia="Comic Sans MS"/>
          <w:b w:val="0"/>
          <w:i w:val="0"/>
          <w:color w:val="000000"/>
          <w:sz w:val="28"/>
        </w:rPr>
        <w:t xml:space="preserve"> Either of two options may be used.</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Option 1.</w:t>
      </w:r>
      <w:r>
        <w:rPr>
          <w:rFonts w:ascii="Comic Sans MS" w:hAnsi="Comic Sans MS" w:cs="Comic Sans MS" w:eastAsia="Comic Sans MS"/>
          <w:b w:val="0"/>
          <w:i w:val="0"/>
          <w:color w:val="000000"/>
          <w:sz w:val="28"/>
        </w:rPr>
        <w:t xml:space="preserve"> Any light source designed to produce an output similar to the D65 or ID65 emission standard, such as an artificial daylight fluorescent lamp combining visible and ultraviolet output, a xenon lamp, or a metal halide lamp. D65 is the internationally recognised standard for outdoor daylight and ID65 the equivalent indoor indirect daylight standard. Where the source emits significant radiation below 320 nanometres, a filter may be fitted to remove it.</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Option 2.</w:t>
      </w:r>
      <w:r>
        <w:rPr>
          <w:rFonts w:ascii="Comic Sans MS" w:hAnsi="Comic Sans MS" w:cs="Comic Sans MS" w:eastAsia="Comic Sans MS"/>
          <w:b w:val="0"/>
          <w:i w:val="0"/>
          <w:color w:val="000000"/>
          <w:sz w:val="28"/>
        </w:rPr>
        <w:t xml:space="preserve"> The same sample is exposed to both a cool white fluorescent lamp producing an output similar to that specified in ISO 10977, and a near-ultraviolet fluorescent lamp having a spectral distribution from 320 to 400 nanometres with maximum energy emission between 350 and 370 nanometres, a significant proportion of the ultraviolet output lying in each of the bands 320 to 360 and 360 to 400 nanometres.</w:t>
      </w:r>
    </w:p>
    <w:p>
      <w:pPr>
        <w:spacing w:after="160"/>
        <w:jc w:val="both"/>
      </w:pPr>
      <w:r>
        <w:rPr>
          <w:rFonts w:ascii="Comic Sans MS" w:hAnsi="Comic Sans MS" w:cs="Comic Sans MS" w:eastAsia="Comic Sans MS"/>
          <w:b/>
          <w:i w:val="0"/>
          <w:color w:val="000000"/>
          <w:sz w:val="28"/>
        </w:rPr>
        <w:t>Exposure.</w:t>
      </w:r>
      <w:r>
        <w:rPr>
          <w:rFonts w:ascii="Comic Sans MS" w:hAnsi="Comic Sans MS" w:cs="Comic Sans MS" w:eastAsia="Comic Sans MS"/>
          <w:b w:val="0"/>
          <w:i w:val="0"/>
          <w:color w:val="000000"/>
          <w:sz w:val="28"/>
        </w:rPr>
        <w:t xml:space="preserve"> For confirmatory studies, samples are exposed to an overall illumination of </w:t>
      </w:r>
      <w:r>
        <w:rPr>
          <w:rFonts w:ascii="Comic Sans MS" w:hAnsi="Comic Sans MS" w:cs="Comic Sans MS" w:eastAsia="Comic Sans MS"/>
          <w:b/>
          <w:i w:val="0"/>
          <w:color w:val="000000"/>
          <w:sz w:val="28"/>
        </w:rPr>
        <w:t>not less than 1.2 million lux hours</w:t>
      </w:r>
      <w:r>
        <w:rPr>
          <w:rFonts w:ascii="Comic Sans MS" w:hAnsi="Comic Sans MS" w:cs="Comic Sans MS" w:eastAsia="Comic Sans MS"/>
          <w:b w:val="0"/>
          <w:i w:val="0"/>
          <w:color w:val="000000"/>
          <w:sz w:val="28"/>
        </w:rPr>
        <w:t xml:space="preserve"> and an integrated near-ultraviolet energy of </w:t>
      </w:r>
      <w:r>
        <w:rPr>
          <w:rFonts w:ascii="Comic Sans MS" w:hAnsi="Comic Sans MS" w:cs="Comic Sans MS" w:eastAsia="Comic Sans MS"/>
          <w:b/>
          <w:i w:val="0"/>
          <w:color w:val="000000"/>
          <w:sz w:val="28"/>
        </w:rPr>
        <w:t>not less than 200 watt hours per square metre.</w:t>
      </w:r>
      <w:r>
        <w:rPr>
          <w:rFonts w:ascii="Comic Sans MS" w:hAnsi="Comic Sans MS" w:cs="Comic Sans MS" w:eastAsia="Comic Sans MS"/>
          <w:b w:val="0"/>
          <w:i w:val="0"/>
          <w:color w:val="000000"/>
          <w:sz w:val="28"/>
        </w:rPr>
        <w:t xml:space="preserve"> Samples may be exposed alongside a validated chemical actinometric system, the reference example being </w:t>
      </w:r>
      <w:r>
        <w:rPr>
          <w:rFonts w:ascii="Comic Sans MS" w:hAnsi="Comic Sans MS" w:cs="Comic Sans MS" w:eastAsia="Comic Sans MS"/>
          <w:b/>
          <w:i w:val="0"/>
          <w:color w:val="000000"/>
          <w:sz w:val="28"/>
        </w:rPr>
        <w:t>quinine chemical actinometry</w:t>
      </w:r>
      <w:r>
        <w:rPr>
          <w:rFonts w:ascii="Comic Sans MS" w:hAnsi="Comic Sans MS" w:cs="Comic Sans MS" w:eastAsia="Comic Sans MS"/>
          <w:b w:val="0"/>
          <w:i w:val="0"/>
          <w:color w:val="000000"/>
          <w:sz w:val="28"/>
        </w:rPr>
        <w:t xml:space="preserve"> using a 2 per cent weight per volume aqueous solution of quinine monohydrochloride dihydrate, or for a defined duration with calibrated radiometers and lux meters.</w:t>
      </w:r>
    </w:p>
    <w:p>
      <w:pPr>
        <w:spacing w:after="160"/>
        <w:jc w:val="both"/>
      </w:pPr>
      <w:r>
        <w:rPr>
          <w:rFonts w:ascii="Comic Sans MS" w:hAnsi="Comic Sans MS" w:cs="Comic Sans MS" w:eastAsia="Comic Sans MS"/>
          <w:b/>
          <w:i w:val="0"/>
          <w:color w:val="000000"/>
          <w:sz w:val="28"/>
        </w:rPr>
        <w:t>Dark controls,</w:t>
      </w:r>
      <w:r>
        <w:rPr>
          <w:rFonts w:ascii="Comic Sans MS" w:hAnsi="Comic Sans MS" w:cs="Comic Sans MS" w:eastAsia="Comic Sans MS"/>
          <w:b w:val="0"/>
          <w:i w:val="0"/>
          <w:color w:val="000000"/>
          <w:sz w:val="28"/>
        </w:rPr>
        <w:t xml:space="preserve"> for instance samples wrapped in aluminium foil, are placed alongside the exposed samples to distinguish thermally induced change from genuinely photochemical change, and the temperature must be controlled or monitored.</w:t>
      </w:r>
    </w:p>
    <w:p>
      <w:pPr>
        <w:spacing w:after="160"/>
        <w:jc w:val="both"/>
      </w:pPr>
      <w:r>
        <w:rPr>
          <w:rFonts w:ascii="Comic Sans MS" w:hAnsi="Comic Sans MS" w:cs="Comic Sans MS" w:eastAsia="Comic Sans MS"/>
          <w:b/>
          <w:i w:val="0"/>
          <w:color w:val="000000"/>
          <w:sz w:val="28"/>
        </w:rPr>
        <w:t>Evaluation.</w:t>
      </w:r>
      <w:r>
        <w:rPr>
          <w:rFonts w:ascii="Comic Sans MS" w:hAnsi="Comic Sans MS" w:cs="Comic Sans MS" w:eastAsia="Comic Sans MS"/>
          <w:b w:val="0"/>
          <w:i w:val="0"/>
          <w:color w:val="000000"/>
          <w:sz w:val="28"/>
        </w:rPr>
        <w:t xml:space="preserve"> Samples are examined for any change in physical properties, such as appearance, clarity and colour, and are assayed for content and degradation products by a method shown to be suitable for photodegradation products. Where unacceptable change occurs, protective measures are introduced and the testing sequence continues until the product in its marketing pack is shown to be adequately protected. A suitable label statement is then assigned.</w:t>
      </w:r>
    </w:p>
    <w:p>
      <w:pPr>
        <w:keepNext/>
        <w:spacing w:before="160" w:after="40"/>
      </w:pPr>
      <w:r>
        <w:rPr>
          <w:rFonts w:ascii="Comic Sans MS" w:hAnsi="Comic Sans MS" w:cs="Comic Sans MS" w:eastAsia="Comic Sans MS"/>
          <w:b/>
          <w:i w:val="0"/>
          <w:color w:val="000000"/>
          <w:sz w:val="28"/>
        </w:rPr>
        <w:t>4.6.9 Impurities and Degradation Products in Stability Studies</w:t>
      </w:r>
    </w:p>
    <w:p>
      <w:pPr>
        <w:spacing w:after="160"/>
        <w:jc w:val="both"/>
      </w:pPr>
      <w:r>
        <w:rPr>
          <w:rFonts w:ascii="Comic Sans MS" w:hAnsi="Comic Sans MS" w:cs="Comic Sans MS" w:eastAsia="Comic Sans MS"/>
          <w:b w:val="0"/>
          <w:i w:val="0"/>
          <w:color w:val="000000"/>
          <w:sz w:val="28"/>
        </w:rPr>
        <w:t xml:space="preserve">Degradation products observed during stability studies are controlled under ICH Q3A for the drug substance and Q3B for the drug product, which set thresholds, expressed as a percentage of the drug substance or of the maximum daily dose, for </w:t>
      </w:r>
      <w:r>
        <w:rPr>
          <w:rFonts w:ascii="Comic Sans MS" w:hAnsi="Comic Sans MS" w:cs="Comic Sans MS" w:eastAsia="Comic Sans MS"/>
          <w:b/>
          <w:i w:val="0"/>
          <w:color w:val="000000"/>
          <w:sz w:val="28"/>
        </w:rPr>
        <w:t>reporting</w:t>
      </w:r>
      <w:r>
        <w:rPr>
          <w:rFonts w:ascii="Comic Sans MS" w:hAnsi="Comic Sans MS" w:cs="Comic Sans MS" w:eastAsia="Comic Sans MS"/>
          <w:b w:val="0"/>
          <w:i w:val="0"/>
          <w:color w:val="000000"/>
          <w:sz w:val="28"/>
        </w:rPr>
        <w:t xml:space="preserve">, above which a degradation product must be reported; for </w:t>
      </w:r>
      <w:r>
        <w:rPr>
          <w:rFonts w:ascii="Comic Sans MS" w:hAnsi="Comic Sans MS" w:cs="Comic Sans MS" w:eastAsia="Comic Sans MS"/>
          <w:b/>
          <w:i w:val="0"/>
          <w:color w:val="000000"/>
          <w:sz w:val="28"/>
        </w:rPr>
        <w:t>identification</w:t>
      </w:r>
      <w:r>
        <w:rPr>
          <w:rFonts w:ascii="Comic Sans MS" w:hAnsi="Comic Sans MS" w:cs="Comic Sans MS" w:eastAsia="Comic Sans MS"/>
          <w:b w:val="0"/>
          <w:i w:val="0"/>
          <w:color w:val="000000"/>
          <w:sz w:val="28"/>
        </w:rPr>
        <w:t xml:space="preserve">, above which its structure must be elucidated; and for </w:t>
      </w:r>
      <w:r>
        <w:rPr>
          <w:rFonts w:ascii="Comic Sans MS" w:hAnsi="Comic Sans MS" w:cs="Comic Sans MS" w:eastAsia="Comic Sans MS"/>
          <w:b/>
          <w:i w:val="0"/>
          <w:color w:val="000000"/>
          <w:sz w:val="28"/>
        </w:rPr>
        <w:t>qualification</w:t>
      </w:r>
      <w:r>
        <w:rPr>
          <w:rFonts w:ascii="Comic Sans MS" w:hAnsi="Comic Sans MS" w:cs="Comic Sans MS" w:eastAsia="Comic Sans MS"/>
          <w:b w:val="0"/>
          <w:i w:val="0"/>
          <w:color w:val="000000"/>
          <w:sz w:val="28"/>
        </w:rPr>
        <w:t>, above which its biological safety must be established. The thresholds tighten as the maximum daily dose increases. Degradation products must be distinguished from process impurities, since only the former change on storage; specifications therefore normally include individual specified degradation products, individual unspecified degradation products, and total degradation products. Mass balance, that is the agreement between the loss of drug and the sum of the degradation products found, should be assessed as a check on the completeness of the analytical picture. Where a genotoxic degradation product is possible, the principles of ICH M7 apply.</w:t>
      </w:r>
    </w:p>
    <w:p>
      <w:pPr>
        <w:keepNext/>
        <w:spacing w:before="160" w:after="40"/>
      </w:pPr>
      <w:r>
        <w:rPr>
          <w:rFonts w:ascii="Comic Sans MS" w:hAnsi="Comic Sans MS" w:cs="Comic Sans MS" w:eastAsia="Comic Sans MS"/>
          <w:b/>
          <w:i w:val="0"/>
          <w:color w:val="000000"/>
          <w:sz w:val="28"/>
        </w:rPr>
        <w:t>4.6.10 In-Use, On-Going and Post-Approval Stability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In-use stability testing</w:t>
      </w:r>
      <w:r>
        <w:rPr>
          <w:rFonts w:ascii="Comic Sans MS" w:hAnsi="Comic Sans MS" w:cs="Comic Sans MS" w:eastAsia="Comic Sans MS"/>
          <w:b w:val="0"/>
          <w:i w:val="0"/>
          <w:color w:val="000000"/>
          <w:sz w:val="28"/>
        </w:rPr>
        <w:t xml:space="preserve"> establishes the period during which a multidose product may be used after first opening, and the conditions for its storage during that period. Reconstituted powders, diluted infusions, multidose eye drops, insulin pens and oral liquids all require it, and the testing is performed on aged product to simulate the worst case.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On-going stability programme.</w:t>
      </w:r>
      <w:r>
        <w:rPr>
          <w:rFonts w:ascii="Comic Sans MS" w:hAnsi="Comic Sans MS" w:cs="Comic Sans MS" w:eastAsia="Comic Sans MS"/>
          <w:b w:val="0"/>
          <w:i w:val="0"/>
          <w:color w:val="000000"/>
          <w:sz w:val="28"/>
        </w:rPr>
        <w:t xml:space="preserve"> After approval, at least one batch per year of each product in each container closure system must be placed on long-term stability to confirm continuing performance, with out-of-specification and out-of-trend results formally investigated.</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Stability after a change.</w:t>
      </w:r>
      <w:r>
        <w:rPr>
          <w:rFonts w:ascii="Comic Sans MS" w:hAnsi="Comic Sans MS" w:cs="Comic Sans MS" w:eastAsia="Comic Sans MS"/>
          <w:b w:val="0"/>
          <w:i w:val="0"/>
          <w:color w:val="000000"/>
          <w:sz w:val="28"/>
        </w:rPr>
        <w:t xml:space="preserve"> Changes in formulation, process, equipment, site, scale, supplier or packaging require stability data proportionate to the risk, in accordance with the relevant variation or post-approval change guidance.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Transport and distribution studies,</w:t>
      </w:r>
      <w:r>
        <w:rPr>
          <w:rFonts w:ascii="Comic Sans MS" w:hAnsi="Comic Sans MS" w:cs="Comic Sans MS" w:eastAsia="Comic Sans MS"/>
          <w:b w:val="0"/>
          <w:i w:val="0"/>
          <w:color w:val="000000"/>
          <w:sz w:val="28"/>
        </w:rPr>
        <w:t xml:space="preserve"> including temperature cycling and freeze-thaw studies, demonstrate robustness to real distribution conditions.</w:t>
      </w:r>
    </w:p>
    <w:p>
      <w:pPr>
        <w:keepNext/>
        <w:spacing w:before="160" w:after="40"/>
      </w:pPr>
      <w:r>
        <w:rPr>
          <w:rFonts w:ascii="Comic Sans MS" w:hAnsi="Comic Sans MS" w:cs="Comic Sans MS" w:eastAsia="Comic Sans MS"/>
          <w:b/>
          <w:i w:val="0"/>
          <w:color w:val="000000"/>
          <w:sz w:val="28"/>
        </w:rPr>
        <w:t>4.7 Applications of Microcalorimetry in Stability Studies</w:t>
      </w:r>
    </w:p>
    <w:p>
      <w:pPr>
        <w:keepNext/>
        <w:spacing w:before="160" w:after="40"/>
      </w:pPr>
      <w:r>
        <w:rPr>
          <w:rFonts w:ascii="Comic Sans MS" w:hAnsi="Comic Sans MS" w:cs="Comic Sans MS" w:eastAsia="Comic Sans MS"/>
          <w:b/>
          <w:i w:val="0"/>
          <w:color w:val="000000"/>
          <w:sz w:val="28"/>
        </w:rPr>
        <w:t>4.7.1 Principle</w:t>
      </w:r>
    </w:p>
    <w:p>
      <w:pPr>
        <w:spacing w:after="160"/>
        <w:jc w:val="both"/>
      </w:pPr>
      <w:r>
        <w:rPr>
          <w:rFonts w:ascii="Comic Sans MS" w:hAnsi="Comic Sans MS" w:cs="Comic Sans MS" w:eastAsia="Comic Sans MS"/>
          <w:b w:val="0"/>
          <w:i w:val="0"/>
          <w:color w:val="000000"/>
          <w:sz w:val="28"/>
        </w:rPr>
        <w:t xml:space="preserve">Every chemical and physical process is accompanied by the absorption or release of heat. </w:t>
      </w:r>
      <w:r>
        <w:rPr>
          <w:rFonts w:ascii="Comic Sans MS" w:hAnsi="Comic Sans MS" w:cs="Comic Sans MS" w:eastAsia="Comic Sans MS"/>
          <w:b/>
          <w:i w:val="0"/>
          <w:color w:val="000000"/>
          <w:sz w:val="28"/>
        </w:rPr>
        <w:t>Isothermal microcalorimetry</w:t>
      </w:r>
      <w:r>
        <w:rPr>
          <w:rFonts w:ascii="Comic Sans MS" w:hAnsi="Comic Sans MS" w:cs="Comic Sans MS" w:eastAsia="Comic Sans MS"/>
          <w:b w:val="0"/>
          <w:i w:val="0"/>
          <w:color w:val="000000"/>
          <w:sz w:val="28"/>
        </w:rPr>
        <w:t xml:space="preserve"> measures that heat flow directly, continuously and without any chemical separation, at a constant temperature, with a sensitivity of the order of microwatts or even nanowatts. Because the technique responds to the process itself rather than to the concentration of any particular species, it detects the onset of degradation at extents of reaction far below the limit of detection of chromatographic assay, often below 0.1 per cent, and it does so in real time.</w:t>
      </w:r>
    </w:p>
    <w:p>
      <w:pPr>
        <w:spacing w:after="160"/>
        <w:jc w:val="both"/>
      </w:pPr>
      <w:r>
        <w:rPr>
          <w:rFonts w:ascii="Comic Sans MS" w:hAnsi="Comic Sans MS" w:cs="Comic Sans MS" w:eastAsia="Comic Sans MS"/>
          <w:b w:val="0"/>
          <w:i w:val="0"/>
          <w:color w:val="000000"/>
          <w:sz w:val="28"/>
        </w:rPr>
        <w:t>In a heat-conduction microcalorimeter the sample ampoule is placed in intimate thermal contact with a thermopile connected to a heat sink held at constant temperature; the voltage generated is proportional to the rate of heat flow. Reference ampoules and careful baseline control are essential, because the signal measured is extremely small. The output is a plot of thermal power against time, and its integral is the total heat evolved.</w:t>
      </w:r>
    </w:p>
    <w:p>
      <w:pPr>
        <w:keepNext/>
        <w:spacing w:before="160" w:after="40"/>
      </w:pPr>
      <w:r>
        <w:rPr>
          <w:rFonts w:ascii="Comic Sans MS" w:hAnsi="Comic Sans MS" w:cs="Comic Sans MS" w:eastAsia="Comic Sans MS"/>
          <w:b/>
          <w:i w:val="0"/>
          <w:color w:val="000000"/>
          <w:sz w:val="28"/>
        </w:rPr>
        <w:t>4.7.2 Applications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Rapid prediction of stability.</w:t>
      </w:r>
      <w:r>
        <w:rPr>
          <w:rFonts w:ascii="Comic Sans MS" w:hAnsi="Comic Sans MS" w:cs="Comic Sans MS" w:eastAsia="Comic Sans MS"/>
          <w:b w:val="0"/>
          <w:i w:val="0"/>
          <w:color w:val="000000"/>
          <w:sz w:val="28"/>
        </w:rPr>
        <w:t xml:space="preserve"> Because very small extents of reaction produce a measurable heat flow, a stability assessment that would require months of storage followed by chromatographic assay can be made in days. Rate constants and, by measurement at several temperatures, activation energies and Arrhenius parameters may be derived, and the shelf life predicted. This is the principal attraction of the technique.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Comparison and ranking of formulations, salts and polymorphs</w:t>
      </w:r>
      <w:r>
        <w:rPr>
          <w:rFonts w:ascii="Comic Sans MS" w:hAnsi="Comic Sans MS" w:cs="Comic Sans MS" w:eastAsia="Comic Sans MS"/>
          <w:b w:val="0"/>
          <w:i w:val="0"/>
          <w:color w:val="000000"/>
          <w:sz w:val="28"/>
        </w:rPr>
        <w:t xml:space="preserve"> in early development, where the amount of material is limited and a rapid ordinal ranking is all that is required.</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Drug-excipient compatibility screening.</w:t>
      </w:r>
      <w:r>
        <w:rPr>
          <w:rFonts w:ascii="Comic Sans MS" w:hAnsi="Comic Sans MS" w:cs="Comic Sans MS" w:eastAsia="Comic Sans MS"/>
          <w:b w:val="0"/>
          <w:i w:val="0"/>
          <w:color w:val="000000"/>
          <w:sz w:val="28"/>
        </w:rPr>
        <w:t xml:space="preserve"> The heat flow from a binary mixture is compared with the sum of the heat flows from the individual components; an excess indicates interaction. The measurement is made at a temperature and humidity relevant to storage, which avoids the principal criticism of differential scanning calorimetry screening, namely that it operates at melting temperatures.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Detection and quantification of amorphous content and of recrystallisation.</w:t>
      </w:r>
      <w:r>
        <w:rPr>
          <w:rFonts w:ascii="Comic Sans MS" w:hAnsi="Comic Sans MS" w:cs="Comic Sans MS" w:eastAsia="Comic Sans MS"/>
          <w:b w:val="0"/>
          <w:i w:val="0"/>
          <w:color w:val="000000"/>
          <w:sz w:val="28"/>
        </w:rPr>
        <w:t xml:space="preserve"> The crystallisation of a small amorphous fraction is strongly exothermic, and microcalorimetry, particularly when combined with controlled humidity perfusion, can quantify amorphous contents of well below one per cent, which is beyond the reach of X-ray powder diffraction. This is of great value in monitoring the physical stability of milled powders, spray-dried products and amorphous solid dispersions, and in assessing inhalation powders.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Study of solid-state transitions,</w:t>
      </w:r>
      <w:r>
        <w:rPr>
          <w:rFonts w:ascii="Comic Sans MS" w:hAnsi="Comic Sans MS" w:cs="Comic Sans MS" w:eastAsia="Comic Sans MS"/>
          <w:b w:val="0"/>
          <w:i w:val="0"/>
          <w:color w:val="000000"/>
          <w:sz w:val="28"/>
        </w:rPr>
        <w:t xml:space="preserve"> including polymorphic conversion, desolvation, hydrate formation and the glass transition, and of moisture-induced changes when a humidity perfusion accessory is used.</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Stability of proteins and other biologicals,</w:t>
      </w:r>
      <w:r>
        <w:rPr>
          <w:rFonts w:ascii="Comic Sans MS" w:hAnsi="Comic Sans MS" w:cs="Comic Sans MS" w:eastAsia="Comic Sans MS"/>
          <w:b w:val="0"/>
          <w:i w:val="0"/>
          <w:color w:val="000000"/>
          <w:sz w:val="28"/>
        </w:rPr>
        <w:t xml:space="preserve"> including the detection of aggregation and of conformational change. Differential scanning calorimetry gives the unfolding transition temperature, while isothermal microcalorimetry follows slow degradation at storage temperature.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Microbiological applications.</w:t>
      </w:r>
      <w:r>
        <w:rPr>
          <w:rFonts w:ascii="Comic Sans MS" w:hAnsi="Comic Sans MS" w:cs="Comic Sans MS" w:eastAsia="Comic Sans MS"/>
          <w:b w:val="0"/>
          <w:i w:val="0"/>
          <w:color w:val="000000"/>
          <w:sz w:val="28"/>
        </w:rPr>
        <w:t xml:space="preserve"> Growing micro-organisms evolve heat, so microcalorimetry can detect contamination, measure growth rates, evaluate preservative efficacy and determine minimum inhibitory concentrations, more rapidly than plate counting.</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Characterisation of interactions in solution,</w:t>
      </w:r>
      <w:r>
        <w:rPr>
          <w:rFonts w:ascii="Comic Sans MS" w:hAnsi="Comic Sans MS" w:cs="Comic Sans MS" w:eastAsia="Comic Sans MS"/>
          <w:b w:val="0"/>
          <w:i w:val="0"/>
          <w:color w:val="000000"/>
          <w:sz w:val="28"/>
        </w:rPr>
        <w:t xml:space="preserve"> by titration microcalorimetry, giving the stability constant, stoichiometry, enthalpy and entropy of complexation, for example of drug-cyclodextrin and drug-protein binding.</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Evaluation of the effect of processing</w:t>
      </w:r>
      <w:r>
        <w:rPr>
          <w:rFonts w:ascii="Comic Sans MS" w:hAnsi="Comic Sans MS" w:cs="Comic Sans MS" w:eastAsia="Comic Sans MS"/>
          <w:b w:val="0"/>
          <w:i w:val="0"/>
          <w:color w:val="000000"/>
          <w:sz w:val="28"/>
        </w:rPr>
        <w:t xml:space="preserve"> such as milling, compaction and drying on the energetic state and hence the reactivity of a powder.</w:t>
      </w:r>
    </w:p>
    <w:p>
      <w:pPr>
        <w:keepNext/>
        <w:spacing w:before="160" w:after="40"/>
      </w:pPr>
      <w:r>
        <w:rPr>
          <w:rFonts w:ascii="Comic Sans MS" w:hAnsi="Comic Sans MS" w:cs="Comic Sans MS" w:eastAsia="Comic Sans MS"/>
          <w:b/>
          <w:i w:val="0"/>
          <w:color w:val="000000"/>
          <w:sz w:val="28"/>
        </w:rPr>
        <w:t>4.7.3 Advantages and Limitations</w:t>
      </w:r>
    </w:p>
    <w:p>
      <w:pPr>
        <w:spacing w:after="160"/>
        <w:jc w:val="both"/>
      </w:pPr>
      <w:r>
        <w:rPr>
          <w:rFonts w:ascii="Comic Sans MS" w:hAnsi="Comic Sans MS" w:cs="Comic Sans MS" w:eastAsia="Comic Sans MS"/>
          <w:b/>
          <w:i w:val="0"/>
          <w:color w:val="000000"/>
          <w:sz w:val="28"/>
        </w:rPr>
        <w:t>Advantages.</w:t>
      </w:r>
      <w:r>
        <w:rPr>
          <w:rFonts w:ascii="Comic Sans MS" w:hAnsi="Comic Sans MS" w:cs="Comic Sans MS" w:eastAsia="Comic Sans MS"/>
          <w:b w:val="0"/>
          <w:i w:val="0"/>
          <w:color w:val="000000"/>
          <w:sz w:val="28"/>
        </w:rPr>
        <w:t xml:space="preserve"> Non-destructive and non-invasive; requires no separation, derivatisation or chemical analysis; applicable to opaque, heterogeneous and solid samples that defy spectroscopic methods; requires little sample; measures the process in real time and continuously; and is extremely sensitive.</w:t>
      </w:r>
    </w:p>
    <w:p>
      <w:pPr>
        <w:spacing w:after="160"/>
        <w:jc w:val="both"/>
      </w:pPr>
      <w:r>
        <w:rPr>
          <w:rFonts w:ascii="Comic Sans MS" w:hAnsi="Comic Sans MS" w:cs="Comic Sans MS" w:eastAsia="Comic Sans MS"/>
          <w:b/>
          <w:i w:val="0"/>
          <w:color w:val="000000"/>
          <w:sz w:val="28"/>
        </w:rPr>
        <w:t>Limitations.</w:t>
      </w:r>
      <w:r>
        <w:rPr>
          <w:rFonts w:ascii="Comic Sans MS" w:hAnsi="Comic Sans MS" w:cs="Comic Sans MS" w:eastAsia="Comic Sans MS"/>
          <w:b w:val="0"/>
          <w:i w:val="0"/>
          <w:color w:val="000000"/>
          <w:sz w:val="28"/>
        </w:rPr>
        <w:t xml:space="preserve"> The measurement is </w:t>
      </w:r>
      <w:r>
        <w:rPr>
          <w:rFonts w:ascii="Comic Sans MS" w:hAnsi="Comic Sans MS" w:cs="Comic Sans MS" w:eastAsia="Comic Sans MS"/>
          <w:b/>
          <w:i w:val="0"/>
          <w:color w:val="000000"/>
          <w:sz w:val="28"/>
        </w:rPr>
        <w:t>non-specific</w:t>
      </w:r>
      <w:r>
        <w:rPr>
          <w:rFonts w:ascii="Comic Sans MS" w:hAnsi="Comic Sans MS" w:cs="Comic Sans MS" w:eastAsia="Comic Sans MS"/>
          <w:b w:val="0"/>
          <w:i w:val="0"/>
          <w:color w:val="000000"/>
          <w:sz w:val="28"/>
        </w:rPr>
        <w:t>, since the instrument records the total heat flow from all processes occurring simultaneously, so a signal cannot by itself be attributed to a particular reaction and must be interpreted alongside chromatographic or spectroscopic data. The signals are very small, so the technique is highly susceptible to baseline drift, to the heat of ampoule introduction and to temperature instability, and demands meticulous technique. Processes with a very small enthalpy change may be missed. Extrapolation of microcalorimetric rate data to long-term shelf life shares all the theoretical limitations of the Arrhenius approach. For these reasons microcalorimetry is regarded as a powerful screening and mechanistic tool rather than as a replacement for formal ICH stability studies.</w:t>
      </w:r>
    </w:p>
    <w:p>
      <w:pPr>
        <w:keepNext/>
        <w:spacing w:before="160" w:after="40"/>
      </w:pPr>
      <w:r>
        <w:rPr>
          <w:rFonts w:ascii="Comic Sans MS" w:hAnsi="Comic Sans MS" w:cs="Comic Sans MS" w:eastAsia="Comic Sans MS"/>
          <w:b/>
          <w:i w:val="0"/>
          <w:color w:val="000000"/>
          <w:sz w:val="28"/>
        </w:rPr>
        <w:t>4.8 Summary of Unit IV</w:t>
      </w:r>
    </w:p>
    <w:p>
      <w:pPr>
        <w:spacing w:after="160"/>
        <w:jc w:val="both"/>
      </w:pPr>
      <w:r>
        <w:rPr>
          <w:rFonts w:ascii="Comic Sans MS" w:hAnsi="Comic Sans MS" w:cs="Comic Sans MS" w:eastAsia="Comic Sans MS"/>
          <w:b w:val="0"/>
          <w:i w:val="0"/>
          <w:color w:val="000000"/>
          <w:sz w:val="28"/>
        </w:rPr>
        <w:t>Stability testing establishes how the quality of a drug substance or product changes with time under the influence of temperature, humidity and light, and thereby fixes the retest period, the shelf life, the storage conditions and the packaging. The kinetic framework of zero-, first- and second-order reactions provides the equations from which half-life and the conventional t90 shelf life are calculated, and the Arrhenius relationship allows data obtained at elevated temperature to be extrapolated to storage temperature, which is the basis of accelerated testing and its greatest practical value as well as its greatest theoretical weakness. The environmental factors of temperature, pH and buffer catalysis, moisture and water activity, light, oxygen and excipients, together with the processing stresses of heat, moisture, milling, compression, shear and sterilisation, each have characteristic stabilisation strategies. Regulatory expectations are set by the ICH Q1 series, which specifies stress testing, three primary batches, the storage conditions and significant change criteria, the climatic zone applicable to the market (Zone IVb for India, 30 degrees Celsius and 75 per cent relative humidity), the permitted reduced designs of bracketing and matrixing with their dependence on data variability, the statistical evaluation and extrapolation rules of Q1E, the photostability requirements of Q1B with its 1.2 million lux hour and 200 watt hour per square metre exposures, and the impurity thresholds of Q3A and Q3B. Isothermal microcalorimetry supplements these by detecting degradation, crystallisation and interaction at extents far below the limit of conventional assay, at the cost of being wholly non-specific.</w:t>
      </w:r>
    </w:p>
    <w:p>
      <w:r>
        <w:br w:type="page"/>
      </w:r>
    </w:p>
    <w:p>
      <w:pPr>
        <w:keepNext/>
        <w:spacing w:before="200" w:after="120" w:line="540" w:lineRule="exact"/>
        <w:jc w:val="both"/>
      </w:pPr>
      <w:r>
        <w:rPr>
          <w:rFonts w:ascii="Comic Sans MS" w:hAnsi="Comic Sans MS" w:cs="Comic Sans MS" w:eastAsia="Comic Sans MS"/>
          <w:b/>
          <w:i w:val="0"/>
          <w:color w:val="FF0000"/>
          <w:sz w:val="36"/>
        </w:rPr>
        <w:t>Unit V - Excipients for Pharmaceutical Formulations</w:t>
      </w:r>
    </w:p>
    <w:p>
      <w:pPr>
        <w:keepNext/>
        <w:spacing w:before="160" w:after="40"/>
      </w:pPr>
      <w:r>
        <w:rPr>
          <w:rFonts w:ascii="Comic Sans MS" w:hAnsi="Comic Sans MS" w:cs="Comic Sans MS" w:eastAsia="Comic Sans MS"/>
          <w:b/>
          <w:i w:val="0"/>
          <w:color w:val="000000"/>
          <w:sz w:val="28"/>
        </w:rPr>
        <w:t>5.1 Introduction and Definition</w:t>
      </w:r>
    </w:p>
    <w:p>
      <w:pPr>
        <w:spacing w:after="160"/>
        <w:jc w:val="both"/>
      </w:pPr>
      <w:r>
        <w:rPr>
          <w:rFonts w:ascii="Comic Sans MS" w:hAnsi="Comic Sans MS" w:cs="Comic Sans MS" w:eastAsia="Comic Sans MS"/>
          <w:b w:val="0"/>
          <w:i w:val="0"/>
          <w:color w:val="000000"/>
          <w:sz w:val="28"/>
        </w:rPr>
        <w:t xml:space="preserve">An </w:t>
      </w:r>
      <w:r>
        <w:rPr>
          <w:rFonts w:ascii="Comic Sans MS" w:hAnsi="Comic Sans MS" w:cs="Comic Sans MS" w:eastAsia="Comic Sans MS"/>
          <w:b/>
          <w:i w:val="0"/>
          <w:color w:val="000000"/>
          <w:sz w:val="28"/>
        </w:rPr>
        <w:t>excipient</w:t>
      </w:r>
      <w:r>
        <w:rPr>
          <w:rFonts w:ascii="Comic Sans MS" w:hAnsi="Comic Sans MS" w:cs="Comic Sans MS" w:eastAsia="Comic Sans MS"/>
          <w:b w:val="0"/>
          <w:i w:val="0"/>
          <w:color w:val="000000"/>
          <w:sz w:val="28"/>
        </w:rPr>
        <w:t xml:space="preserve"> is any substance other than the active pharmaceutical ingredient that is deliberately included in a dosage form, having been appropriately evaluated for safety. Excipients are included to aid processing, to protect, support or enhance stability, bioavailability or patient acceptability, to assist in product identification, or to enhance any other attribute of the overall safety, effectiveness or delivery of the drug during storage or use.</w:t>
      </w:r>
    </w:p>
    <w:p>
      <w:pPr>
        <w:spacing w:after="160"/>
        <w:jc w:val="both"/>
      </w:pPr>
      <w:r>
        <w:rPr>
          <w:rFonts w:ascii="Comic Sans MS" w:hAnsi="Comic Sans MS" w:cs="Comic Sans MS" w:eastAsia="Comic Sans MS"/>
          <w:b w:val="0"/>
          <w:i w:val="0"/>
          <w:color w:val="000000"/>
          <w:sz w:val="28"/>
        </w:rPr>
        <w:t>The older description of excipients as "inert" is now recognised as misleading. Excipients frequently constitute more than 90 per cent of the mass of a dosage form, they are rarely chemically inert, and they are functionally decisive: the same drug in the same dose may be therapeutically effective or useless according to the excipients with which it is formulated. Modern practice therefore regards excipients as functional materials whose critical material attributes must be identified and controlled, in the same way as those of the drug substance.</w:t>
      </w:r>
    </w:p>
    <w:p>
      <w:pPr>
        <w:keepNext/>
        <w:spacing w:before="160" w:after="40"/>
      </w:pPr>
      <w:r>
        <w:rPr>
          <w:rFonts w:ascii="Comic Sans MS" w:hAnsi="Comic Sans MS" w:cs="Comic Sans MS" w:eastAsia="Comic Sans MS"/>
          <w:b/>
          <w:i w:val="0"/>
          <w:color w:val="000000"/>
          <w:sz w:val="28"/>
        </w:rPr>
        <w:t>5.1.1 Functional Categories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Diluents or fillers.</w:t>
      </w:r>
      <w:r>
        <w:rPr>
          <w:rFonts w:ascii="Comic Sans MS" w:hAnsi="Comic Sans MS" w:cs="Comic Sans MS" w:eastAsia="Comic Sans MS"/>
          <w:b w:val="0"/>
          <w:i w:val="0"/>
          <w:color w:val="000000"/>
          <w:sz w:val="28"/>
        </w:rPr>
        <w:t xml:space="preserve"> Lactose, microcrystalline cellulose, mannitol, dibasic calcium phosphate, starch, sorbitol.</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Binders.</w:t>
      </w:r>
      <w:r>
        <w:rPr>
          <w:rFonts w:ascii="Comic Sans MS" w:hAnsi="Comic Sans MS" w:cs="Comic Sans MS" w:eastAsia="Comic Sans MS"/>
          <w:b w:val="0"/>
          <w:i w:val="0"/>
          <w:color w:val="000000"/>
          <w:sz w:val="28"/>
        </w:rPr>
        <w:t xml:space="preserve"> Povidone, copovidone, hypromellose, pregelatinised starch, gelatin, acacia.</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Disintegrants and superdisintegrants.</w:t>
      </w:r>
      <w:r>
        <w:rPr>
          <w:rFonts w:ascii="Comic Sans MS" w:hAnsi="Comic Sans MS" w:cs="Comic Sans MS" w:eastAsia="Comic Sans MS"/>
          <w:b w:val="0"/>
          <w:i w:val="0"/>
          <w:color w:val="000000"/>
          <w:sz w:val="28"/>
        </w:rPr>
        <w:t xml:space="preserve"> Starch, croscarmellose sodium, sodium starch glycolate, crospovidone.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Lubricants, antiadherents and glidants.</w:t>
      </w:r>
      <w:r>
        <w:rPr>
          <w:rFonts w:ascii="Comic Sans MS" w:hAnsi="Comic Sans MS" w:cs="Comic Sans MS" w:eastAsia="Comic Sans MS"/>
          <w:b w:val="0"/>
          <w:i w:val="0"/>
          <w:color w:val="000000"/>
          <w:sz w:val="28"/>
        </w:rPr>
        <w:t xml:space="preserve"> Magnesium stearate, stearic acid, sodium stearyl fumarate, talc, colloidal silicon dioxide.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Coating materials.</w:t>
      </w:r>
      <w:r>
        <w:rPr>
          <w:rFonts w:ascii="Comic Sans MS" w:hAnsi="Comic Sans MS" w:cs="Comic Sans MS" w:eastAsia="Comic Sans MS"/>
          <w:b w:val="0"/>
          <w:i w:val="0"/>
          <w:color w:val="000000"/>
          <w:sz w:val="28"/>
        </w:rPr>
        <w:t xml:space="preserve"> Hypromellose, ethylcellulose, polyvinyl alcohol, methacrylic acid copolymers, plasticisers, pigments.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Release modifiers.</w:t>
      </w:r>
      <w:r>
        <w:rPr>
          <w:rFonts w:ascii="Comic Sans MS" w:hAnsi="Comic Sans MS" w:cs="Comic Sans MS" w:eastAsia="Comic Sans MS"/>
          <w:b w:val="0"/>
          <w:i w:val="0"/>
          <w:color w:val="000000"/>
          <w:sz w:val="28"/>
        </w:rPr>
        <w:t xml:space="preserve"> Hypromellose of various viscosity grades, ethylcellulose, ammonio methacrylate copolymers, carbomers, xanthan gum, waxes.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Solubilisers, surfactants and wetting agents.</w:t>
      </w:r>
      <w:r>
        <w:rPr>
          <w:rFonts w:ascii="Comic Sans MS" w:hAnsi="Comic Sans MS" w:cs="Comic Sans MS" w:eastAsia="Comic Sans MS"/>
          <w:b w:val="0"/>
          <w:i w:val="0"/>
          <w:color w:val="000000"/>
          <w:sz w:val="28"/>
        </w:rPr>
        <w:t xml:space="preserve"> Polysorbates, poloxamers, sodium lauryl sulphate, cyclodextrins, cosolvents.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Thickeners, suspending and emulsifying agents.</w:t>
      </w:r>
      <w:r>
        <w:rPr>
          <w:rFonts w:ascii="Comic Sans MS" w:hAnsi="Comic Sans MS" w:cs="Comic Sans MS" w:eastAsia="Comic Sans MS"/>
          <w:b w:val="0"/>
          <w:i w:val="0"/>
          <w:color w:val="000000"/>
          <w:sz w:val="28"/>
        </w:rPr>
        <w:t xml:space="preserve"> Carbomer, xanthan gum, sodium carboxymethylcellulose, colloidal silicon dioxide, tragacanth.</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Preservatives, antioxidants and chelating agents.</w:t>
      </w:r>
      <w:r>
        <w:rPr>
          <w:rFonts w:ascii="Comic Sans MS" w:hAnsi="Comic Sans MS" w:cs="Comic Sans MS" w:eastAsia="Comic Sans MS"/>
          <w:b w:val="0"/>
          <w:i w:val="0"/>
          <w:color w:val="000000"/>
          <w:sz w:val="28"/>
        </w:rPr>
        <w:t xml:space="preserve"> Parabens, benzalkonium chloride, benzyl alcohol, sodium metabisulphite, butylated hydroxytoluene, edetate disodium.</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Buffers, tonicity adjusters, pH modifiers, sweeteners, flavours and colourants.</w:t>
      </w:r>
    </w:p>
    <w:p>
      <w:pPr>
        <w:keepNext/>
        <w:spacing w:before="160" w:after="40"/>
      </w:pPr>
      <w:r>
        <w:rPr>
          <w:rFonts w:ascii="Comic Sans MS" w:hAnsi="Comic Sans MS" w:cs="Comic Sans MS" w:eastAsia="Comic Sans MS"/>
          <w:b/>
          <w:i w:val="0"/>
          <w:color w:val="000000"/>
          <w:sz w:val="28"/>
        </w:rPr>
        <w:t>5.2 Factors Affecting the Selection of Excipients</w:t>
      </w:r>
    </w:p>
    <w:p>
      <w:pPr>
        <w:keepNext/>
        <w:spacing w:before="160" w:after="40"/>
      </w:pPr>
      <w:r>
        <w:rPr>
          <w:rFonts w:ascii="Comic Sans MS" w:hAnsi="Comic Sans MS" w:cs="Comic Sans MS" w:eastAsia="Comic Sans MS"/>
          <w:b/>
          <w:i w:val="0"/>
          <w:color w:val="000000"/>
          <w:sz w:val="28"/>
        </w:rPr>
        <w:t>5.2.1 Functionality and Suitability for Purpose</w:t>
      </w:r>
    </w:p>
    <w:p>
      <w:pPr>
        <w:spacing w:after="160"/>
        <w:jc w:val="both"/>
      </w:pPr>
      <w:r>
        <w:rPr>
          <w:rFonts w:ascii="Comic Sans MS" w:hAnsi="Comic Sans MS" w:cs="Comic Sans MS" w:eastAsia="Comic Sans MS"/>
          <w:b w:val="0"/>
          <w:i w:val="0"/>
          <w:color w:val="000000"/>
          <w:sz w:val="28"/>
        </w:rPr>
        <w:t xml:space="preserve">The primary criterion is that the excipient must perform the intended function reliably in the particular formulation. Functionality is not an absolute property of a material but depends on the context: a binder that works well at one granulation end point may fail at another, and a disintegrant effective in a low-dose tablet may be inadequate in a highly hydrophobic matrix. Consequently </w:t>
      </w:r>
      <w:r>
        <w:rPr>
          <w:rFonts w:ascii="Comic Sans MS" w:hAnsi="Comic Sans MS" w:cs="Comic Sans MS" w:eastAsia="Comic Sans MS"/>
          <w:b/>
          <w:i w:val="0"/>
          <w:color w:val="000000"/>
          <w:sz w:val="28"/>
        </w:rPr>
        <w:t>functionality-related characteristics</w:t>
      </w:r>
      <w:r>
        <w:rPr>
          <w:rFonts w:ascii="Comic Sans MS" w:hAnsi="Comic Sans MS" w:cs="Comic Sans MS" w:eastAsia="Comic Sans MS"/>
          <w:b w:val="0"/>
          <w:i w:val="0"/>
          <w:color w:val="000000"/>
          <w:sz w:val="28"/>
        </w:rPr>
        <w:t>, such as particle size distribution, specific surface area, degree of substitution, viscosity, moisture content, swelling capacity and compaction behaviour, are now specified in pharmacopoeial monographs and must be selected and controlled deliberately rather than accepted as supplied.</w:t>
      </w:r>
    </w:p>
    <w:p>
      <w:pPr>
        <w:keepNext/>
        <w:spacing w:before="160" w:after="40"/>
      </w:pPr>
      <w:r>
        <w:rPr>
          <w:rFonts w:ascii="Comic Sans MS" w:hAnsi="Comic Sans MS" w:cs="Comic Sans MS" w:eastAsia="Comic Sans MS"/>
          <w:b/>
          <w:i w:val="0"/>
          <w:color w:val="000000"/>
          <w:sz w:val="28"/>
        </w:rPr>
        <w:t>5.2.2 Compatibility with the Drug and with Other Excipients</w:t>
      </w:r>
    </w:p>
    <w:p>
      <w:pPr>
        <w:spacing w:after="160"/>
        <w:jc w:val="both"/>
      </w:pPr>
      <w:r>
        <w:rPr>
          <w:rFonts w:ascii="Comic Sans MS" w:hAnsi="Comic Sans MS" w:cs="Comic Sans MS" w:eastAsia="Comic Sans MS"/>
          <w:b w:val="0"/>
          <w:i w:val="0"/>
          <w:color w:val="000000"/>
          <w:sz w:val="28"/>
        </w:rPr>
        <w:t>Chemical and physical compatibility must be established experimentally by the methods described in Unit I. The excipient must not degrade the drug, alter its solid form, retard its release unacceptably, or interfere with the analytical procedures. Compatibility between excipients themselves must also be considered, for example the well-known interaction between anionic and cationic polymers and surfactants.</w:t>
      </w:r>
    </w:p>
    <w:p>
      <w:pPr>
        <w:keepNext/>
        <w:spacing w:before="160" w:after="40"/>
      </w:pPr>
      <w:r>
        <w:rPr>
          <w:rFonts w:ascii="Comic Sans MS" w:hAnsi="Comic Sans MS" w:cs="Comic Sans MS" w:eastAsia="Comic Sans MS"/>
          <w:b/>
          <w:i w:val="0"/>
          <w:color w:val="000000"/>
          <w:sz w:val="28"/>
        </w:rPr>
        <w:t>5.2.3 Safety and Toxicological Considerations</w:t>
      </w:r>
    </w:p>
    <w:p>
      <w:pPr>
        <w:spacing w:after="160"/>
        <w:jc w:val="both"/>
      </w:pPr>
      <w:r>
        <w:rPr>
          <w:rFonts w:ascii="Comic Sans MS" w:hAnsi="Comic Sans MS" w:cs="Comic Sans MS" w:eastAsia="Comic Sans MS"/>
          <w:b w:val="0"/>
          <w:i w:val="0"/>
          <w:color w:val="000000"/>
          <w:sz w:val="28"/>
        </w:rPr>
        <w:t>Safety is the controlling constraint, and it must be assessed in relation to the route of administration, the daily dose of the excipient, the duration of therapy and the patient population.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Regulatory precedent.</w:t>
      </w:r>
      <w:r>
        <w:rPr>
          <w:rFonts w:ascii="Comic Sans MS" w:hAnsi="Comic Sans MS" w:cs="Comic Sans MS" w:eastAsia="Comic Sans MS"/>
          <w:b w:val="0"/>
          <w:i w:val="0"/>
          <w:color w:val="000000"/>
          <w:sz w:val="28"/>
        </w:rPr>
        <w:t xml:space="preserve"> The most practical assurance of safety is prior use. An excipient already present in an approved product, administered by the same route and at a dose not exceeding the precedented level, requires no new toxicological work. The </w:t>
      </w:r>
      <w:r>
        <w:rPr>
          <w:rFonts w:ascii="Comic Sans MS" w:hAnsi="Comic Sans MS" w:cs="Comic Sans MS" w:eastAsia="Comic Sans MS"/>
          <w:b/>
          <w:i w:val="0"/>
          <w:color w:val="000000"/>
          <w:sz w:val="28"/>
        </w:rPr>
        <w:t>FDA Inactive Ingredient Database</w:t>
      </w:r>
      <w:r>
        <w:rPr>
          <w:rFonts w:ascii="Comic Sans MS" w:hAnsi="Comic Sans MS" w:cs="Comic Sans MS" w:eastAsia="Comic Sans MS"/>
          <w:b w:val="0"/>
          <w:i w:val="0"/>
          <w:color w:val="000000"/>
          <w:sz w:val="28"/>
        </w:rPr>
        <w:t>, and the corresponding information in pharmacopoeial and regulatory sources, records the maximum potency previously approved by each route, and is the first reference consulted. A genuinely novel excipient must be supported by a full toxicological package equivalent to that of a new drug substance, which is expensive and slow, and is the principal reason why few new excipients reach the market.</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Acceptable daily intake and permitted levels.</w:t>
      </w:r>
      <w:r>
        <w:rPr>
          <w:rFonts w:ascii="Comic Sans MS" w:hAnsi="Comic Sans MS" w:cs="Comic Sans MS" w:eastAsia="Comic Sans MS"/>
          <w:b w:val="0"/>
          <w:i w:val="0"/>
          <w:color w:val="000000"/>
          <w:sz w:val="28"/>
        </w:rPr>
        <w:t xml:space="preserve"> Many excipients have defined acceptable daily intakes, for example the parabens and certain colourants, and some have specific limits in particular populations.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Route-specific restrictions.</w:t>
      </w:r>
      <w:r>
        <w:rPr>
          <w:rFonts w:ascii="Comic Sans MS" w:hAnsi="Comic Sans MS" w:cs="Comic Sans MS" w:eastAsia="Comic Sans MS"/>
          <w:b w:val="0"/>
          <w:i w:val="0"/>
          <w:color w:val="000000"/>
          <w:sz w:val="28"/>
        </w:rPr>
        <w:t xml:space="preserve"> The range of acceptable excipients narrows sharply from oral, through topical, to parenteral, ophthalmic and intrathecal administration. Benzyl alcohol, for instance, is acceptable in many intramuscular products but is contraindicated in neonates, and is excluded from intrathecal use.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Paediatric and geriatric considerations.</w:t>
      </w:r>
      <w:r>
        <w:rPr>
          <w:rFonts w:ascii="Comic Sans MS" w:hAnsi="Comic Sans MS" w:cs="Comic Sans MS" w:eastAsia="Comic Sans MS"/>
          <w:b w:val="0"/>
          <w:i w:val="0"/>
          <w:color w:val="000000"/>
          <w:sz w:val="28"/>
        </w:rPr>
        <w:t xml:space="preserve"> Ethanol, propylene glycol, benzyl alcohol, polysorbates and some colourants are restricted in children. The European "Excipients in the label and package leaflet" guideline and the </w:t>
      </w:r>
      <w:r>
        <w:rPr>
          <w:rFonts w:ascii="Comic Sans MS" w:hAnsi="Comic Sans MS" w:cs="Comic Sans MS" w:eastAsia="Comic Sans MS"/>
          <w:b/>
          <w:i w:val="0"/>
          <w:color w:val="000000"/>
          <w:sz w:val="28"/>
        </w:rPr>
        <w:t>Safety and Toxicity of Excipients for Paediatrics (STEP) database</w:t>
      </w:r>
      <w:r>
        <w:rPr>
          <w:rFonts w:ascii="Comic Sans MS" w:hAnsi="Comic Sans MS" w:cs="Comic Sans MS" w:eastAsia="Comic Sans MS"/>
          <w:b w:val="0"/>
          <w:i w:val="0"/>
          <w:color w:val="000000"/>
          <w:sz w:val="28"/>
        </w:rPr>
        <w:t xml:space="preserve"> provide the reference information.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Known adverse reactions and intolerance.</w:t>
      </w:r>
      <w:r>
        <w:rPr>
          <w:rFonts w:ascii="Comic Sans MS" w:hAnsi="Comic Sans MS" w:cs="Comic Sans MS" w:eastAsia="Comic Sans MS"/>
          <w:b w:val="0"/>
          <w:i w:val="0"/>
          <w:color w:val="000000"/>
          <w:sz w:val="28"/>
        </w:rPr>
        <w:t xml:space="preserve"> Lactose in lactose-intolerant patients, gluten-containing starches in coeliac disease, sulphites in asthmatics, tartrazine and other azo dyes in sensitive individuals, aspartame in phenylketonuria, and sugars and sugar alcohols in diabetic patients, the last also causing an osmotic laxative effect at higher intakes.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Elemental impurities and residual solvents,</w:t>
      </w:r>
      <w:r>
        <w:rPr>
          <w:rFonts w:ascii="Comic Sans MS" w:hAnsi="Comic Sans MS" w:cs="Comic Sans MS" w:eastAsia="Comic Sans MS"/>
          <w:b w:val="0"/>
          <w:i w:val="0"/>
          <w:color w:val="000000"/>
          <w:sz w:val="28"/>
        </w:rPr>
        <w:t xml:space="preserve"> controlled under ICH Q3D and Q3C respectively, and </w:t>
      </w:r>
      <w:r>
        <w:rPr>
          <w:rFonts w:ascii="Comic Sans MS" w:hAnsi="Comic Sans MS" w:cs="Comic Sans MS" w:eastAsia="Comic Sans MS"/>
          <w:b/>
          <w:i w:val="0"/>
          <w:color w:val="000000"/>
          <w:sz w:val="28"/>
        </w:rPr>
        <w:t>nitrosamine risk</w:t>
      </w:r>
      <w:r>
        <w:rPr>
          <w:rFonts w:ascii="Comic Sans MS" w:hAnsi="Comic Sans MS" w:cs="Comic Sans MS" w:eastAsia="Comic Sans MS"/>
          <w:b w:val="0"/>
          <w:i w:val="0"/>
          <w:color w:val="000000"/>
          <w:sz w:val="28"/>
        </w:rPr>
        <w:t xml:space="preserve"> under the recent regulatory expectations.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Cultural, religious and dietary acceptability.</w:t>
      </w:r>
      <w:r>
        <w:rPr>
          <w:rFonts w:ascii="Comic Sans MS" w:hAnsi="Comic Sans MS" w:cs="Comic Sans MS" w:eastAsia="Comic Sans MS"/>
          <w:b w:val="0"/>
          <w:i w:val="0"/>
          <w:color w:val="000000"/>
          <w:sz w:val="28"/>
        </w:rPr>
        <w:t xml:space="preserve"> Gelatin of bovine or porcine origin, magnesium stearate of animal origin, and alcohol content are significant in many markets, and vegetable-origin or synthetic alternatives are frequently required.</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Transmissible spongiform encephalopathy risk</w:t>
      </w:r>
      <w:r>
        <w:rPr>
          <w:rFonts w:ascii="Comic Sans MS" w:hAnsi="Comic Sans MS" w:cs="Comic Sans MS" w:eastAsia="Comic Sans MS"/>
          <w:b w:val="0"/>
          <w:i w:val="0"/>
          <w:color w:val="000000"/>
          <w:sz w:val="28"/>
        </w:rPr>
        <w:t xml:space="preserve"> for materials of ruminant origin, requiring certification of compliance with the relevant guidance.</w:t>
      </w:r>
    </w:p>
    <w:p>
      <w:pPr>
        <w:keepNext/>
        <w:spacing w:before="160" w:after="40"/>
      </w:pPr>
      <w:r>
        <w:rPr>
          <w:rFonts w:ascii="Comic Sans MS" w:hAnsi="Comic Sans MS" w:cs="Comic Sans MS" w:eastAsia="Comic Sans MS"/>
          <w:b/>
          <w:i w:val="0"/>
          <w:color w:val="000000"/>
          <w:sz w:val="28"/>
        </w:rPr>
        <w:t>5.2.4 Physicochemical and Processing Considerations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Physical form and particle properties.</w:t>
      </w:r>
      <w:r>
        <w:rPr>
          <w:rFonts w:ascii="Comic Sans MS" w:hAnsi="Comic Sans MS" w:cs="Comic Sans MS" w:eastAsia="Comic Sans MS"/>
          <w:b w:val="0"/>
          <w:i w:val="0"/>
          <w:color w:val="000000"/>
          <w:sz w:val="28"/>
        </w:rPr>
        <w:t xml:space="preserve"> Particle size, shape, density, flow, compressibility, hygroscopicity and solubility, all of which determine processability.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Compatibility with the intended process.</w:t>
      </w:r>
      <w:r>
        <w:rPr>
          <w:rFonts w:ascii="Comic Sans MS" w:hAnsi="Comic Sans MS" w:cs="Comic Sans MS" w:eastAsia="Comic Sans MS"/>
          <w:b w:val="0"/>
          <w:i w:val="0"/>
          <w:color w:val="000000"/>
          <w:sz w:val="28"/>
        </w:rPr>
        <w:t xml:space="preserve"> Whether the material tolerates the shear of high-shear granulation, the temperature of hot-melt extrusion, the moisture of aqueous coating, or the radiation of sterilisation.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Effect on the performance of the dosage form,</w:t>
      </w:r>
      <w:r>
        <w:rPr>
          <w:rFonts w:ascii="Comic Sans MS" w:hAnsi="Comic Sans MS" w:cs="Comic Sans MS" w:eastAsia="Comic Sans MS"/>
          <w:b w:val="0"/>
          <w:i w:val="0"/>
          <w:color w:val="000000"/>
          <w:sz w:val="28"/>
        </w:rPr>
        <w:t xml:space="preserve"> particularly on disintegration, dissolution and, in the case of surfactants and polymers, on absorption.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Microbiological quality.</w:t>
      </w:r>
      <w:r>
        <w:rPr>
          <w:rFonts w:ascii="Comic Sans MS" w:hAnsi="Comic Sans MS" w:cs="Comic Sans MS" w:eastAsia="Comic Sans MS"/>
          <w:b w:val="0"/>
          <w:i w:val="0"/>
          <w:color w:val="000000"/>
          <w:sz w:val="28"/>
        </w:rPr>
        <w:t xml:space="preserve"> Excipients of natural origin, notably starches, gums, lactose and cellulose derivatives, carry a bioburden and must comply with microbial limits; some require reduction treatments.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Stability of the excipient itself,</w:t>
      </w:r>
      <w:r>
        <w:rPr>
          <w:rFonts w:ascii="Comic Sans MS" w:hAnsi="Comic Sans MS" w:cs="Comic Sans MS" w:eastAsia="Comic Sans MS"/>
          <w:b w:val="0"/>
          <w:i w:val="0"/>
          <w:color w:val="000000"/>
          <w:sz w:val="28"/>
        </w:rPr>
        <w:t xml:space="preserve"> including peroxide formation in polyethylene glycols, polysorbates and povidone, and aldehyde formation in polyethylene glycols.</w:t>
      </w:r>
    </w:p>
    <w:p>
      <w:pPr>
        <w:keepNext/>
        <w:spacing w:before="160" w:after="40"/>
      </w:pPr>
      <w:r>
        <w:rPr>
          <w:rFonts w:ascii="Comic Sans MS" w:hAnsi="Comic Sans MS" w:cs="Comic Sans MS" w:eastAsia="Comic Sans MS"/>
          <w:b/>
          <w:i w:val="0"/>
          <w:color w:val="000000"/>
          <w:sz w:val="28"/>
        </w:rPr>
        <w:t>5.2.5 Regulatory, Quality and Commercial Considerations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Pharmacopoeial status.</w:t>
      </w:r>
      <w:r>
        <w:rPr>
          <w:rFonts w:ascii="Comic Sans MS" w:hAnsi="Comic Sans MS" w:cs="Comic Sans MS" w:eastAsia="Comic Sans MS"/>
          <w:b w:val="0"/>
          <w:i w:val="0"/>
          <w:color w:val="000000"/>
          <w:sz w:val="28"/>
        </w:rPr>
        <w:t xml:space="preserve"> Compliance with a monograph of the Indian, British, European, United States or Japanese Pharmacopoeia is strongly preferred; harmonised monographs simplify global registration.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Supply chain considerations.</w:t>
      </w:r>
      <w:r>
        <w:rPr>
          <w:rFonts w:ascii="Comic Sans MS" w:hAnsi="Comic Sans MS" w:cs="Comic Sans MS" w:eastAsia="Comic Sans MS"/>
          <w:b w:val="0"/>
          <w:i w:val="0"/>
          <w:color w:val="000000"/>
          <w:sz w:val="28"/>
        </w:rPr>
        <w:t xml:space="preserve"> Multiple approved sources, security of supply, batch-to-batch consistency, adequate documentation, and the availability of a drug master file or an excipient master file.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Good manufacturing practice for excipients,</w:t>
      </w:r>
      <w:r>
        <w:rPr>
          <w:rFonts w:ascii="Comic Sans MS" w:hAnsi="Comic Sans MS" w:cs="Comic Sans MS" w:eastAsia="Comic Sans MS"/>
          <w:b w:val="0"/>
          <w:i w:val="0"/>
          <w:color w:val="000000"/>
          <w:sz w:val="28"/>
        </w:rPr>
        <w:t xml:space="preserve"> as set out in the relevant IPEC guides and now increasingly expected by regulators, together with supplier audit and qualification.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Cost,</w:t>
      </w:r>
      <w:r>
        <w:rPr>
          <w:rFonts w:ascii="Comic Sans MS" w:hAnsi="Comic Sans MS" w:cs="Comic Sans MS" w:eastAsia="Comic Sans MS"/>
          <w:b w:val="0"/>
          <w:i w:val="0"/>
          <w:color w:val="000000"/>
          <w:sz w:val="28"/>
        </w:rPr>
        <w:t xml:space="preserve"> which matters because excipients are the bulk of the product, though it must never override safety or functionality.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Intellectual property,</w:t>
      </w:r>
      <w:r>
        <w:rPr>
          <w:rFonts w:ascii="Comic Sans MS" w:hAnsi="Comic Sans MS" w:cs="Comic Sans MS" w:eastAsia="Comic Sans MS"/>
          <w:b w:val="0"/>
          <w:i w:val="0"/>
          <w:color w:val="000000"/>
          <w:sz w:val="28"/>
        </w:rPr>
        <w:t xml:space="preserve"> in the case of proprietary co-processed and novel excipients.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Compendial and non-compendial grade differences,</w:t>
      </w:r>
      <w:r>
        <w:rPr>
          <w:rFonts w:ascii="Comic Sans MS" w:hAnsi="Comic Sans MS" w:cs="Comic Sans MS" w:eastAsia="Comic Sans MS"/>
          <w:b w:val="0"/>
          <w:i w:val="0"/>
          <w:color w:val="000000"/>
          <w:sz w:val="28"/>
        </w:rPr>
        <w:t xml:space="preserve"> since grades of the same chemical entity may differ radically in functionality, as with the many viscosity and substitution grades of hypromellose.</w:t>
      </w:r>
    </w:p>
    <w:p>
      <w:pPr>
        <w:keepNext/>
        <w:spacing w:before="160" w:after="40"/>
      </w:pPr>
      <w:r>
        <w:rPr>
          <w:rFonts w:ascii="Comic Sans MS" w:hAnsi="Comic Sans MS" w:cs="Comic Sans MS" w:eastAsia="Comic Sans MS"/>
          <w:b/>
          <w:i w:val="0"/>
          <w:color w:val="000000"/>
          <w:sz w:val="28"/>
        </w:rPr>
        <w:t>5.3 Drug-Excipient Interactions</w:t>
      </w:r>
    </w:p>
    <w:p>
      <w:pPr>
        <w:spacing w:after="160"/>
        <w:jc w:val="both"/>
      </w:pPr>
      <w:r>
        <w:rPr>
          <w:rFonts w:ascii="Comic Sans MS" w:hAnsi="Comic Sans MS" w:cs="Comic Sans MS" w:eastAsia="Comic Sans MS"/>
          <w:b w:val="0"/>
          <w:i w:val="0"/>
          <w:color w:val="000000"/>
          <w:sz w:val="28"/>
        </w:rPr>
        <w:t>The methods of detecting these interactions were described in Unit I; here the mechanisms and consequences are classified.</w:t>
      </w:r>
    </w:p>
    <w:p>
      <w:pPr>
        <w:keepNext/>
        <w:spacing w:before="160" w:after="40"/>
      </w:pPr>
      <w:r>
        <w:rPr>
          <w:rFonts w:ascii="Comic Sans MS" w:hAnsi="Comic Sans MS" w:cs="Comic Sans MS" w:eastAsia="Comic Sans MS"/>
          <w:b/>
          <w:i w:val="0"/>
          <w:color w:val="000000"/>
          <w:sz w:val="28"/>
        </w:rPr>
        <w:t>5.3.1 Physical Interactions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Adsorption and complexation.</w:t>
      </w:r>
      <w:r>
        <w:rPr>
          <w:rFonts w:ascii="Comic Sans MS" w:hAnsi="Comic Sans MS" w:cs="Comic Sans MS" w:eastAsia="Comic Sans MS"/>
          <w:b w:val="0"/>
          <w:i w:val="0"/>
          <w:color w:val="000000"/>
          <w:sz w:val="28"/>
        </w:rPr>
        <w:t xml:space="preserve"> The drug is adsorbed onto the large surface of an excipient such as talc, magnesium trisilicate, colloidal silicon dioxide or activated charcoal, or forms a complex with a macromolecule, reducing the amount available for absorption. The interaction of tetracyclines with calcium and magnesium salts is the classical example.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Change in solid form.</w:t>
      </w:r>
      <w:r>
        <w:rPr>
          <w:rFonts w:ascii="Comic Sans MS" w:hAnsi="Comic Sans MS" w:cs="Comic Sans MS" w:eastAsia="Comic Sans MS"/>
          <w:b w:val="0"/>
          <w:i w:val="0"/>
          <w:color w:val="000000"/>
          <w:sz w:val="28"/>
        </w:rPr>
        <w:t xml:space="preserve"> An excipient may induce amorphisation, polymorphic conversion, hydrate formation or crystallisation of the drug, altering dissolution.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Alteration of dissolution by hydrophobic films.</w:t>
      </w:r>
      <w:r>
        <w:rPr>
          <w:rFonts w:ascii="Comic Sans MS" w:hAnsi="Comic Sans MS" w:cs="Comic Sans MS" w:eastAsia="Comic Sans MS"/>
          <w:b w:val="0"/>
          <w:i w:val="0"/>
          <w:color w:val="000000"/>
          <w:sz w:val="28"/>
        </w:rPr>
        <w:t xml:space="preserve"> Magnesium stearate, when over-blended, forms a hydrophobic film over drug and excipient particles, retarding wetting and slowing dissolution, and simultaneously weakening the tablet.</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Eutectic formation</w:t>
      </w:r>
      <w:r>
        <w:rPr>
          <w:rFonts w:ascii="Comic Sans MS" w:hAnsi="Comic Sans MS" w:cs="Comic Sans MS" w:eastAsia="Comic Sans MS"/>
          <w:b w:val="0"/>
          <w:i w:val="0"/>
          <w:color w:val="000000"/>
          <w:sz w:val="28"/>
        </w:rPr>
        <w:t xml:space="preserve"> with low-melting excipients, causing softening, sticking during compression and liquefaction on storage.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Moisture transfer.</w:t>
      </w:r>
      <w:r>
        <w:rPr>
          <w:rFonts w:ascii="Comic Sans MS" w:hAnsi="Comic Sans MS" w:cs="Comic Sans MS" w:eastAsia="Comic Sans MS"/>
          <w:b w:val="0"/>
          <w:i w:val="0"/>
          <w:color w:val="000000"/>
          <w:sz w:val="28"/>
        </w:rPr>
        <w:t xml:space="preserve"> An excipient of higher water activity donates moisture to a hygroscopic or hydrolysable drug, even though the total water content of the formulation is unchanged.</w:t>
      </w:r>
    </w:p>
    <w:p>
      <w:pPr>
        <w:keepNext/>
        <w:spacing w:before="160" w:after="40"/>
      </w:pPr>
      <w:r>
        <w:rPr>
          <w:rFonts w:ascii="Comic Sans MS" w:hAnsi="Comic Sans MS" w:cs="Comic Sans MS" w:eastAsia="Comic Sans MS"/>
          <w:b/>
          <w:i w:val="0"/>
          <w:color w:val="000000"/>
          <w:sz w:val="28"/>
        </w:rPr>
        <w:t>5.3.2 Chemical Interactions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Maillard reaction</w:t>
      </w:r>
      <w:r>
        <w:rPr>
          <w:rFonts w:ascii="Comic Sans MS" w:hAnsi="Comic Sans MS" w:cs="Comic Sans MS" w:eastAsia="Comic Sans MS"/>
          <w:b w:val="0"/>
          <w:i w:val="0"/>
          <w:color w:val="000000"/>
          <w:sz w:val="28"/>
        </w:rPr>
        <w:t xml:space="preserve"> between reducing sugars, above all lactose, and primary or secondary amine drugs, producing brown discoloration and loss of potency.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Ester formation and transesterification</w:t>
      </w:r>
      <w:r>
        <w:rPr>
          <w:rFonts w:ascii="Comic Sans MS" w:hAnsi="Comic Sans MS" w:cs="Comic Sans MS" w:eastAsia="Comic Sans MS"/>
          <w:b w:val="0"/>
          <w:i w:val="0"/>
          <w:color w:val="000000"/>
          <w:sz w:val="28"/>
        </w:rPr>
        <w:t xml:space="preserve"> with polyethylene glycols and with carboxylic acid drugs.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Oxidation</w:t>
      </w:r>
      <w:r>
        <w:rPr>
          <w:rFonts w:ascii="Comic Sans MS" w:hAnsi="Comic Sans MS" w:cs="Comic Sans MS" w:eastAsia="Comic Sans MS"/>
          <w:b w:val="0"/>
          <w:i w:val="0"/>
          <w:color w:val="000000"/>
          <w:sz w:val="28"/>
        </w:rPr>
        <w:t xml:space="preserve"> catalysed by peroxide impurities in povidone, polysorbates, polyethylene glycols and hydroxypropyl cellulose, or by trace metals in talc and inorganic diluents.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Acid-base reaction and microenvironmental pH shift,</w:t>
      </w:r>
      <w:r>
        <w:rPr>
          <w:rFonts w:ascii="Comic Sans MS" w:hAnsi="Comic Sans MS" w:cs="Comic Sans MS" w:eastAsia="Comic Sans MS"/>
          <w:b w:val="0"/>
          <w:i w:val="0"/>
          <w:color w:val="000000"/>
          <w:sz w:val="28"/>
        </w:rPr>
        <w:t xml:space="preserve"> with alkaline excipients such as magnesium stearate, sodium bicarbonate and dibasic calcium phosphate accelerating the degradation of base-labile drugs, and acidic excipients doing the reverse.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Formaldehyde-mediated cross-linking,</w:t>
      </w:r>
      <w:r>
        <w:rPr>
          <w:rFonts w:ascii="Comic Sans MS" w:hAnsi="Comic Sans MS" w:cs="Comic Sans MS" w:eastAsia="Comic Sans MS"/>
          <w:b w:val="0"/>
          <w:i w:val="0"/>
          <w:color w:val="000000"/>
          <w:sz w:val="28"/>
        </w:rPr>
        <w:t xml:space="preserve"> in which traces of formaldehyde from polyethylene glycols or from gelatin capsule shells cross-link the gelatin, forming a membrane that retards dissolution; this is the recognised justification for adding enzymes to the dissolution medium.</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Michael addition, hydrolysis and dehydration reactions</w:t>
      </w:r>
      <w:r>
        <w:rPr>
          <w:rFonts w:ascii="Comic Sans MS" w:hAnsi="Comic Sans MS" w:cs="Comic Sans MS" w:eastAsia="Comic Sans MS"/>
          <w:b w:val="0"/>
          <w:i w:val="0"/>
          <w:color w:val="000000"/>
          <w:sz w:val="28"/>
        </w:rPr>
        <w:t xml:space="preserve"> promoted by particular excipient functional groups.</w:t>
      </w:r>
    </w:p>
    <w:p>
      <w:pPr>
        <w:keepNext/>
        <w:spacing w:before="160" w:after="40"/>
      </w:pPr>
      <w:r>
        <w:rPr>
          <w:rFonts w:ascii="Comic Sans MS" w:hAnsi="Comic Sans MS" w:cs="Comic Sans MS" w:eastAsia="Comic Sans MS"/>
          <w:b/>
          <w:i w:val="0"/>
          <w:color w:val="000000"/>
          <w:sz w:val="28"/>
        </w:rPr>
        <w:t>5.3.3 Consequences and Control</w:t>
      </w:r>
    </w:p>
    <w:p>
      <w:pPr>
        <w:spacing w:after="160"/>
        <w:jc w:val="both"/>
      </w:pPr>
      <w:r>
        <w:rPr>
          <w:rFonts w:ascii="Comic Sans MS" w:hAnsi="Comic Sans MS" w:cs="Comic Sans MS" w:eastAsia="Comic Sans MS"/>
          <w:b w:val="0"/>
          <w:i w:val="0"/>
          <w:color w:val="000000"/>
          <w:sz w:val="28"/>
        </w:rPr>
        <w:t>The consequences are loss of potency, appearance of degradation products, discoloration, change in dissolution and hence in bioavailability, change in tablet mechanical properties, and failure of the product to meet its specification within shelf life. Control is achieved by excipient selection informed by compatibility screening, by specifying functional and impurity limits such as a maximum peroxide value, by adjusting the microenvironmental pH, by physically separating drug and excipient through coating or granulation, by protective packaging, and by minimising blending time and lubricant level.</w:t>
      </w:r>
    </w:p>
    <w:p>
      <w:pPr>
        <w:keepNext/>
        <w:spacing w:before="160" w:after="40"/>
      </w:pPr>
      <w:r>
        <w:rPr>
          <w:rFonts w:ascii="Comic Sans MS" w:hAnsi="Comic Sans MS" w:cs="Comic Sans MS" w:eastAsia="Comic Sans MS"/>
          <w:b/>
          <w:i w:val="0"/>
          <w:color w:val="000000"/>
          <w:sz w:val="28"/>
        </w:rPr>
        <w:t>5.4 Excipient-Package Interactions</w:t>
      </w:r>
    </w:p>
    <w:p>
      <w:pPr>
        <w:spacing w:after="160"/>
        <w:jc w:val="both"/>
      </w:pPr>
      <w:r>
        <w:rPr>
          <w:rFonts w:ascii="Comic Sans MS" w:hAnsi="Comic Sans MS" w:cs="Comic Sans MS" w:eastAsia="Comic Sans MS"/>
          <w:b w:val="0"/>
          <w:i w:val="0"/>
          <w:color w:val="000000"/>
          <w:sz w:val="28"/>
        </w:rPr>
        <w:t>The container closure system is in intimate and prolonged contact with the formulation and must be considered part of it.</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Sorption of formulation components into the package.</w:t>
      </w:r>
      <w:r>
        <w:rPr>
          <w:rFonts w:ascii="Comic Sans MS" w:hAnsi="Comic Sans MS" w:cs="Comic Sans MS" w:eastAsia="Comic Sans MS"/>
          <w:b w:val="0"/>
          <w:i w:val="0"/>
          <w:color w:val="000000"/>
          <w:sz w:val="28"/>
        </w:rPr>
        <w:t xml:space="preserve"> Preservatives, particularly the parabens and benzalkonium chloride, and non-ionic surfactants such as the polysorbates, partition into rubber closures and plastics, so that the preservative concentration falls below the effective level during shelf life. Nitroglycerin migrates into polyvinyl chloride, and insulin and other proteins adsorb onto glass and plastic surfaces.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Leaching of package components into the formulation (extractables and leachables).</w:t>
      </w:r>
      <w:r>
        <w:rPr>
          <w:rFonts w:ascii="Comic Sans MS" w:hAnsi="Comic Sans MS" w:cs="Comic Sans MS" w:eastAsia="Comic Sans MS"/>
          <w:b w:val="0"/>
          <w:i w:val="0"/>
          <w:color w:val="000000"/>
          <w:sz w:val="28"/>
        </w:rPr>
        <w:t xml:space="preserve"> Plasticisers such as diethylhexyl phthalate from polyvinyl chloride, antioxidants and slip agents from polyethylene, vulcanisation accelerators, curing agents and zinc from rubber, and alkali and metal ions from inadequately treated glass. Surfactants and cosolvents present as excipients greatly increase the extent of leaching, because they increase the solubility of the leachables; this is a direct excipient-package interaction. Silicone oil used to lubricate prefilled syringes can promote protein aggregation.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Permeation through the package.</w:t>
      </w:r>
      <w:r>
        <w:rPr>
          <w:rFonts w:ascii="Comic Sans MS" w:hAnsi="Comic Sans MS" w:cs="Comic Sans MS" w:eastAsia="Comic Sans MS"/>
          <w:b w:val="0"/>
          <w:i w:val="0"/>
          <w:color w:val="000000"/>
          <w:sz w:val="28"/>
        </w:rPr>
        <w:t xml:space="preserve"> Moisture and oxygen ingress through plastics, and loss of water or of volatile constituents outwards. Hygroscopic excipients such as sodium starch glycolate and povidone accelerate the consequences of moisture ingress, while semi-permeable containers lose water, concentrating the formulation.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Chemical reaction with the package,</w:t>
      </w:r>
      <w:r>
        <w:rPr>
          <w:rFonts w:ascii="Comic Sans MS" w:hAnsi="Comic Sans MS" w:cs="Comic Sans MS" w:eastAsia="Comic Sans MS"/>
          <w:b w:val="0"/>
          <w:i w:val="0"/>
          <w:color w:val="000000"/>
          <w:sz w:val="28"/>
        </w:rPr>
        <w:t xml:space="preserve"> for example alkaline formulations attacking glass to produce flakes and raising the pH, or chelating excipients extracting metal ions from equipment and closures.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Physical interaction,</w:t>
      </w:r>
      <w:r>
        <w:rPr>
          <w:rFonts w:ascii="Comic Sans MS" w:hAnsi="Comic Sans MS" w:cs="Comic Sans MS" w:eastAsia="Comic Sans MS"/>
          <w:b w:val="0"/>
          <w:i w:val="0"/>
          <w:color w:val="000000"/>
          <w:sz w:val="28"/>
        </w:rPr>
        <w:t xml:space="preserve"> such as the interaction of silicone-treated closures with suspensions, or stress cracking of plastics by surfactant-containing formulations.</w:t>
      </w:r>
    </w:p>
    <w:p>
      <w:pPr>
        <w:spacing w:after="160"/>
        <w:jc w:val="both"/>
      </w:pPr>
      <w:r>
        <w:rPr>
          <w:rFonts w:ascii="Comic Sans MS" w:hAnsi="Comic Sans MS" w:cs="Comic Sans MS" w:eastAsia="Comic Sans MS"/>
          <w:b/>
          <w:i w:val="0"/>
          <w:color w:val="000000"/>
          <w:sz w:val="28"/>
        </w:rPr>
        <w:t>Control.</w:t>
      </w:r>
      <w:r>
        <w:rPr>
          <w:rFonts w:ascii="Comic Sans MS" w:hAnsi="Comic Sans MS" w:cs="Comic Sans MS" w:eastAsia="Comic Sans MS"/>
          <w:b w:val="0"/>
          <w:i w:val="0"/>
          <w:color w:val="000000"/>
          <w:sz w:val="28"/>
        </w:rPr>
        <w:t xml:space="preserve"> Selection of Type I borosilicate glass, of coated or siliconised containers and of appropriate elastomer formulations; the use of fluoropolymer-laminated closures to create a barrier; formal extractables and leachables studies conducted with the actual formulation, since the excipient composition determines the outcome; inclusion of overages only where justified; preservative efficacy testing at the end of shelf life rather than at release; and protective secondary packaging.</w:t>
      </w:r>
    </w:p>
    <w:p>
      <w:pPr>
        <w:keepNext/>
        <w:spacing w:before="160" w:after="40"/>
      </w:pPr>
      <w:r>
        <w:rPr>
          <w:rFonts w:ascii="Comic Sans MS" w:hAnsi="Comic Sans MS" w:cs="Comic Sans MS" w:eastAsia="Comic Sans MS"/>
          <w:b/>
          <w:i w:val="0"/>
          <w:color w:val="000000"/>
          <w:sz w:val="28"/>
        </w:rPr>
        <w:t>5.5 Newer Excipients</w:t>
      </w:r>
    </w:p>
    <w:p>
      <w:pPr>
        <w:keepNext/>
        <w:spacing w:before="160" w:after="40"/>
      </w:pPr>
      <w:r>
        <w:rPr>
          <w:rFonts w:ascii="Comic Sans MS" w:hAnsi="Comic Sans MS" w:cs="Comic Sans MS" w:eastAsia="Comic Sans MS"/>
          <w:b/>
          <w:i w:val="0"/>
          <w:color w:val="000000"/>
          <w:sz w:val="28"/>
        </w:rPr>
        <w:t>5.5.1 Cyclodextrins</w:t>
      </w:r>
    </w:p>
    <w:p>
      <w:pPr>
        <w:spacing w:after="160"/>
        <w:jc w:val="both"/>
      </w:pPr>
      <w:r>
        <w:rPr>
          <w:rFonts w:ascii="Comic Sans MS" w:hAnsi="Comic Sans MS" w:cs="Comic Sans MS" w:eastAsia="Comic Sans MS"/>
          <w:b w:val="0"/>
          <w:i w:val="0"/>
          <w:color w:val="000000"/>
          <w:sz w:val="28"/>
        </w:rPr>
        <w:t>The chemistry, complexation behaviour and solubilising role of the cyclodextrins were described in Unit III. As excipients they are notable for a combination of functions that no other single material provides: solubilisation of poorly soluble drugs, stabilisation against hydrolysis, oxidation and photolysis, masking of bitter taste and unpleasant odour, reduction of local irritation and of haemolysis, conversion of liquids and volatile oils into free-flowing powders, and reduction of drug-drug incompatibility.</w:t>
      </w:r>
    </w:p>
    <w:p>
      <w:pPr>
        <w:spacing w:after="160"/>
        <w:jc w:val="both"/>
      </w:pPr>
      <w:r>
        <w:rPr>
          <w:rFonts w:ascii="Comic Sans MS" w:hAnsi="Comic Sans MS" w:cs="Comic Sans MS" w:eastAsia="Comic Sans MS"/>
          <w:b w:val="0"/>
          <w:i w:val="0"/>
          <w:color w:val="000000"/>
          <w:sz w:val="28"/>
        </w:rPr>
        <w:t xml:space="preserve">The natural alpha, beta and gamma forms are supplemented by the derivatives </w:t>
      </w:r>
      <w:r>
        <w:rPr>
          <w:rFonts w:ascii="Comic Sans MS" w:hAnsi="Comic Sans MS" w:cs="Comic Sans MS" w:eastAsia="Comic Sans MS"/>
          <w:b/>
          <w:i w:val="0"/>
          <w:color w:val="000000"/>
          <w:sz w:val="28"/>
        </w:rPr>
        <w:t>hydroxypropyl-beta-cyclodextrin</w:t>
      </w:r>
      <w:r>
        <w:rPr>
          <w:rFonts w:ascii="Comic Sans MS" w:hAnsi="Comic Sans MS" w:cs="Comic Sans MS" w:eastAsia="Comic Sans MS"/>
          <w:b w:val="0"/>
          <w:i w:val="0"/>
          <w:color w:val="000000"/>
          <w:sz w:val="28"/>
        </w:rPr>
        <w:t xml:space="preserve">, </w:t>
      </w:r>
      <w:r>
        <w:rPr>
          <w:rFonts w:ascii="Comic Sans MS" w:hAnsi="Comic Sans MS" w:cs="Comic Sans MS" w:eastAsia="Comic Sans MS"/>
          <w:b/>
          <w:i w:val="0"/>
          <w:color w:val="000000"/>
          <w:sz w:val="28"/>
        </w:rPr>
        <w:t>sulphobutylether-beta-cyclodextrin</w:t>
      </w:r>
      <w:r>
        <w:rPr>
          <w:rFonts w:ascii="Comic Sans MS" w:hAnsi="Comic Sans MS" w:cs="Comic Sans MS" w:eastAsia="Comic Sans MS"/>
          <w:b w:val="0"/>
          <w:i w:val="0"/>
          <w:color w:val="000000"/>
          <w:sz w:val="28"/>
        </w:rPr>
        <w:t xml:space="preserve">, </w:t>
      </w:r>
      <w:r>
        <w:rPr>
          <w:rFonts w:ascii="Comic Sans MS" w:hAnsi="Comic Sans MS" w:cs="Comic Sans MS" w:eastAsia="Comic Sans MS"/>
          <w:b/>
          <w:i w:val="0"/>
          <w:color w:val="000000"/>
          <w:sz w:val="28"/>
        </w:rPr>
        <w:t>randomly methylated beta-cyclodextrin</w:t>
      </w:r>
      <w:r>
        <w:rPr>
          <w:rFonts w:ascii="Comic Sans MS" w:hAnsi="Comic Sans MS" w:cs="Comic Sans MS" w:eastAsia="Comic Sans MS"/>
          <w:b w:val="0"/>
          <w:i w:val="0"/>
          <w:color w:val="000000"/>
          <w:sz w:val="28"/>
        </w:rPr>
        <w:t xml:space="preserve"> and </w:t>
      </w:r>
      <w:r>
        <w:rPr>
          <w:rFonts w:ascii="Comic Sans MS" w:hAnsi="Comic Sans MS" w:cs="Comic Sans MS" w:eastAsia="Comic Sans MS"/>
          <w:b/>
          <w:i w:val="0"/>
          <w:color w:val="000000"/>
          <w:sz w:val="28"/>
        </w:rPr>
        <w:t>hydroxypropyl-gamma-cyclodextrin</w:t>
      </w:r>
      <w:r>
        <w:rPr>
          <w:rFonts w:ascii="Comic Sans MS" w:hAnsi="Comic Sans MS" w:cs="Comic Sans MS" w:eastAsia="Comic Sans MS"/>
          <w:b w:val="0"/>
          <w:i w:val="0"/>
          <w:color w:val="000000"/>
          <w:sz w:val="28"/>
        </w:rPr>
        <w:t>, which have much greater aqueous solubility and a considerably better parenteral safety profile than beta-cyclodextrin itself, the latter being nephrotoxic on injection. Regulatory status is now well established: hydroxypropyl-beta-cyclodextrin and sulphobutylether-beta-cyclodextrin appear in numerous approved oral and parenteral products. The practical limitations remain the large molar mass, which increases the bulk of the dosage form substantially, the cost, the dependence of complexation on molecular geometry, and competitive displacement of the drug by excipients or endogenous lipids.</w:t>
      </w:r>
    </w:p>
    <w:p>
      <w:pPr>
        <w:keepNext/>
        <w:spacing w:before="160" w:after="40"/>
      </w:pPr>
      <w:r>
        <w:rPr>
          <w:rFonts w:ascii="Comic Sans MS" w:hAnsi="Comic Sans MS" w:cs="Comic Sans MS" w:eastAsia="Comic Sans MS"/>
          <w:b/>
          <w:i w:val="0"/>
          <w:color w:val="000000"/>
          <w:sz w:val="28"/>
        </w:rPr>
        <w:t>5.5.2 Ion Exchange Resins</w:t>
      </w:r>
    </w:p>
    <w:p>
      <w:pPr>
        <w:spacing w:after="160"/>
        <w:jc w:val="both"/>
      </w:pPr>
      <w:r>
        <w:rPr>
          <w:rFonts w:ascii="Comic Sans MS" w:hAnsi="Comic Sans MS" w:cs="Comic Sans MS" w:eastAsia="Comic Sans MS"/>
          <w:b w:val="0"/>
          <w:i w:val="0"/>
          <w:color w:val="000000"/>
          <w:sz w:val="28"/>
        </w:rPr>
        <w:t>Ion exchange resins are high molecular weight, water-insoluble, cross-linked polymers, most commonly styrene-divinylbenzene or methacrylic acid-divinylbenzene copolymers, bearing ionisable functional groups distributed throughout their structure. They exchange their mobile counter-ions for ions of like charge in the surrounding medium.</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Cation exchangers.</w:t>
      </w:r>
      <w:r>
        <w:rPr>
          <w:rFonts w:ascii="Comic Sans MS" w:hAnsi="Comic Sans MS" w:cs="Comic Sans MS" w:eastAsia="Comic Sans MS"/>
          <w:b w:val="0"/>
          <w:i w:val="0"/>
          <w:color w:val="000000"/>
          <w:sz w:val="28"/>
        </w:rPr>
        <w:t xml:space="preserve"> Strong, bearing sulphonic acid groups, for example polystyrene sulphonate; and weak, bearing carboxylic acid groups, for example polacrilex and polacrilin potassium.</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Anion exchangers.</w:t>
      </w:r>
      <w:r>
        <w:rPr>
          <w:rFonts w:ascii="Comic Sans MS" w:hAnsi="Comic Sans MS" w:cs="Comic Sans MS" w:eastAsia="Comic Sans MS"/>
          <w:b w:val="0"/>
          <w:i w:val="0"/>
          <w:color w:val="000000"/>
          <w:sz w:val="28"/>
        </w:rPr>
        <w:t xml:space="preserve"> Strong, bearing quaternary ammonium groups, for example cholestyramine and colestipol; and weak, bearing primary, secondary or tertiary amine groups.</w:t>
      </w:r>
    </w:p>
    <w:p>
      <w:pPr>
        <w:spacing w:after="160"/>
        <w:jc w:val="both"/>
      </w:pPr>
      <w:r>
        <w:rPr>
          <w:rFonts w:ascii="Comic Sans MS" w:hAnsi="Comic Sans MS" w:cs="Comic Sans MS" w:eastAsia="Comic Sans MS"/>
          <w:b w:val="0"/>
          <w:i w:val="0"/>
          <w:color w:val="000000"/>
          <w:sz w:val="28"/>
        </w:rPr>
        <w:t xml:space="preserve">A drug bound to the resin forms a </w:t>
      </w:r>
      <w:r>
        <w:rPr>
          <w:rFonts w:ascii="Comic Sans MS" w:hAnsi="Comic Sans MS" w:cs="Comic Sans MS" w:eastAsia="Comic Sans MS"/>
          <w:b/>
          <w:i w:val="0"/>
          <w:color w:val="000000"/>
          <w:sz w:val="28"/>
        </w:rPr>
        <w:t>resinate</w:t>
      </w:r>
      <w:r>
        <w:rPr>
          <w:rFonts w:ascii="Comic Sans MS" w:hAnsi="Comic Sans MS" w:cs="Comic Sans MS" w:eastAsia="Comic Sans MS"/>
          <w:b w:val="0"/>
          <w:i w:val="0"/>
          <w:color w:val="000000"/>
          <w:sz w:val="28"/>
        </w:rPr>
        <w:t>, a drug-resin complex from which the drug is released by exchange with the ions of the gastrointestinal fluids.</w:t>
      </w:r>
    </w:p>
    <w:p>
      <w:pPr>
        <w:spacing w:after="160"/>
        <w:jc w:val="both"/>
      </w:pPr>
      <w:r>
        <w:rPr>
          <w:rFonts w:ascii="Comic Sans MS" w:hAnsi="Comic Sans MS" w:cs="Comic Sans MS" w:eastAsia="Comic Sans MS"/>
          <w:b/>
          <w:i w:val="0"/>
          <w:color w:val="000000"/>
          <w:sz w:val="28"/>
        </w:rPr>
        <w:t>Pharmaceutical applications.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Taste masking.</w:t>
      </w:r>
      <w:r>
        <w:rPr>
          <w:rFonts w:ascii="Comic Sans MS" w:hAnsi="Comic Sans MS" w:cs="Comic Sans MS" w:eastAsia="Comic Sans MS"/>
          <w:b w:val="0"/>
          <w:i w:val="0"/>
          <w:color w:val="000000"/>
          <w:sz w:val="28"/>
        </w:rPr>
        <w:t xml:space="preserve"> The outstanding application. Bitter drugs bound to a resin are not in solution in the mouth and are therefore tasteless, yet they are released by the ionic environment of the stomach. This underlies many paediatric suspensions and orally disintegrating tablets, for example those of chlorpheniramine, dextromethorphan, ranitidine and azithromycin.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Sustained and controlled release.</w:t>
      </w:r>
      <w:r>
        <w:rPr>
          <w:rFonts w:ascii="Comic Sans MS" w:hAnsi="Comic Sans MS" w:cs="Comic Sans MS" w:eastAsia="Comic Sans MS"/>
          <w:b w:val="0"/>
          <w:i w:val="0"/>
          <w:color w:val="000000"/>
          <w:sz w:val="28"/>
        </w:rPr>
        <w:t xml:space="preserve"> Release depends on the ionic strength and the pH of the medium and on the degree of cross-linking of the resin, so the resinate itself gives a prolonged release, which may be further modified by coating the resinate particles, as in the Pennkinetic system.</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Improvement of dissolution and stability.</w:t>
      </w:r>
      <w:r>
        <w:rPr>
          <w:rFonts w:ascii="Comic Sans MS" w:hAnsi="Comic Sans MS" w:cs="Comic Sans MS" w:eastAsia="Comic Sans MS"/>
          <w:b w:val="0"/>
          <w:i w:val="0"/>
          <w:color w:val="000000"/>
          <w:sz w:val="28"/>
        </w:rPr>
        <w:t xml:space="preserve"> A drug adsorbed onto a resin is held in a non-crystalline, molecularly dispersed state, which can improve dissolution; the resin also protects labile drugs from moisture and from other excipients.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Tablet disintegration.</w:t>
      </w:r>
      <w:r>
        <w:rPr>
          <w:rFonts w:ascii="Comic Sans MS" w:hAnsi="Comic Sans MS" w:cs="Comic Sans MS" w:eastAsia="Comic Sans MS"/>
          <w:b w:val="0"/>
          <w:i w:val="0"/>
          <w:color w:val="000000"/>
          <w:sz w:val="28"/>
        </w:rPr>
        <w:t xml:space="preserve"> Polacrilin potassium is an effective disintegrant.</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Therapeutic use in their own right.</w:t>
      </w:r>
      <w:r>
        <w:rPr>
          <w:rFonts w:ascii="Comic Sans MS" w:hAnsi="Comic Sans MS" w:cs="Comic Sans MS" w:eastAsia="Comic Sans MS"/>
          <w:b w:val="0"/>
          <w:i w:val="0"/>
          <w:color w:val="000000"/>
          <w:sz w:val="28"/>
        </w:rPr>
        <w:t xml:space="preserve"> Cholestyramine and colestipol as bile-acid sequestrants for hyperlipidaemia, sodium and calcium polystyrene sulphonate for hyperkalaemia, and sevelamer for hyperphosphataemia.</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Other uses.</w:t>
      </w:r>
      <w:r>
        <w:rPr>
          <w:rFonts w:ascii="Comic Sans MS" w:hAnsi="Comic Sans MS" w:cs="Comic Sans MS" w:eastAsia="Comic Sans MS"/>
          <w:b w:val="0"/>
          <w:i w:val="0"/>
          <w:color w:val="000000"/>
          <w:sz w:val="28"/>
        </w:rPr>
        <w:t xml:space="preserve"> Stabilisation of vitamins, masking of odour, and use as a carrier in nasal and ophthalmic delivery.</w:t>
      </w:r>
    </w:p>
    <w:p>
      <w:pPr>
        <w:spacing w:after="160"/>
        <w:jc w:val="both"/>
      </w:pPr>
      <w:r>
        <w:rPr>
          <w:rFonts w:ascii="Comic Sans MS" w:hAnsi="Comic Sans MS" w:cs="Comic Sans MS" w:eastAsia="Comic Sans MS"/>
          <w:b/>
          <w:i w:val="0"/>
          <w:color w:val="000000"/>
          <w:sz w:val="28"/>
        </w:rPr>
        <w:t>Limitations.</w:t>
      </w:r>
      <w:r>
        <w:rPr>
          <w:rFonts w:ascii="Comic Sans MS" w:hAnsi="Comic Sans MS" w:cs="Comic Sans MS" w:eastAsia="Comic Sans MS"/>
          <w:b w:val="0"/>
          <w:i w:val="0"/>
          <w:color w:val="000000"/>
          <w:sz w:val="28"/>
        </w:rPr>
        <w:t xml:space="preserve"> Release depends on the physiological ionic environment, which varies between subjects and with diet; the drug must be ionisable; the resin adds considerable bulk; and high doses of ion exchangers may disturb electrolyte balance.</w:t>
      </w:r>
    </w:p>
    <w:p>
      <w:pPr>
        <w:keepNext/>
        <w:spacing w:before="160" w:after="40"/>
      </w:pPr>
      <w:r>
        <w:rPr>
          <w:rFonts w:ascii="Comic Sans MS" w:hAnsi="Comic Sans MS" w:cs="Comic Sans MS" w:eastAsia="Comic Sans MS"/>
          <w:b/>
          <w:i w:val="0"/>
          <w:color w:val="000000"/>
          <w:sz w:val="28"/>
        </w:rPr>
        <w:t>5.5.3 Film Coating Materials</w:t>
      </w:r>
    </w:p>
    <w:p>
      <w:pPr>
        <w:spacing w:after="160"/>
        <w:jc w:val="both"/>
      </w:pPr>
      <w:r>
        <w:rPr>
          <w:rFonts w:ascii="Comic Sans MS" w:hAnsi="Comic Sans MS" w:cs="Comic Sans MS" w:eastAsia="Comic Sans MS"/>
          <w:b w:val="0"/>
          <w:i w:val="0"/>
          <w:color w:val="000000"/>
          <w:sz w:val="28"/>
        </w:rPr>
        <w:t>Film coating has almost entirely replaced sugar coating. The coating formulation consists of a polymer, a plasticiser, a colourant or opacifier, and a solvent or aqueous vehicle, with optional additives.</w:t>
      </w:r>
    </w:p>
    <w:p>
      <w:pPr>
        <w:spacing w:after="160"/>
        <w:jc w:val="both"/>
      </w:pPr>
      <w:r>
        <w:rPr>
          <w:rFonts w:ascii="Comic Sans MS" w:hAnsi="Comic Sans MS" w:cs="Comic Sans MS" w:eastAsia="Comic Sans MS"/>
          <w:b/>
          <w:i w:val="0"/>
          <w:color w:val="000000"/>
          <w:sz w:val="28"/>
        </w:rPr>
        <w:t>Non-functional (immediate-release) polymers.</w:t>
      </w:r>
      <w:r>
        <w:rPr>
          <w:rFonts w:ascii="Comic Sans MS" w:hAnsi="Comic Sans MS" w:cs="Comic Sans MS" w:eastAsia="Comic Sans MS"/>
          <w:b w:val="0"/>
          <w:i w:val="0"/>
          <w:color w:val="000000"/>
          <w:sz w:val="28"/>
        </w:rPr>
        <w:t xml:space="preserve"> </w:t>
      </w:r>
      <w:r>
        <w:rPr>
          <w:rFonts w:ascii="Comic Sans MS" w:hAnsi="Comic Sans MS" w:cs="Comic Sans MS" w:eastAsia="Comic Sans MS"/>
          <w:b/>
          <w:i w:val="0"/>
          <w:color w:val="000000"/>
          <w:sz w:val="28"/>
        </w:rPr>
        <w:t>Hypromellose</w:t>
      </w:r>
      <w:r>
        <w:rPr>
          <w:rFonts w:ascii="Comic Sans MS" w:hAnsi="Comic Sans MS" w:cs="Comic Sans MS" w:eastAsia="Comic Sans MS"/>
          <w:b w:val="0"/>
          <w:i w:val="0"/>
          <w:color w:val="000000"/>
          <w:sz w:val="28"/>
        </w:rPr>
        <w:t xml:space="preserve"> is the most widely used, being soluble across the physiological pH range, of good film strength and adhesion, and available in many viscosity grades. </w:t>
      </w:r>
      <w:r>
        <w:rPr>
          <w:rFonts w:ascii="Comic Sans MS" w:hAnsi="Comic Sans MS" w:cs="Comic Sans MS" w:eastAsia="Comic Sans MS"/>
          <w:b/>
          <w:i w:val="0"/>
          <w:color w:val="000000"/>
          <w:sz w:val="28"/>
        </w:rPr>
        <w:t>Polyvinyl alcohol</w:t>
      </w:r>
      <w:r>
        <w:rPr>
          <w:rFonts w:ascii="Comic Sans MS" w:hAnsi="Comic Sans MS" w:cs="Comic Sans MS" w:eastAsia="Comic Sans MS"/>
          <w:b w:val="0"/>
          <w:i w:val="0"/>
          <w:color w:val="000000"/>
          <w:sz w:val="28"/>
        </w:rPr>
        <w:t xml:space="preserve"> and polyvinyl alcohol-polyethylene glycol graft copolymers, marketed in the Opadry family, give lower viscosity at higher solids content, better moisture barrier properties and faster processing. </w:t>
      </w:r>
      <w:r>
        <w:rPr>
          <w:rFonts w:ascii="Comic Sans MS" w:hAnsi="Comic Sans MS" w:cs="Comic Sans MS" w:eastAsia="Comic Sans MS"/>
          <w:b/>
          <w:i w:val="0"/>
          <w:color w:val="000000"/>
          <w:sz w:val="28"/>
        </w:rPr>
        <w:t>Hydroxypropyl cellulose</w:t>
      </w:r>
      <w:r>
        <w:rPr>
          <w:rFonts w:ascii="Comic Sans MS" w:hAnsi="Comic Sans MS" w:cs="Comic Sans MS" w:eastAsia="Comic Sans MS"/>
          <w:b w:val="0"/>
          <w:i w:val="0"/>
          <w:color w:val="000000"/>
          <w:sz w:val="28"/>
        </w:rPr>
        <w:t xml:space="preserve">, </w:t>
      </w:r>
      <w:r>
        <w:rPr>
          <w:rFonts w:ascii="Comic Sans MS" w:hAnsi="Comic Sans MS" w:cs="Comic Sans MS" w:eastAsia="Comic Sans MS"/>
          <w:b/>
          <w:i w:val="0"/>
          <w:color w:val="000000"/>
          <w:sz w:val="28"/>
        </w:rPr>
        <w:t>hypromellose derivatives</w:t>
      </w:r>
      <w:r>
        <w:rPr>
          <w:rFonts w:ascii="Comic Sans MS" w:hAnsi="Comic Sans MS" w:cs="Comic Sans MS" w:eastAsia="Comic Sans MS"/>
          <w:b w:val="0"/>
          <w:i w:val="0"/>
          <w:color w:val="000000"/>
          <w:sz w:val="28"/>
        </w:rPr>
        <w:t xml:space="preserve"> and </w:t>
      </w:r>
      <w:r>
        <w:rPr>
          <w:rFonts w:ascii="Comic Sans MS" w:hAnsi="Comic Sans MS" w:cs="Comic Sans MS" w:eastAsia="Comic Sans MS"/>
          <w:b/>
          <w:i w:val="0"/>
          <w:color w:val="000000"/>
          <w:sz w:val="28"/>
        </w:rPr>
        <w:t>povidone</w:t>
      </w:r>
      <w:r>
        <w:rPr>
          <w:rFonts w:ascii="Comic Sans MS" w:hAnsi="Comic Sans MS" w:cs="Comic Sans MS" w:eastAsia="Comic Sans MS"/>
          <w:b w:val="0"/>
          <w:i w:val="0"/>
          <w:color w:val="000000"/>
          <w:sz w:val="28"/>
        </w:rPr>
        <w:t xml:space="preserve"> are also used.</w:t>
      </w:r>
    </w:p>
    <w:p>
      <w:pPr>
        <w:spacing w:after="160"/>
        <w:jc w:val="both"/>
      </w:pPr>
      <w:r>
        <w:rPr>
          <w:rFonts w:ascii="Comic Sans MS" w:hAnsi="Comic Sans MS" w:cs="Comic Sans MS" w:eastAsia="Comic Sans MS"/>
          <w:b/>
          <w:i w:val="0"/>
          <w:color w:val="000000"/>
          <w:sz w:val="28"/>
        </w:rPr>
        <w:t>Enteric (delayed-release) polymers,</w:t>
      </w:r>
      <w:r>
        <w:rPr>
          <w:rFonts w:ascii="Comic Sans MS" w:hAnsi="Comic Sans MS" w:cs="Comic Sans MS" w:eastAsia="Comic Sans MS"/>
          <w:b w:val="0"/>
          <w:i w:val="0"/>
          <w:color w:val="000000"/>
          <w:sz w:val="28"/>
        </w:rPr>
        <w:t xml:space="preserve"> which are insoluble at gastric pH and dissolve above a threshold pH: </w:t>
      </w:r>
      <w:r>
        <w:rPr>
          <w:rFonts w:ascii="Comic Sans MS" w:hAnsi="Comic Sans MS" w:cs="Comic Sans MS" w:eastAsia="Comic Sans MS"/>
          <w:b/>
          <w:i w:val="0"/>
          <w:color w:val="000000"/>
          <w:sz w:val="28"/>
        </w:rPr>
        <w:t>cellulose acetate phthalate</w:t>
      </w:r>
      <w:r>
        <w:rPr>
          <w:rFonts w:ascii="Comic Sans MS" w:hAnsi="Comic Sans MS" w:cs="Comic Sans MS" w:eastAsia="Comic Sans MS"/>
          <w:b w:val="0"/>
          <w:i w:val="0"/>
          <w:color w:val="000000"/>
          <w:sz w:val="28"/>
        </w:rPr>
        <w:t xml:space="preserve">, dissolving above about pH 6; </w:t>
      </w:r>
      <w:r>
        <w:rPr>
          <w:rFonts w:ascii="Comic Sans MS" w:hAnsi="Comic Sans MS" w:cs="Comic Sans MS" w:eastAsia="Comic Sans MS"/>
          <w:b/>
          <w:i w:val="0"/>
          <w:color w:val="000000"/>
          <w:sz w:val="28"/>
        </w:rPr>
        <w:t>hypromellose phthalate</w:t>
      </w:r>
      <w:r>
        <w:rPr>
          <w:rFonts w:ascii="Comic Sans MS" w:hAnsi="Comic Sans MS" w:cs="Comic Sans MS" w:eastAsia="Comic Sans MS"/>
          <w:b w:val="0"/>
          <w:i w:val="0"/>
          <w:color w:val="000000"/>
          <w:sz w:val="28"/>
        </w:rPr>
        <w:t xml:space="preserve">, above about pH 5 to 5.5; </w:t>
      </w:r>
      <w:r>
        <w:rPr>
          <w:rFonts w:ascii="Comic Sans MS" w:hAnsi="Comic Sans MS" w:cs="Comic Sans MS" w:eastAsia="Comic Sans MS"/>
          <w:b/>
          <w:i w:val="0"/>
          <w:color w:val="000000"/>
          <w:sz w:val="28"/>
        </w:rPr>
        <w:t>hypromellose acetate succinate</w:t>
      </w:r>
      <w:r>
        <w:rPr>
          <w:rFonts w:ascii="Comic Sans MS" w:hAnsi="Comic Sans MS" w:cs="Comic Sans MS" w:eastAsia="Comic Sans MS"/>
          <w:b w:val="0"/>
          <w:i w:val="0"/>
          <w:color w:val="000000"/>
          <w:sz w:val="28"/>
        </w:rPr>
        <w:t xml:space="preserve">, available in grades dissolving from about pH 5.5 to 6.8 and also of great importance as a carrier for amorphous solid dispersions; </w:t>
      </w:r>
      <w:r>
        <w:rPr>
          <w:rFonts w:ascii="Comic Sans MS" w:hAnsi="Comic Sans MS" w:cs="Comic Sans MS" w:eastAsia="Comic Sans MS"/>
          <w:b/>
          <w:i w:val="0"/>
          <w:color w:val="000000"/>
          <w:sz w:val="28"/>
        </w:rPr>
        <w:t>polyvinyl acetate phthalate</w:t>
      </w:r>
      <w:r>
        <w:rPr>
          <w:rFonts w:ascii="Comic Sans MS" w:hAnsi="Comic Sans MS" w:cs="Comic Sans MS" w:eastAsia="Comic Sans MS"/>
          <w:b w:val="0"/>
          <w:i w:val="0"/>
          <w:color w:val="000000"/>
          <w:sz w:val="28"/>
        </w:rPr>
        <w:t xml:space="preserve">; and the </w:t>
      </w:r>
      <w:r>
        <w:rPr>
          <w:rFonts w:ascii="Comic Sans MS" w:hAnsi="Comic Sans MS" w:cs="Comic Sans MS" w:eastAsia="Comic Sans MS"/>
          <w:b/>
          <w:i w:val="0"/>
          <w:color w:val="000000"/>
          <w:sz w:val="28"/>
        </w:rPr>
        <w:t>methacrylic acid copolymers</w:t>
      </w:r>
      <w:r>
        <w:rPr>
          <w:rFonts w:ascii="Comic Sans MS" w:hAnsi="Comic Sans MS" w:cs="Comic Sans MS" w:eastAsia="Comic Sans MS"/>
          <w:b w:val="0"/>
          <w:i w:val="0"/>
          <w:color w:val="000000"/>
          <w:sz w:val="28"/>
        </w:rPr>
        <w:t xml:space="preserve"> Eudragit L100-55, L100 and S100, dissolving above approximately pH 5.5, 6.0 and 7.0 respectively, which permits the site of release to be targeted.</w:t>
      </w:r>
    </w:p>
    <w:p>
      <w:pPr>
        <w:spacing w:after="160"/>
        <w:jc w:val="both"/>
      </w:pPr>
      <w:r>
        <w:rPr>
          <w:rFonts w:ascii="Comic Sans MS" w:hAnsi="Comic Sans MS" w:cs="Comic Sans MS" w:eastAsia="Comic Sans MS"/>
          <w:b/>
          <w:i w:val="0"/>
          <w:color w:val="000000"/>
          <w:sz w:val="28"/>
        </w:rPr>
        <w:t>Sustained-release and permeability-controlling polymers.</w:t>
      </w:r>
      <w:r>
        <w:rPr>
          <w:rFonts w:ascii="Comic Sans MS" w:hAnsi="Comic Sans MS" w:cs="Comic Sans MS" w:eastAsia="Comic Sans MS"/>
          <w:b w:val="0"/>
          <w:i w:val="0"/>
          <w:color w:val="000000"/>
          <w:sz w:val="28"/>
        </w:rPr>
        <w:t xml:space="preserve"> </w:t>
      </w:r>
      <w:r>
        <w:rPr>
          <w:rFonts w:ascii="Comic Sans MS" w:hAnsi="Comic Sans MS" w:cs="Comic Sans MS" w:eastAsia="Comic Sans MS"/>
          <w:b/>
          <w:i w:val="0"/>
          <w:color w:val="000000"/>
          <w:sz w:val="28"/>
        </w:rPr>
        <w:t>Ethylcellulose</w:t>
      </w:r>
      <w:r>
        <w:rPr>
          <w:rFonts w:ascii="Comic Sans MS" w:hAnsi="Comic Sans MS" w:cs="Comic Sans MS" w:eastAsia="Comic Sans MS"/>
          <w:b w:val="0"/>
          <w:i w:val="0"/>
          <w:color w:val="000000"/>
          <w:sz w:val="28"/>
        </w:rPr>
        <w:t xml:space="preserve">, applied as an aqueous pseudolatex dispersion such as Aquacoat or Surelease; the </w:t>
      </w:r>
      <w:r>
        <w:rPr>
          <w:rFonts w:ascii="Comic Sans MS" w:hAnsi="Comic Sans MS" w:cs="Comic Sans MS" w:eastAsia="Comic Sans MS"/>
          <w:b/>
          <w:i w:val="0"/>
          <w:color w:val="000000"/>
          <w:sz w:val="28"/>
        </w:rPr>
        <w:t>ammonio methacrylate copolymers</w:t>
      </w:r>
      <w:r>
        <w:rPr>
          <w:rFonts w:ascii="Comic Sans MS" w:hAnsi="Comic Sans MS" w:cs="Comic Sans MS" w:eastAsia="Comic Sans MS"/>
          <w:b w:val="0"/>
          <w:i w:val="0"/>
          <w:color w:val="000000"/>
          <w:sz w:val="28"/>
        </w:rPr>
        <w:t xml:space="preserve"> Eudragit RL and RS, whose quaternary ammonium content determines permeability and which are blended to tune the release rate; </w:t>
      </w:r>
      <w:r>
        <w:rPr>
          <w:rFonts w:ascii="Comic Sans MS" w:hAnsi="Comic Sans MS" w:cs="Comic Sans MS" w:eastAsia="Comic Sans MS"/>
          <w:b/>
          <w:i w:val="0"/>
          <w:color w:val="000000"/>
          <w:sz w:val="28"/>
        </w:rPr>
        <w:t>cellulose acetate</w:t>
      </w:r>
      <w:r>
        <w:rPr>
          <w:rFonts w:ascii="Comic Sans MS" w:hAnsi="Comic Sans MS" w:cs="Comic Sans MS" w:eastAsia="Comic Sans MS"/>
          <w:b w:val="0"/>
          <w:i w:val="0"/>
          <w:color w:val="000000"/>
          <w:sz w:val="28"/>
        </w:rPr>
        <w:t xml:space="preserve">, used as the semi-permeable membrane of osmotic pump systems; and </w:t>
      </w:r>
      <w:r>
        <w:rPr>
          <w:rFonts w:ascii="Comic Sans MS" w:hAnsi="Comic Sans MS" w:cs="Comic Sans MS" w:eastAsia="Comic Sans MS"/>
          <w:b/>
          <w:i w:val="0"/>
          <w:color w:val="000000"/>
          <w:sz w:val="28"/>
        </w:rPr>
        <w:t>polyvinyl acetate</w:t>
      </w:r>
      <w:r>
        <w:rPr>
          <w:rFonts w:ascii="Comic Sans MS" w:hAnsi="Comic Sans MS" w:cs="Comic Sans MS" w:eastAsia="Comic Sans MS"/>
          <w:b w:val="0"/>
          <w:i w:val="0"/>
          <w:color w:val="000000"/>
          <w:sz w:val="28"/>
        </w:rPr>
        <w:t xml:space="preserve"> dispersions such as Kollicoat SR.</w:t>
      </w:r>
    </w:p>
    <w:p>
      <w:pPr>
        <w:spacing w:after="160"/>
        <w:jc w:val="both"/>
      </w:pPr>
      <w:r>
        <w:rPr>
          <w:rFonts w:ascii="Comic Sans MS" w:hAnsi="Comic Sans MS" w:cs="Comic Sans MS" w:eastAsia="Comic Sans MS"/>
          <w:b/>
          <w:i w:val="0"/>
          <w:color w:val="000000"/>
          <w:sz w:val="28"/>
        </w:rPr>
        <w:t>Plasticisers,</w:t>
      </w:r>
      <w:r>
        <w:rPr>
          <w:rFonts w:ascii="Comic Sans MS" w:hAnsi="Comic Sans MS" w:cs="Comic Sans MS" w:eastAsia="Comic Sans MS"/>
          <w:b w:val="0"/>
          <w:i w:val="0"/>
          <w:color w:val="000000"/>
          <w:sz w:val="28"/>
        </w:rPr>
        <w:t xml:space="preserve"> which lower the glass transition temperature of the polymer, permit coalescence of latex particles at a practicable temperature and confer flexibility: triethyl citrate, tributyl citrate, dibutyl sebacate, triacetin, propylene glycol, polyethylene glycols and acetylated monoglycerides. Inadequate plasticisation causes brittle films, cracking and, in sustained-release coats, continued curing and dissolution slowing on storage.</w:t>
      </w:r>
    </w:p>
    <w:p>
      <w:pPr>
        <w:spacing w:after="160"/>
        <w:jc w:val="both"/>
      </w:pPr>
      <w:r>
        <w:rPr>
          <w:rFonts w:ascii="Comic Sans MS" w:hAnsi="Comic Sans MS" w:cs="Comic Sans MS" w:eastAsia="Comic Sans MS"/>
          <w:b/>
          <w:i w:val="0"/>
          <w:color w:val="000000"/>
          <w:sz w:val="28"/>
        </w:rPr>
        <w:t>Colourants, opacifiers and other additives.</w:t>
      </w:r>
      <w:r>
        <w:rPr>
          <w:rFonts w:ascii="Comic Sans MS" w:hAnsi="Comic Sans MS" w:cs="Comic Sans MS" w:eastAsia="Comic Sans MS"/>
          <w:b w:val="0"/>
          <w:i w:val="0"/>
          <w:color w:val="000000"/>
          <w:sz w:val="28"/>
        </w:rPr>
        <w:t xml:space="preserve"> Titanium dioxide as opacifier, iron oxides and lake pigments, talc and glyceryl monostearate as antitacking agents, and surfactants to aid wetting.</w:t>
      </w:r>
    </w:p>
    <w:p>
      <w:pPr>
        <w:spacing w:after="160"/>
        <w:jc w:val="both"/>
      </w:pPr>
      <w:r>
        <w:rPr>
          <w:rFonts w:ascii="Comic Sans MS" w:hAnsi="Comic Sans MS" w:cs="Comic Sans MS" w:eastAsia="Comic Sans MS"/>
          <w:b/>
          <w:i w:val="0"/>
          <w:color w:val="000000"/>
          <w:sz w:val="28"/>
        </w:rPr>
        <w:t>Trends.</w:t>
      </w:r>
      <w:r>
        <w:rPr>
          <w:rFonts w:ascii="Comic Sans MS" w:hAnsi="Comic Sans MS" w:cs="Comic Sans MS" w:eastAsia="Comic Sans MS"/>
          <w:b w:val="0"/>
          <w:i w:val="0"/>
          <w:color w:val="000000"/>
          <w:sz w:val="28"/>
        </w:rPr>
        <w:t xml:space="preserve"> The dominant trend is from organic solvent to </w:t>
      </w:r>
      <w:r>
        <w:rPr>
          <w:rFonts w:ascii="Comic Sans MS" w:hAnsi="Comic Sans MS" w:cs="Comic Sans MS" w:eastAsia="Comic Sans MS"/>
          <w:b/>
          <w:i w:val="0"/>
          <w:color w:val="000000"/>
          <w:sz w:val="28"/>
        </w:rPr>
        <w:t>aqueous coating</w:t>
      </w:r>
      <w:r>
        <w:rPr>
          <w:rFonts w:ascii="Comic Sans MS" w:hAnsi="Comic Sans MS" w:cs="Comic Sans MS" w:eastAsia="Comic Sans MS"/>
          <w:b w:val="0"/>
          <w:i w:val="0"/>
          <w:color w:val="000000"/>
          <w:sz w:val="28"/>
        </w:rPr>
        <w:t xml:space="preserve">, using latex and pseudolatex dispersions, which eliminates solvent residues, explosion risk and environmental burden, at the cost of a higher heat load and more complex coalescence behaviour. Other developments are ready-to-use, fully formulated coating systems that require only dispersion in water, thereby reducing variability; </w:t>
      </w:r>
      <w:r>
        <w:rPr>
          <w:rFonts w:ascii="Comic Sans MS" w:hAnsi="Comic Sans MS" w:cs="Comic Sans MS" w:eastAsia="Comic Sans MS"/>
          <w:b/>
          <w:i w:val="0"/>
          <w:color w:val="000000"/>
          <w:sz w:val="28"/>
        </w:rPr>
        <w:t>dry powder coating</w:t>
      </w:r>
      <w:r>
        <w:rPr>
          <w:rFonts w:ascii="Comic Sans MS" w:hAnsi="Comic Sans MS" w:cs="Comic Sans MS" w:eastAsia="Comic Sans MS"/>
          <w:b w:val="0"/>
          <w:i w:val="0"/>
          <w:color w:val="000000"/>
          <w:sz w:val="28"/>
        </w:rPr>
        <w:t xml:space="preserve"> and </w:t>
      </w:r>
      <w:r>
        <w:rPr>
          <w:rFonts w:ascii="Comic Sans MS" w:hAnsi="Comic Sans MS" w:cs="Comic Sans MS" w:eastAsia="Comic Sans MS"/>
          <w:b/>
          <w:i w:val="0"/>
          <w:color w:val="000000"/>
          <w:sz w:val="28"/>
        </w:rPr>
        <w:t>compression coating</w:t>
      </w:r>
      <w:r>
        <w:rPr>
          <w:rFonts w:ascii="Comic Sans MS" w:hAnsi="Comic Sans MS" w:cs="Comic Sans MS" w:eastAsia="Comic Sans MS"/>
          <w:b w:val="0"/>
          <w:i w:val="0"/>
          <w:color w:val="000000"/>
          <w:sz w:val="28"/>
        </w:rPr>
        <w:t>, which avoid solvents entirely; and functional coatings for taste masking, moisture protection and photoprotection.</w:t>
      </w:r>
    </w:p>
    <w:p>
      <w:pPr>
        <w:keepNext/>
        <w:spacing w:before="160" w:after="40"/>
      </w:pPr>
      <w:r>
        <w:rPr>
          <w:rFonts w:ascii="Comic Sans MS" w:hAnsi="Comic Sans MS" w:cs="Comic Sans MS" w:eastAsia="Comic Sans MS"/>
          <w:b/>
          <w:i w:val="0"/>
          <w:color w:val="000000"/>
          <w:sz w:val="28"/>
        </w:rPr>
        <w:t>5.5.4 Superdisintegrants</w:t>
      </w:r>
    </w:p>
    <w:p>
      <w:pPr>
        <w:spacing w:after="160"/>
        <w:jc w:val="both"/>
      </w:pPr>
      <w:r>
        <w:rPr>
          <w:rFonts w:ascii="Comic Sans MS" w:hAnsi="Comic Sans MS" w:cs="Comic Sans MS" w:eastAsia="Comic Sans MS"/>
          <w:b w:val="0"/>
          <w:i w:val="0"/>
          <w:color w:val="000000"/>
          <w:sz w:val="28"/>
        </w:rPr>
        <w:t xml:space="preserve">Superdisintegrants are excipients that produce rapid and vigorous disintegration at low concentration, typically 1 to 10 per cent, in contrast with the 5 to 20 per cent required of starch. They act principally by very rapid and extensive </w:t>
      </w:r>
      <w:r>
        <w:rPr>
          <w:rFonts w:ascii="Comic Sans MS" w:hAnsi="Comic Sans MS" w:cs="Comic Sans MS" w:eastAsia="Comic Sans MS"/>
          <w:b/>
          <w:i w:val="0"/>
          <w:color w:val="000000"/>
          <w:sz w:val="28"/>
        </w:rPr>
        <w:t>swelling</w:t>
      </w:r>
      <w:r>
        <w:rPr>
          <w:rFonts w:ascii="Comic Sans MS" w:hAnsi="Comic Sans MS" w:cs="Comic Sans MS" w:eastAsia="Comic Sans MS"/>
          <w:b w:val="0"/>
          <w:i w:val="0"/>
          <w:color w:val="000000"/>
          <w:sz w:val="28"/>
        </w:rPr>
        <w:t xml:space="preserve">, and additionally by </w:t>
      </w:r>
      <w:r>
        <w:rPr>
          <w:rFonts w:ascii="Comic Sans MS" w:hAnsi="Comic Sans MS" w:cs="Comic Sans MS" w:eastAsia="Comic Sans MS"/>
          <w:b/>
          <w:i w:val="0"/>
          <w:color w:val="000000"/>
          <w:sz w:val="28"/>
        </w:rPr>
        <w:t>wicking</w:t>
      </w:r>
      <w:r>
        <w:rPr>
          <w:rFonts w:ascii="Comic Sans MS" w:hAnsi="Comic Sans MS" w:cs="Comic Sans MS" w:eastAsia="Comic Sans MS"/>
          <w:b w:val="0"/>
          <w:i w:val="0"/>
          <w:color w:val="000000"/>
          <w:sz w:val="28"/>
        </w:rPr>
        <w:t xml:space="preserve"> of water into the tablet through capillary action, by </w:t>
      </w:r>
      <w:r>
        <w:rPr>
          <w:rFonts w:ascii="Comic Sans MS" w:hAnsi="Comic Sans MS" w:cs="Comic Sans MS" w:eastAsia="Comic Sans MS"/>
          <w:b/>
          <w:i w:val="0"/>
          <w:color w:val="000000"/>
          <w:sz w:val="28"/>
        </w:rPr>
        <w:t>deformation recovery</w:t>
      </w:r>
      <w:r>
        <w:rPr>
          <w:rFonts w:ascii="Comic Sans MS" w:hAnsi="Comic Sans MS" w:cs="Comic Sans MS" w:eastAsia="Comic Sans MS"/>
          <w:b w:val="0"/>
          <w:i w:val="0"/>
          <w:color w:val="000000"/>
          <w:sz w:val="28"/>
        </w:rPr>
        <w:t xml:space="preserve"> and by </w:t>
      </w:r>
      <w:r>
        <w:rPr>
          <w:rFonts w:ascii="Comic Sans MS" w:hAnsi="Comic Sans MS" w:cs="Comic Sans MS" w:eastAsia="Comic Sans MS"/>
          <w:b/>
          <w:i w:val="0"/>
          <w:color w:val="000000"/>
          <w:sz w:val="28"/>
        </w:rPr>
        <w:t>repulsion between particles</w:t>
      </w:r>
      <w:r>
        <w:rPr>
          <w:rFonts w:ascii="Comic Sans MS" w:hAnsi="Comic Sans MS" w:cs="Comic Sans MS" w:eastAsia="Comic Sans MS"/>
          <w:b w:val="0"/>
          <w:i w:val="0"/>
          <w:color w:val="000000"/>
          <w:sz w:val="28"/>
        </w:rPr>
        <w:t>.</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Croscarmellose sodium.</w:t>
      </w:r>
      <w:r>
        <w:rPr>
          <w:rFonts w:ascii="Comic Sans MS" w:hAnsi="Comic Sans MS" w:cs="Comic Sans MS" w:eastAsia="Comic Sans MS"/>
          <w:b w:val="0"/>
          <w:i w:val="0"/>
          <w:color w:val="000000"/>
          <w:sz w:val="28"/>
        </w:rPr>
        <w:t xml:space="preserve"> Internally cross-linked sodium carboxymethylcellulose. Used at about 0.5 to 5 per cent, effective in both direct compression and wet granulation, and acts by swelling combined with strong wicking. Being anionic, it may interact with cationic drugs.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Sodium starch glycolate.</w:t>
      </w:r>
      <w:r>
        <w:rPr>
          <w:rFonts w:ascii="Comic Sans MS" w:hAnsi="Comic Sans MS" w:cs="Comic Sans MS" w:eastAsia="Comic Sans MS"/>
          <w:b w:val="0"/>
          <w:i w:val="0"/>
          <w:color w:val="000000"/>
          <w:sz w:val="28"/>
        </w:rPr>
        <w:t xml:space="preserve"> The sodium salt of a carboxymethyl ether of starch, cross-linked to prevent dissolution. Used at about 2 to 8 per cent, and swells to many times its original volume, which makes it the most powerful swelling agent of the group. Its high sodium content and high water uptake can destabilise moisture-sensitive drugs.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Crospovidone.</w:t>
      </w:r>
      <w:r>
        <w:rPr>
          <w:rFonts w:ascii="Comic Sans MS" w:hAnsi="Comic Sans MS" w:cs="Comic Sans MS" w:eastAsia="Comic Sans MS"/>
          <w:b w:val="0"/>
          <w:i w:val="0"/>
          <w:color w:val="000000"/>
          <w:sz w:val="28"/>
        </w:rPr>
        <w:t xml:space="preserve"> Cross-linked povidone, water-insoluble but highly hydrophilic, used at about 2 to 5 per cent. It acts chiefly by extremely rapid capillary wicking and by deformation recovery rather than by swelling, does not gel, and being non-ionic it is compatible with both cationic and anionic drugs. It is the superdisintegrant of choice for orally disintegrating tablets.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Others.</w:t>
      </w:r>
      <w:r>
        <w:rPr>
          <w:rFonts w:ascii="Comic Sans MS" w:hAnsi="Comic Sans MS" w:cs="Comic Sans MS" w:eastAsia="Comic Sans MS"/>
          <w:b w:val="0"/>
          <w:i w:val="0"/>
          <w:color w:val="000000"/>
          <w:sz w:val="28"/>
        </w:rPr>
        <w:t xml:space="preserve"> Low-substituted hydroxypropyl cellulose, polacrilin potassium, modified maize starch, alginic acid and calcium silicate; and, for orally disintegrating tablets, co-processed systems combining a superdisintegrant with a soluble diluent.</w:t>
      </w:r>
    </w:p>
    <w:p>
      <w:pPr>
        <w:spacing w:after="160"/>
        <w:jc w:val="both"/>
      </w:pPr>
      <w:r>
        <w:rPr>
          <w:rFonts w:ascii="Comic Sans MS" w:hAnsi="Comic Sans MS" w:cs="Comic Sans MS" w:eastAsia="Comic Sans MS"/>
          <w:b/>
          <w:i w:val="0"/>
          <w:color w:val="000000"/>
          <w:sz w:val="28"/>
        </w:rPr>
        <w:t>Practical considerations.</w:t>
      </w:r>
      <w:r>
        <w:rPr>
          <w:rFonts w:ascii="Comic Sans MS" w:hAnsi="Comic Sans MS" w:cs="Comic Sans MS" w:eastAsia="Comic Sans MS"/>
          <w:b w:val="0"/>
          <w:i w:val="0"/>
          <w:color w:val="000000"/>
          <w:sz w:val="28"/>
        </w:rPr>
        <w:t xml:space="preserve"> The </w:t>
      </w:r>
      <w:r>
        <w:rPr>
          <w:rFonts w:ascii="Comic Sans MS" w:hAnsi="Comic Sans MS" w:cs="Comic Sans MS" w:eastAsia="Comic Sans MS"/>
          <w:b/>
          <w:i w:val="0"/>
          <w:color w:val="000000"/>
          <w:sz w:val="28"/>
        </w:rPr>
        <w:t>method of incorporation</w:t>
      </w:r>
      <w:r>
        <w:rPr>
          <w:rFonts w:ascii="Comic Sans MS" w:hAnsi="Comic Sans MS" w:cs="Comic Sans MS" w:eastAsia="Comic Sans MS"/>
          <w:b w:val="0"/>
          <w:i w:val="0"/>
          <w:color w:val="000000"/>
          <w:sz w:val="28"/>
        </w:rPr>
        <w:t xml:space="preserve"> matters: intragranular addition aids granule breakdown, extragranular addition aids tablet breakdown, and a divided intragranular and extragranular addition is often optimal. Excessive levels may retard rather than assist disintegration by forming a viscous gel layer, and superdisintegrant performance falls with increased compression force and with hydrophobic lubrication. All are hygroscopic and must be protected from moisture.</w:t>
      </w:r>
    </w:p>
    <w:p>
      <w:pPr>
        <w:keepNext/>
        <w:spacing w:before="160" w:after="40"/>
      </w:pPr>
      <w:r>
        <w:rPr>
          <w:rFonts w:ascii="Comic Sans MS" w:hAnsi="Comic Sans MS" w:cs="Comic Sans MS" w:eastAsia="Comic Sans MS"/>
          <w:b/>
          <w:i w:val="0"/>
          <w:color w:val="000000"/>
          <w:sz w:val="28"/>
        </w:rPr>
        <w:t>5.5.5 Directly Compressible Vehicles</w:t>
      </w:r>
    </w:p>
    <w:p>
      <w:pPr>
        <w:spacing w:after="160"/>
        <w:jc w:val="both"/>
      </w:pPr>
      <w:r>
        <w:rPr>
          <w:rFonts w:ascii="Comic Sans MS" w:hAnsi="Comic Sans MS" w:cs="Comic Sans MS" w:eastAsia="Comic Sans MS"/>
          <w:b w:val="0"/>
          <w:i w:val="0"/>
          <w:color w:val="000000"/>
          <w:sz w:val="28"/>
        </w:rPr>
        <w:t>Direct compression avoids granulation entirely and is therefore the cheapest, fastest and least stressful route to a tablet, but it demands diluents that combine good flow with good compactibility and that will carry the drug without segregation.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Microcrystalline cellulose.</w:t>
      </w:r>
      <w:r>
        <w:rPr>
          <w:rFonts w:ascii="Comic Sans MS" w:hAnsi="Comic Sans MS" w:cs="Comic Sans MS" w:eastAsia="Comic Sans MS"/>
          <w:b w:val="0"/>
          <w:i w:val="0"/>
          <w:color w:val="000000"/>
          <w:sz w:val="28"/>
        </w:rPr>
        <w:t xml:space="preserve"> The outstanding direct compression excipient, deforming plastically to give strong compacts, with excellent dilution potential and inherent disintegrant and binder properties. Grades differ in particle size and moisture: the finer grades give better compaction and the coarser better flow, silicified grades give improved flow and retained compactibility, and low-moisture grades are used for moisture-sensitive drugs. Its limitations are loss of compactibility after wet granulation, lubricant sensitivity, and a tendency of tablets to soften at high humidity.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Spray-dried and anhydrous lactose.</w:t>
      </w:r>
      <w:r>
        <w:rPr>
          <w:rFonts w:ascii="Comic Sans MS" w:hAnsi="Comic Sans MS" w:cs="Comic Sans MS" w:eastAsia="Comic Sans MS"/>
          <w:b w:val="0"/>
          <w:i w:val="0"/>
          <w:color w:val="000000"/>
          <w:sz w:val="28"/>
        </w:rPr>
        <w:t xml:space="preserve"> Spray-dried lactose, containing amorphous material together with alpha-lactose monohydrate crystals, flows well and compacts adequately; anhydrous lactose is preferred for moisture-sensitive drugs. Both undergo the Maillard reaction with amines.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Dibasic calcium phosphate dihydrate and anhydrous.</w:t>
      </w:r>
      <w:r>
        <w:rPr>
          <w:rFonts w:ascii="Comic Sans MS" w:hAnsi="Comic Sans MS" w:cs="Comic Sans MS" w:eastAsia="Comic Sans MS"/>
          <w:b w:val="0"/>
          <w:i w:val="0"/>
          <w:color w:val="000000"/>
          <w:sz w:val="28"/>
        </w:rPr>
        <w:t xml:space="preserve"> Free flowing, inexpensive, non-hygroscopic, compacting by brittle fracture; but abrasive, alkaline, and unsuitable for acid-labile drugs.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Mannitol.</w:t>
      </w:r>
      <w:r>
        <w:rPr>
          <w:rFonts w:ascii="Comic Sans MS" w:hAnsi="Comic Sans MS" w:cs="Comic Sans MS" w:eastAsia="Comic Sans MS"/>
          <w:b w:val="0"/>
          <w:i w:val="0"/>
          <w:color w:val="000000"/>
          <w:sz w:val="28"/>
        </w:rPr>
        <w:t xml:space="preserve"> Non-hygroscopic, chemically inert, negatively heat of solution giving a pleasant cooling mouthfeel, and therefore the diluent of choice for chewable and orally disintegrating tablets. Granulated and spray-dried grades are made specifically for direct compression.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Others.</w:t>
      </w:r>
      <w:r>
        <w:rPr>
          <w:rFonts w:ascii="Comic Sans MS" w:hAnsi="Comic Sans MS" w:cs="Comic Sans MS" w:eastAsia="Comic Sans MS"/>
          <w:b w:val="0"/>
          <w:i w:val="0"/>
          <w:color w:val="000000"/>
          <w:sz w:val="28"/>
        </w:rPr>
        <w:t xml:space="preserve"> Sorbitol, sucrose-based compression sugars, starch 1500 (partially pregelatinised starch), calcium sulphate dihydrate, and erythritol and isomalt for orally disintegrating forms.</w:t>
      </w:r>
    </w:p>
    <w:p>
      <w:pPr>
        <w:spacing w:after="160"/>
        <w:jc w:val="both"/>
      </w:pPr>
      <w:r>
        <w:rPr>
          <w:rFonts w:ascii="Comic Sans MS" w:hAnsi="Comic Sans MS" w:cs="Comic Sans MS" w:eastAsia="Comic Sans MS"/>
          <w:b w:val="0"/>
          <w:i w:val="0"/>
          <w:color w:val="000000"/>
          <w:sz w:val="28"/>
        </w:rPr>
        <w:t xml:space="preserve">The essential concepts in selecting these materials are </w:t>
      </w:r>
      <w:r>
        <w:rPr>
          <w:rFonts w:ascii="Comic Sans MS" w:hAnsi="Comic Sans MS" w:cs="Comic Sans MS" w:eastAsia="Comic Sans MS"/>
          <w:b/>
          <w:i w:val="0"/>
          <w:color w:val="000000"/>
          <w:sz w:val="28"/>
        </w:rPr>
        <w:t>dilution potential</w:t>
      </w:r>
      <w:r>
        <w:rPr>
          <w:rFonts w:ascii="Comic Sans MS" w:hAnsi="Comic Sans MS" w:cs="Comic Sans MS" w:eastAsia="Comic Sans MS"/>
          <w:b w:val="0"/>
          <w:i w:val="0"/>
          <w:color w:val="000000"/>
          <w:sz w:val="28"/>
        </w:rPr>
        <w:t xml:space="preserve">, the proportion of a poorly compressible drug that the vehicle can carry while still producing an acceptable tablet; </w:t>
      </w:r>
      <w:r>
        <w:rPr>
          <w:rFonts w:ascii="Comic Sans MS" w:hAnsi="Comic Sans MS" w:cs="Comic Sans MS" w:eastAsia="Comic Sans MS"/>
          <w:b/>
          <w:i w:val="0"/>
          <w:color w:val="000000"/>
          <w:sz w:val="28"/>
        </w:rPr>
        <w:t>lubricant sensitivity</w:t>
      </w:r>
      <w:r>
        <w:rPr>
          <w:rFonts w:ascii="Comic Sans MS" w:hAnsi="Comic Sans MS" w:cs="Comic Sans MS" w:eastAsia="Comic Sans MS"/>
          <w:b w:val="0"/>
          <w:i w:val="0"/>
          <w:color w:val="000000"/>
          <w:sz w:val="28"/>
        </w:rPr>
        <w:t xml:space="preserve">, the loss of tablet strength on adding magnesium stearate, which is high for plastic materials and low for brittle ones; and </w:t>
      </w:r>
      <w:r>
        <w:rPr>
          <w:rFonts w:ascii="Comic Sans MS" w:hAnsi="Comic Sans MS" w:cs="Comic Sans MS" w:eastAsia="Comic Sans MS"/>
          <w:b/>
          <w:i w:val="0"/>
          <w:color w:val="000000"/>
          <w:sz w:val="28"/>
        </w:rPr>
        <w:t>strain-rate sensitivity</w:t>
      </w:r>
      <w:r>
        <w:rPr>
          <w:rFonts w:ascii="Comic Sans MS" w:hAnsi="Comic Sans MS" w:cs="Comic Sans MS" w:eastAsia="Comic Sans MS"/>
          <w:b w:val="0"/>
          <w:i w:val="0"/>
          <w:color w:val="000000"/>
          <w:sz w:val="28"/>
        </w:rPr>
        <w:t>, the loss of strength at high press speed.</w:t>
      </w:r>
    </w:p>
    <w:p>
      <w:pPr>
        <w:keepNext/>
        <w:spacing w:before="160" w:after="40"/>
      </w:pPr>
      <w:r>
        <w:rPr>
          <w:rFonts w:ascii="Comic Sans MS" w:hAnsi="Comic Sans MS" w:cs="Comic Sans MS" w:eastAsia="Comic Sans MS"/>
          <w:b/>
          <w:i w:val="0"/>
          <w:color w:val="000000"/>
          <w:sz w:val="28"/>
        </w:rPr>
        <w:t>5.5.6 Surfactants</w:t>
      </w:r>
    </w:p>
    <w:p>
      <w:pPr>
        <w:spacing w:after="160"/>
        <w:jc w:val="both"/>
      </w:pPr>
      <w:r>
        <w:rPr>
          <w:rFonts w:ascii="Comic Sans MS" w:hAnsi="Comic Sans MS" w:cs="Comic Sans MS" w:eastAsia="Comic Sans MS"/>
          <w:b w:val="0"/>
          <w:i w:val="0"/>
          <w:color w:val="000000"/>
          <w:sz w:val="28"/>
        </w:rPr>
        <w:t>The theory of surfactant behaviour, micelle formation and the hydrophile-lipophile balance system was given in Unit III. As excipients, surfactants serve to wet hydrophobic drug powders, to solubilise poorly soluble drugs, to emulsify, to prevent adsorption and interfacial denaturation of proteins, to stabilise nanosuspensions, to act as permeation enhancers and as inhibitors of efflux transporters, and, in the case of the self-emulsifying systems, to form the vehicle itself.</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Anionic.</w:t>
      </w:r>
      <w:r>
        <w:rPr>
          <w:rFonts w:ascii="Comic Sans MS" w:hAnsi="Comic Sans MS" w:cs="Comic Sans MS" w:eastAsia="Comic Sans MS"/>
          <w:b w:val="0"/>
          <w:i w:val="0"/>
          <w:color w:val="000000"/>
          <w:sz w:val="28"/>
        </w:rPr>
        <w:t xml:space="preserve"> Sodium lauryl sulphate, docusate sodium. Effective wetting agents but potentially irritant, and incompatible with cationic drugs.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Cationic.</w:t>
      </w:r>
      <w:r>
        <w:rPr>
          <w:rFonts w:ascii="Comic Sans MS" w:hAnsi="Comic Sans MS" w:cs="Comic Sans MS" w:eastAsia="Comic Sans MS"/>
          <w:b w:val="0"/>
          <w:i w:val="0"/>
          <w:color w:val="000000"/>
          <w:sz w:val="28"/>
        </w:rPr>
        <w:t xml:space="preserve"> Benzalkonium chloride, cetrimide, used mainly for their antimicrobial action.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Non-ionic.</w:t>
      </w:r>
      <w:r>
        <w:rPr>
          <w:rFonts w:ascii="Comic Sans MS" w:hAnsi="Comic Sans MS" w:cs="Comic Sans MS" w:eastAsia="Comic Sans MS"/>
          <w:b w:val="0"/>
          <w:i w:val="0"/>
          <w:color w:val="000000"/>
          <w:sz w:val="28"/>
        </w:rPr>
        <w:t xml:space="preserve"> The largest and most important group because of their low toxicity and their compatibility across the pH range: polysorbates 20, 60 and 80; sorbitan esters; poloxamers 188 and 407; polyoxyl castor oil derivatives such as Cremophor EL and RH40; polyoxyl stearates; </w:t>
      </w:r>
      <w:r>
        <w:rPr>
          <w:rFonts w:ascii="Comic Sans MS" w:hAnsi="Comic Sans MS" w:cs="Comic Sans MS" w:eastAsia="Comic Sans MS"/>
          <w:b/>
          <w:i w:val="0"/>
          <w:color w:val="000000"/>
          <w:sz w:val="28"/>
        </w:rPr>
        <w:t>d-alpha-tocopheryl polyethylene glycol 1000 succinate (TPGS)</w:t>
      </w:r>
      <w:r>
        <w:rPr>
          <w:rFonts w:ascii="Comic Sans MS" w:hAnsi="Comic Sans MS" w:cs="Comic Sans MS" w:eastAsia="Comic Sans MS"/>
          <w:b w:val="0"/>
          <w:i w:val="0"/>
          <w:color w:val="000000"/>
          <w:sz w:val="28"/>
        </w:rPr>
        <w:t>, notable for being both a solubiliser and an inhibitor of P-glycoprotein; sucrose esters; and alkyl glucosides.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Zwitterionic and phospholipid.</w:t>
      </w:r>
      <w:r>
        <w:rPr>
          <w:rFonts w:ascii="Comic Sans MS" w:hAnsi="Comic Sans MS" w:cs="Comic Sans MS" w:eastAsia="Comic Sans MS"/>
          <w:b w:val="0"/>
          <w:i w:val="0"/>
          <w:color w:val="000000"/>
          <w:sz w:val="28"/>
        </w:rPr>
        <w:t xml:space="preserve"> Lecithin and synthetic phospholipids, used in emulsions, liposomes and parenteral nutrition.</w:t>
      </w:r>
    </w:p>
    <w:p>
      <w:pPr>
        <w:spacing w:after="160"/>
        <w:jc w:val="both"/>
      </w:pPr>
      <w:r>
        <w:rPr>
          <w:rFonts w:ascii="Comic Sans MS" w:hAnsi="Comic Sans MS" w:cs="Comic Sans MS" w:eastAsia="Comic Sans MS"/>
          <w:b/>
          <w:i w:val="0"/>
          <w:color w:val="000000"/>
          <w:sz w:val="28"/>
        </w:rPr>
        <w:t>Cautions.</w:t>
      </w:r>
      <w:r>
        <w:rPr>
          <w:rFonts w:ascii="Comic Sans MS" w:hAnsi="Comic Sans MS" w:cs="Comic Sans MS" w:eastAsia="Comic Sans MS"/>
          <w:b w:val="0"/>
          <w:i w:val="0"/>
          <w:color w:val="000000"/>
          <w:sz w:val="28"/>
        </w:rPr>
        <w:t xml:space="preserve"> Non-ionic surfactants contain peroxide impurities that oxidise susceptible drugs and must be controlled by specification; polysorbates hydrolyse and oxidise on storage, generating fatty acids and lowering pH; Cremophor EL is associated with hypersensitivity; and surfactants above the critical micelle concentration in a dissolution medium can mask formulation differences. High concentrations may also cause gastrointestinal irritation and, in the case of anionic surfactants, haemolysis.</w:t>
      </w:r>
    </w:p>
    <w:p>
      <w:pPr>
        <w:keepNext/>
        <w:spacing w:before="160" w:after="40"/>
      </w:pPr>
      <w:r>
        <w:rPr>
          <w:rFonts w:ascii="Comic Sans MS" w:hAnsi="Comic Sans MS" w:cs="Comic Sans MS" w:eastAsia="Comic Sans MS"/>
          <w:b/>
          <w:i w:val="0"/>
          <w:color w:val="000000"/>
          <w:sz w:val="28"/>
        </w:rPr>
        <w:t>5.5.7 Thickeners and Rheology Modifiers</w:t>
      </w:r>
    </w:p>
    <w:p>
      <w:pPr>
        <w:spacing w:after="160"/>
        <w:jc w:val="both"/>
      </w:pPr>
      <w:r>
        <w:rPr>
          <w:rFonts w:ascii="Comic Sans MS" w:hAnsi="Comic Sans MS" w:cs="Comic Sans MS" w:eastAsia="Comic Sans MS"/>
          <w:b w:val="0"/>
          <w:i w:val="0"/>
          <w:color w:val="000000"/>
          <w:sz w:val="28"/>
        </w:rPr>
        <w:t xml:space="preserve">Thickeners increase viscosity in order to suspend solids, to retard creaming of emulsions, to modify release, to prolong residence at a mucosal site, and to give an acceptable feel to liquid and semi-solid preparations. Their behaviour is characterised rheologically, most usefully by whether they are </w:t>
      </w:r>
      <w:r>
        <w:rPr>
          <w:rFonts w:ascii="Comic Sans MS" w:hAnsi="Comic Sans MS" w:cs="Comic Sans MS" w:eastAsia="Comic Sans MS"/>
          <w:b/>
          <w:i w:val="0"/>
          <w:color w:val="000000"/>
          <w:sz w:val="28"/>
        </w:rPr>
        <w:t>Newtonian</w:t>
      </w:r>
      <w:r>
        <w:rPr>
          <w:rFonts w:ascii="Comic Sans MS" w:hAnsi="Comic Sans MS" w:cs="Comic Sans MS" w:eastAsia="Comic Sans MS"/>
          <w:b w:val="0"/>
          <w:i w:val="0"/>
          <w:color w:val="000000"/>
          <w:sz w:val="28"/>
        </w:rPr>
        <w:t xml:space="preserve"> or, as is desirable for suspensions, </w:t>
      </w:r>
      <w:r>
        <w:rPr>
          <w:rFonts w:ascii="Comic Sans MS" w:hAnsi="Comic Sans MS" w:cs="Comic Sans MS" w:eastAsia="Comic Sans MS"/>
          <w:b/>
          <w:i w:val="0"/>
          <w:color w:val="000000"/>
          <w:sz w:val="28"/>
        </w:rPr>
        <w:t>pseudoplastic (shear thinning)</w:t>
      </w:r>
      <w:r>
        <w:rPr>
          <w:rFonts w:ascii="Comic Sans MS" w:hAnsi="Comic Sans MS" w:cs="Comic Sans MS" w:eastAsia="Comic Sans MS"/>
          <w:b w:val="0"/>
          <w:i w:val="0"/>
          <w:color w:val="000000"/>
          <w:sz w:val="28"/>
        </w:rPr>
        <w:t xml:space="preserve"> with a degree of </w:t>
      </w:r>
      <w:r>
        <w:rPr>
          <w:rFonts w:ascii="Comic Sans MS" w:hAnsi="Comic Sans MS" w:cs="Comic Sans MS" w:eastAsia="Comic Sans MS"/>
          <w:b/>
          <w:i w:val="0"/>
          <w:color w:val="000000"/>
          <w:sz w:val="28"/>
        </w:rPr>
        <w:t>thixotropy</w:t>
      </w:r>
      <w:r>
        <w:rPr>
          <w:rFonts w:ascii="Comic Sans MS" w:hAnsi="Comic Sans MS" w:cs="Comic Sans MS" w:eastAsia="Comic Sans MS"/>
          <w:b w:val="0"/>
          <w:i w:val="0"/>
          <w:color w:val="000000"/>
          <w:sz w:val="28"/>
        </w:rPr>
        <w:t>, so that the product is structured at rest but pours and spreads readily under shear.</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Cellulose derivatives.</w:t>
      </w:r>
      <w:r>
        <w:rPr>
          <w:rFonts w:ascii="Comic Sans MS" w:hAnsi="Comic Sans MS" w:cs="Comic Sans MS" w:eastAsia="Comic Sans MS"/>
          <w:b w:val="0"/>
          <w:i w:val="0"/>
          <w:color w:val="000000"/>
          <w:sz w:val="28"/>
        </w:rPr>
        <w:t xml:space="preserve"> Sodium carboxymethylcellulose, methylcellulose, hydroxyethyl cellulose, hydroxypropyl cellulose and hypromellose, available in a wide range of viscosity grades; the last is also the workhorse polymer of hydrophilic matrix sustained-release tablets.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Carbomers.</w:t>
      </w:r>
      <w:r>
        <w:rPr>
          <w:rFonts w:ascii="Comic Sans MS" w:hAnsi="Comic Sans MS" w:cs="Comic Sans MS" w:eastAsia="Comic Sans MS"/>
          <w:b w:val="0"/>
          <w:i w:val="0"/>
          <w:color w:val="000000"/>
          <w:sz w:val="28"/>
        </w:rPr>
        <w:t xml:space="preserve"> Cross-linked polyacrylic acids that require neutralisation to develop their very high viscosity and pronounced yield value, used in gels, ophthalmic vehicles and bioadhesive systems; they are sensitive to electrolytes and to pH extremes.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Natural gums and polysaccharides.</w:t>
      </w:r>
      <w:r>
        <w:rPr>
          <w:rFonts w:ascii="Comic Sans MS" w:hAnsi="Comic Sans MS" w:cs="Comic Sans MS" w:eastAsia="Comic Sans MS"/>
          <w:b w:val="0"/>
          <w:i w:val="0"/>
          <w:color w:val="000000"/>
          <w:sz w:val="28"/>
        </w:rPr>
        <w:t xml:space="preserve"> Acacia, tragacanth, alginates, guar gum, karaya, pectin and starch. Cheap and well tolerated, but of variable quality, subject to microbial contamination and requiring preservation.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Microbial polysaccharides.</w:t>
      </w:r>
      <w:r>
        <w:rPr>
          <w:rFonts w:ascii="Comic Sans MS" w:hAnsi="Comic Sans MS" w:cs="Comic Sans MS" w:eastAsia="Comic Sans MS"/>
          <w:b w:val="0"/>
          <w:i w:val="0"/>
          <w:color w:val="000000"/>
          <w:sz w:val="28"/>
        </w:rPr>
        <w:t xml:space="preserve"> Xanthan gum, which is strongly pseudoplastic, remarkably tolerant of pH, temperature and electrolytes, and synergistic with locust bean gum; gellan gum, which forms in situ gels on contact with cations and is used in ophthalmic and oral liquid products.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Clays and inorganic thickeners.</w:t>
      </w:r>
      <w:r>
        <w:rPr>
          <w:rFonts w:ascii="Comic Sans MS" w:hAnsi="Comic Sans MS" w:cs="Comic Sans MS" w:eastAsia="Comic Sans MS"/>
          <w:b w:val="0"/>
          <w:i w:val="0"/>
          <w:color w:val="000000"/>
          <w:sz w:val="28"/>
        </w:rPr>
        <w:t xml:space="preserve"> Bentonite, magnesium aluminium silicate (Veegum) and colloidal silicon dioxide, which give thixotropic structure; they are incompatible with some cationic drugs and their charge makes them sensitive to electrolytes.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Semi-synthetic and synthetic polymers.</w:t>
      </w:r>
      <w:r>
        <w:rPr>
          <w:rFonts w:ascii="Comic Sans MS" w:hAnsi="Comic Sans MS" w:cs="Comic Sans MS" w:eastAsia="Comic Sans MS"/>
          <w:b w:val="0"/>
          <w:i w:val="0"/>
          <w:color w:val="000000"/>
          <w:sz w:val="28"/>
        </w:rPr>
        <w:t xml:space="preserve"> Poloxamers, which form thermoreversible gels used in in situ gelling systems, polyvinyl alcohol and polyethylene oxide.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Waxes, fatty alcohols and hydrogenated oils,</w:t>
      </w:r>
      <w:r>
        <w:rPr>
          <w:rFonts w:ascii="Comic Sans MS" w:hAnsi="Comic Sans MS" w:cs="Comic Sans MS" w:eastAsia="Comic Sans MS"/>
          <w:b w:val="0"/>
          <w:i w:val="0"/>
          <w:color w:val="000000"/>
          <w:sz w:val="28"/>
        </w:rPr>
        <w:t xml:space="preserve"> used to structure ointments, creams and lipophilic matrices.</w:t>
      </w:r>
    </w:p>
    <w:p>
      <w:pPr>
        <w:keepNext/>
        <w:spacing w:before="160" w:after="40"/>
      </w:pPr>
      <w:r>
        <w:rPr>
          <w:rFonts w:ascii="Comic Sans MS" w:hAnsi="Comic Sans MS" w:cs="Comic Sans MS" w:eastAsia="Comic Sans MS"/>
          <w:b/>
          <w:i w:val="0"/>
          <w:color w:val="000000"/>
          <w:sz w:val="28"/>
        </w:rPr>
        <w:t>5.6 Co-Processed Excipients</w:t>
      </w:r>
    </w:p>
    <w:p>
      <w:pPr>
        <w:keepNext/>
        <w:spacing w:before="160" w:after="40"/>
      </w:pPr>
      <w:r>
        <w:rPr>
          <w:rFonts w:ascii="Comic Sans MS" w:hAnsi="Comic Sans MS" w:cs="Comic Sans MS" w:eastAsia="Comic Sans MS"/>
          <w:b/>
          <w:i w:val="0"/>
          <w:color w:val="000000"/>
          <w:sz w:val="28"/>
        </w:rPr>
        <w:t>5.6.1 Definition and Rationale</w:t>
      </w:r>
    </w:p>
    <w:p>
      <w:pPr>
        <w:spacing w:after="160"/>
        <w:jc w:val="both"/>
      </w:pPr>
      <w:r>
        <w:rPr>
          <w:rFonts w:ascii="Comic Sans MS" w:hAnsi="Comic Sans MS" w:cs="Comic Sans MS" w:eastAsia="Comic Sans MS"/>
          <w:b w:val="0"/>
          <w:i w:val="0"/>
          <w:color w:val="000000"/>
          <w:sz w:val="28"/>
        </w:rPr>
        <w:t xml:space="preserve">A </w:t>
      </w:r>
      <w:r>
        <w:rPr>
          <w:rFonts w:ascii="Comic Sans MS" w:hAnsi="Comic Sans MS" w:cs="Comic Sans MS" w:eastAsia="Comic Sans MS"/>
          <w:b/>
          <w:i w:val="0"/>
          <w:color w:val="000000"/>
          <w:sz w:val="28"/>
        </w:rPr>
        <w:t>co-processed excipient</w:t>
      </w:r>
      <w:r>
        <w:rPr>
          <w:rFonts w:ascii="Comic Sans MS" w:hAnsi="Comic Sans MS" w:cs="Comic Sans MS" w:eastAsia="Comic Sans MS"/>
          <w:b w:val="0"/>
          <w:i w:val="0"/>
          <w:color w:val="000000"/>
          <w:sz w:val="28"/>
        </w:rPr>
        <w:t xml:space="preserve"> is a combination of two or more established excipients, combined at the subparticle level by a physical process such as spray drying, co-crystallisation, granulation, melt extrusion or co-milling, so as to produce a single material with improved functionality, without any chemical change to the individual components.</w:t>
      </w:r>
    </w:p>
    <w:p>
      <w:pPr>
        <w:spacing w:after="160"/>
        <w:jc w:val="both"/>
      </w:pPr>
      <w:r>
        <w:rPr>
          <w:rFonts w:ascii="Comic Sans MS" w:hAnsi="Comic Sans MS" w:cs="Comic Sans MS" w:eastAsia="Comic Sans MS"/>
          <w:b w:val="0"/>
          <w:i w:val="0"/>
          <w:color w:val="000000"/>
          <w:sz w:val="28"/>
        </w:rPr>
        <w:t>The rationale is that a single excipient rarely possesses all the required properties, and that a simple physical blend of two excipients does not give the benefit of both, because the properties of a blend are largely dictated by the poorer component and because blends segregate. Co-processing places the components in intimate contact so that the deficiencies of one are masked by the strengths of the other, typically producing a material with better flow, better compactibility, lower lubricant sensitivity and reduced batch-to-batch variability. Because no new chemical entity is created and the components are individually well established, the regulatory burden is far lower than for a genuinely novel excipient, which is why co-processing has been the main route of excipient innovation for the past three decades.</w:t>
      </w:r>
    </w:p>
    <w:p>
      <w:pPr>
        <w:keepNext/>
        <w:spacing w:before="160" w:after="40"/>
      </w:pPr>
      <w:r>
        <w:rPr>
          <w:rFonts w:ascii="Comic Sans MS" w:hAnsi="Comic Sans MS" w:cs="Comic Sans MS" w:eastAsia="Comic Sans MS"/>
          <w:b/>
          <w:i w:val="0"/>
          <w:color w:val="000000"/>
          <w:sz w:val="28"/>
        </w:rPr>
        <w:t>5.6.2 Advantages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Improved flow and compactibility, and therefore suitability for high-speed direct compression.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Higher dilution potential, allowing a greater proportion of poorly compressible drug.</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Reduced lubricant sensitivity and reduced strain-rate sensitivity.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Fewer excipients and fewer processing steps, hence a simpler and more robust process, shorter manufacturing time and lower cost.</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Improved and more uniform particle size distribution, better content uniformity and less segregation.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Ability to combine functions, for example filler plus binder plus disintegrant, in a single material.</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Masking of undesirable properties of an individual component, for example the hygroscopicity of one component being reduced by another.</w:t>
      </w:r>
    </w:p>
    <w:p>
      <w:pPr>
        <w:keepNext/>
        <w:spacing w:before="160" w:after="40"/>
      </w:pPr>
      <w:r>
        <w:rPr>
          <w:rFonts w:ascii="Comic Sans MS" w:hAnsi="Comic Sans MS" w:cs="Comic Sans MS" w:eastAsia="Comic Sans MS"/>
          <w:b/>
          <w:i w:val="0"/>
          <w:color w:val="000000"/>
          <w:sz w:val="28"/>
        </w:rPr>
        <w:t>5.6.3 Limitations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The ratio of the components is fixed by the manufacturer and cannot be varied by the formulator, which removes flexibility.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Few co-processed excipients have their own pharmacopoeial monograph, so they must be qualified against the monographs of the individual components together with the supplier's specification, and full characterisation data must be supplied in the dossier.</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They are proprietary, often single-source, and more expensive than the individual components, raising concerns about security of supply.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The performance depends critically on the manufacturing process, so batch-to-batch and supplier-to-supplier equivalence cannot be assumed, and a change of source requires revalidation.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val="0"/>
          <w:i w:val="0"/>
          <w:color w:val="000000"/>
          <w:sz w:val="28"/>
        </w:rPr>
        <w:t>Thermal and mechanical history may leave amorphous content or a particular solid form that changes on storage.</w:t>
      </w:r>
    </w:p>
    <w:p>
      <w:pPr>
        <w:keepNext/>
        <w:spacing w:before="160" w:after="40"/>
      </w:pPr>
      <w:r>
        <w:rPr>
          <w:rFonts w:ascii="Comic Sans MS" w:hAnsi="Comic Sans MS" w:cs="Comic Sans MS" w:eastAsia="Comic Sans MS"/>
          <w:b/>
          <w:i w:val="0"/>
          <w:color w:val="000000"/>
          <w:sz w:val="28"/>
        </w:rPr>
        <w:t>5.6.4 Important Examples</w:t>
      </w:r>
    </w:p>
    <w:tbl>
      <w:tblPr>
        <w:tblStyle w:val="TableGrid"/>
        <w:tblW w:type="auto" w:w="0"/>
        <w:jc w:val="center"/>
        <w:tblLook w:firstColumn="1" w:firstRow="1" w:lastColumn="0" w:lastRow="0" w:noHBand="0" w:noVBand="1" w:val="04A0"/>
      </w:tblPr>
      <w:tblGrid>
        <w:gridCol w:w="3120"/>
        <w:gridCol w:w="3120"/>
        <w:gridCol w:w="3120"/>
      </w:tblGrid>
      <w:tr>
        <w:tc>
          <w:tcPr>
            <w:tcW w:type="dxa" w:w="2736"/>
          </w:tcPr>
          <w:p>
            <w:pPr>
              <w:spacing w:after="20" w:before="20" w:line="300" w:lineRule="exact"/>
            </w:pPr>
            <w:r/>
            <w:r>
              <w:rPr>
                <w:rFonts w:ascii="Comic Sans MS" w:hAnsi="Comic Sans MS" w:cs="Comic Sans MS" w:eastAsia="Comic Sans MS"/>
                <w:b/>
                <w:i w:val="0"/>
                <w:color w:val="000000"/>
                <w:sz w:val="22"/>
              </w:rPr>
              <w:t>Trade name</w:t>
            </w:r>
          </w:p>
        </w:tc>
        <w:tc>
          <w:tcPr>
            <w:tcW w:type="dxa" w:w="3456"/>
          </w:tcPr>
          <w:p>
            <w:pPr>
              <w:spacing w:after="20" w:before="20" w:line="300" w:lineRule="exact"/>
            </w:pPr>
            <w:r/>
            <w:r>
              <w:rPr>
                <w:rFonts w:ascii="Comic Sans MS" w:hAnsi="Comic Sans MS" w:cs="Comic Sans MS" w:eastAsia="Comic Sans MS"/>
                <w:b/>
                <w:i w:val="0"/>
                <w:color w:val="000000"/>
                <w:sz w:val="22"/>
              </w:rPr>
              <w:t>Composition</w:t>
            </w:r>
          </w:p>
        </w:tc>
        <w:tc>
          <w:tcPr>
            <w:tcW w:type="dxa" w:w="3168"/>
          </w:tcPr>
          <w:p>
            <w:pPr>
              <w:spacing w:after="20" w:before="20" w:line="300" w:lineRule="exact"/>
            </w:pPr>
            <w:r/>
            <w:r>
              <w:rPr>
                <w:rFonts w:ascii="Comic Sans MS" w:hAnsi="Comic Sans MS" w:cs="Comic Sans MS" w:eastAsia="Comic Sans MS"/>
                <w:b/>
                <w:i w:val="0"/>
                <w:color w:val="000000"/>
                <w:sz w:val="22"/>
              </w:rPr>
              <w:t>Principal benefit</w:t>
            </w:r>
          </w:p>
        </w:tc>
      </w:tr>
      <w:tr>
        <w:tc>
          <w:tcPr>
            <w:tcW w:type="dxa" w:w="2736"/>
          </w:tcPr>
          <w:p>
            <w:pPr>
              <w:spacing w:after="20" w:before="20" w:line="300" w:lineRule="exact"/>
            </w:pPr>
            <w:r/>
            <w:r>
              <w:rPr>
                <w:rFonts w:ascii="Comic Sans MS" w:hAnsi="Comic Sans MS" w:cs="Comic Sans MS" w:eastAsia="Comic Sans MS"/>
                <w:b w:val="0"/>
                <w:i w:val="0"/>
                <w:color w:val="000000"/>
                <w:sz w:val="22"/>
              </w:rPr>
              <w:t>Cellactose</w:t>
            </w:r>
          </w:p>
        </w:tc>
        <w:tc>
          <w:tcPr>
            <w:tcW w:type="dxa" w:w="3456"/>
          </w:tcPr>
          <w:p>
            <w:pPr>
              <w:spacing w:after="20" w:before="20" w:line="300" w:lineRule="exact"/>
            </w:pPr>
            <w:r/>
            <w:r>
              <w:rPr>
                <w:rFonts w:ascii="Comic Sans MS" w:hAnsi="Comic Sans MS" w:cs="Comic Sans MS" w:eastAsia="Comic Sans MS"/>
                <w:b w:val="0"/>
                <w:i w:val="0"/>
                <w:color w:val="000000"/>
                <w:sz w:val="22"/>
              </w:rPr>
              <w:t>Cellulose powder with lactose</w:t>
            </w:r>
          </w:p>
        </w:tc>
        <w:tc>
          <w:tcPr>
            <w:tcW w:type="dxa" w:w="3168"/>
          </w:tcPr>
          <w:p>
            <w:pPr>
              <w:spacing w:after="20" w:before="20" w:line="300" w:lineRule="exact"/>
            </w:pPr>
            <w:r/>
            <w:r>
              <w:rPr>
                <w:rFonts w:ascii="Comic Sans MS" w:hAnsi="Comic Sans MS" w:cs="Comic Sans MS" w:eastAsia="Comic Sans MS"/>
                <w:b w:val="0"/>
                <w:i w:val="0"/>
                <w:color w:val="000000"/>
                <w:sz w:val="22"/>
              </w:rPr>
              <w:t>Direct compression filler-binder with high dilution potential</w:t>
            </w:r>
          </w:p>
        </w:tc>
      </w:tr>
      <w:tr>
        <w:tc>
          <w:tcPr>
            <w:tcW w:type="dxa" w:w="2736"/>
          </w:tcPr>
          <w:p>
            <w:pPr>
              <w:spacing w:after="20" w:before="20" w:line="300" w:lineRule="exact"/>
            </w:pPr>
            <w:r/>
            <w:r>
              <w:rPr>
                <w:rFonts w:ascii="Comic Sans MS" w:hAnsi="Comic Sans MS" w:cs="Comic Sans MS" w:eastAsia="Comic Sans MS"/>
                <w:b w:val="0"/>
                <w:i w:val="0"/>
                <w:color w:val="000000"/>
                <w:sz w:val="22"/>
              </w:rPr>
              <w:t>MicroceLac</w:t>
            </w:r>
          </w:p>
        </w:tc>
        <w:tc>
          <w:tcPr>
            <w:tcW w:type="dxa" w:w="3456"/>
          </w:tcPr>
          <w:p>
            <w:pPr>
              <w:spacing w:after="20" w:before="20" w:line="300" w:lineRule="exact"/>
            </w:pPr>
            <w:r/>
            <w:r>
              <w:rPr>
                <w:rFonts w:ascii="Comic Sans MS" w:hAnsi="Comic Sans MS" w:cs="Comic Sans MS" w:eastAsia="Comic Sans MS"/>
                <w:b w:val="0"/>
                <w:i w:val="0"/>
                <w:color w:val="000000"/>
                <w:sz w:val="22"/>
              </w:rPr>
              <w:t>Microcrystalline cellulose with lactose monohydrate</w:t>
            </w:r>
          </w:p>
        </w:tc>
        <w:tc>
          <w:tcPr>
            <w:tcW w:type="dxa" w:w="3168"/>
          </w:tcPr>
          <w:p>
            <w:pPr>
              <w:spacing w:after="20" w:before="20" w:line="300" w:lineRule="exact"/>
            </w:pPr>
            <w:r/>
            <w:r>
              <w:rPr>
                <w:rFonts w:ascii="Comic Sans MS" w:hAnsi="Comic Sans MS" w:cs="Comic Sans MS" w:eastAsia="Comic Sans MS"/>
                <w:b w:val="0"/>
                <w:i w:val="0"/>
                <w:color w:val="000000"/>
                <w:sz w:val="22"/>
              </w:rPr>
              <w:t>Excellent flow with good compactibility</w:t>
            </w:r>
          </w:p>
        </w:tc>
      </w:tr>
      <w:tr>
        <w:tc>
          <w:tcPr>
            <w:tcW w:type="dxa" w:w="2736"/>
          </w:tcPr>
          <w:p>
            <w:pPr>
              <w:spacing w:after="20" w:before="20" w:line="300" w:lineRule="exact"/>
            </w:pPr>
            <w:r/>
            <w:r>
              <w:rPr>
                <w:rFonts w:ascii="Comic Sans MS" w:hAnsi="Comic Sans MS" w:cs="Comic Sans MS" w:eastAsia="Comic Sans MS"/>
                <w:b w:val="0"/>
                <w:i w:val="0"/>
                <w:color w:val="000000"/>
                <w:sz w:val="22"/>
              </w:rPr>
              <w:t>Prosolv SMCC</w:t>
            </w:r>
          </w:p>
        </w:tc>
        <w:tc>
          <w:tcPr>
            <w:tcW w:type="dxa" w:w="3456"/>
          </w:tcPr>
          <w:p>
            <w:pPr>
              <w:spacing w:after="20" w:before="20" w:line="300" w:lineRule="exact"/>
            </w:pPr>
            <w:r/>
            <w:r>
              <w:rPr>
                <w:rFonts w:ascii="Comic Sans MS" w:hAnsi="Comic Sans MS" w:cs="Comic Sans MS" w:eastAsia="Comic Sans MS"/>
                <w:b w:val="0"/>
                <w:i w:val="0"/>
                <w:color w:val="000000"/>
                <w:sz w:val="22"/>
              </w:rPr>
              <w:t>Silicified microcrystalline cellulose</w:t>
            </w:r>
          </w:p>
        </w:tc>
        <w:tc>
          <w:tcPr>
            <w:tcW w:type="dxa" w:w="3168"/>
          </w:tcPr>
          <w:p>
            <w:pPr>
              <w:spacing w:after="20" w:before="20" w:line="300" w:lineRule="exact"/>
            </w:pPr>
            <w:r/>
            <w:r>
              <w:rPr>
                <w:rFonts w:ascii="Comic Sans MS" w:hAnsi="Comic Sans MS" w:cs="Comic Sans MS" w:eastAsia="Comic Sans MS"/>
                <w:b w:val="0"/>
                <w:i w:val="0"/>
                <w:color w:val="000000"/>
                <w:sz w:val="22"/>
              </w:rPr>
              <w:t>Improved flow and compaction, lower lubricant sensitivity</w:t>
            </w:r>
          </w:p>
        </w:tc>
      </w:tr>
      <w:tr>
        <w:tc>
          <w:tcPr>
            <w:tcW w:type="dxa" w:w="2736"/>
          </w:tcPr>
          <w:p>
            <w:pPr>
              <w:spacing w:after="20" w:before="20" w:line="300" w:lineRule="exact"/>
            </w:pPr>
            <w:r/>
            <w:r>
              <w:rPr>
                <w:rFonts w:ascii="Comic Sans MS" w:hAnsi="Comic Sans MS" w:cs="Comic Sans MS" w:eastAsia="Comic Sans MS"/>
                <w:b w:val="0"/>
                <w:i w:val="0"/>
                <w:color w:val="000000"/>
                <w:sz w:val="22"/>
              </w:rPr>
              <w:t>Ludipress</w:t>
            </w:r>
          </w:p>
        </w:tc>
        <w:tc>
          <w:tcPr>
            <w:tcW w:type="dxa" w:w="3456"/>
          </w:tcPr>
          <w:p>
            <w:pPr>
              <w:spacing w:after="20" w:before="20" w:line="300" w:lineRule="exact"/>
            </w:pPr>
            <w:r/>
            <w:r>
              <w:rPr>
                <w:rFonts w:ascii="Comic Sans MS" w:hAnsi="Comic Sans MS" w:cs="Comic Sans MS" w:eastAsia="Comic Sans MS"/>
                <w:b w:val="0"/>
                <w:i w:val="0"/>
                <w:color w:val="000000"/>
                <w:sz w:val="22"/>
              </w:rPr>
              <w:t>Lactose with povidone and crospovidone</w:t>
            </w:r>
          </w:p>
        </w:tc>
        <w:tc>
          <w:tcPr>
            <w:tcW w:type="dxa" w:w="3168"/>
          </w:tcPr>
          <w:p>
            <w:pPr>
              <w:spacing w:after="20" w:before="20" w:line="300" w:lineRule="exact"/>
            </w:pPr>
            <w:r/>
            <w:r>
              <w:rPr>
                <w:rFonts w:ascii="Comic Sans MS" w:hAnsi="Comic Sans MS" w:cs="Comic Sans MS" w:eastAsia="Comic Sans MS"/>
                <w:b w:val="0"/>
                <w:i w:val="0"/>
                <w:color w:val="000000"/>
                <w:sz w:val="22"/>
              </w:rPr>
              <w:t>Filler, binder and disintegrant in one material</w:t>
            </w:r>
          </w:p>
        </w:tc>
      </w:tr>
      <w:tr>
        <w:tc>
          <w:tcPr>
            <w:tcW w:type="dxa" w:w="2736"/>
          </w:tcPr>
          <w:p>
            <w:pPr>
              <w:spacing w:after="20" w:before="20" w:line="300" w:lineRule="exact"/>
            </w:pPr>
            <w:r/>
            <w:r>
              <w:rPr>
                <w:rFonts w:ascii="Comic Sans MS" w:hAnsi="Comic Sans MS" w:cs="Comic Sans MS" w:eastAsia="Comic Sans MS"/>
                <w:b w:val="0"/>
                <w:i w:val="0"/>
                <w:color w:val="000000"/>
                <w:sz w:val="22"/>
              </w:rPr>
              <w:t>Avicel CE-15</w:t>
            </w:r>
          </w:p>
        </w:tc>
        <w:tc>
          <w:tcPr>
            <w:tcW w:type="dxa" w:w="3456"/>
          </w:tcPr>
          <w:p>
            <w:pPr>
              <w:spacing w:after="20" w:before="20" w:line="300" w:lineRule="exact"/>
            </w:pPr>
            <w:r/>
            <w:r>
              <w:rPr>
                <w:rFonts w:ascii="Comic Sans MS" w:hAnsi="Comic Sans MS" w:cs="Comic Sans MS" w:eastAsia="Comic Sans MS"/>
                <w:b w:val="0"/>
                <w:i w:val="0"/>
                <w:color w:val="000000"/>
                <w:sz w:val="22"/>
              </w:rPr>
              <w:t>Microcrystalline cellulose with guar gum</w:t>
            </w:r>
          </w:p>
        </w:tc>
        <w:tc>
          <w:tcPr>
            <w:tcW w:type="dxa" w:w="3168"/>
          </w:tcPr>
          <w:p>
            <w:pPr>
              <w:spacing w:after="20" w:before="20" w:line="300" w:lineRule="exact"/>
            </w:pPr>
            <w:r/>
            <w:r>
              <w:rPr>
                <w:rFonts w:ascii="Comic Sans MS" w:hAnsi="Comic Sans MS" w:cs="Comic Sans MS" w:eastAsia="Comic Sans MS"/>
                <w:b w:val="0"/>
                <w:i w:val="0"/>
                <w:color w:val="000000"/>
                <w:sz w:val="22"/>
              </w:rPr>
              <w:t>Chewable tablets with reduced grittiness</w:t>
            </w:r>
          </w:p>
        </w:tc>
      </w:tr>
      <w:tr>
        <w:tc>
          <w:tcPr>
            <w:tcW w:type="dxa" w:w="2736"/>
          </w:tcPr>
          <w:p>
            <w:pPr>
              <w:spacing w:after="20" w:before="20" w:line="300" w:lineRule="exact"/>
            </w:pPr>
            <w:r/>
            <w:r>
              <w:rPr>
                <w:rFonts w:ascii="Comic Sans MS" w:hAnsi="Comic Sans MS" w:cs="Comic Sans MS" w:eastAsia="Comic Sans MS"/>
                <w:b w:val="0"/>
                <w:i w:val="0"/>
                <w:color w:val="000000"/>
                <w:sz w:val="22"/>
              </w:rPr>
              <w:t>StarLac</w:t>
            </w:r>
          </w:p>
        </w:tc>
        <w:tc>
          <w:tcPr>
            <w:tcW w:type="dxa" w:w="3456"/>
          </w:tcPr>
          <w:p>
            <w:pPr>
              <w:spacing w:after="20" w:before="20" w:line="300" w:lineRule="exact"/>
            </w:pPr>
            <w:r/>
            <w:r>
              <w:rPr>
                <w:rFonts w:ascii="Comic Sans MS" w:hAnsi="Comic Sans MS" w:cs="Comic Sans MS" w:eastAsia="Comic Sans MS"/>
                <w:b w:val="0"/>
                <w:i w:val="0"/>
                <w:color w:val="000000"/>
                <w:sz w:val="22"/>
              </w:rPr>
              <w:t>Lactose monohydrate with maize starch</w:t>
            </w:r>
          </w:p>
        </w:tc>
        <w:tc>
          <w:tcPr>
            <w:tcW w:type="dxa" w:w="3168"/>
          </w:tcPr>
          <w:p>
            <w:pPr>
              <w:spacing w:after="20" w:before="20" w:line="300" w:lineRule="exact"/>
            </w:pPr>
            <w:r/>
            <w:r>
              <w:rPr>
                <w:rFonts w:ascii="Comic Sans MS" w:hAnsi="Comic Sans MS" w:cs="Comic Sans MS" w:eastAsia="Comic Sans MS"/>
                <w:b w:val="0"/>
                <w:i w:val="0"/>
                <w:color w:val="000000"/>
                <w:sz w:val="22"/>
              </w:rPr>
              <w:t>Good flow with inherent disintegration</w:t>
            </w:r>
          </w:p>
        </w:tc>
      </w:tr>
      <w:tr>
        <w:tc>
          <w:tcPr>
            <w:tcW w:type="dxa" w:w="2736"/>
          </w:tcPr>
          <w:p>
            <w:pPr>
              <w:spacing w:after="20" w:before="20" w:line="300" w:lineRule="exact"/>
            </w:pPr>
            <w:r/>
            <w:r>
              <w:rPr>
                <w:rFonts w:ascii="Comic Sans MS" w:hAnsi="Comic Sans MS" w:cs="Comic Sans MS" w:eastAsia="Comic Sans MS"/>
                <w:b w:val="0"/>
                <w:i w:val="0"/>
                <w:color w:val="000000"/>
                <w:sz w:val="22"/>
              </w:rPr>
              <w:t>Pharmatose DCL 40</w:t>
            </w:r>
          </w:p>
        </w:tc>
        <w:tc>
          <w:tcPr>
            <w:tcW w:type="dxa" w:w="3456"/>
          </w:tcPr>
          <w:p>
            <w:pPr>
              <w:spacing w:after="20" w:before="20" w:line="300" w:lineRule="exact"/>
            </w:pPr>
            <w:r/>
            <w:r>
              <w:rPr>
                <w:rFonts w:ascii="Comic Sans MS" w:hAnsi="Comic Sans MS" w:cs="Comic Sans MS" w:eastAsia="Comic Sans MS"/>
                <w:b w:val="0"/>
                <w:i w:val="0"/>
                <w:color w:val="000000"/>
                <w:sz w:val="22"/>
              </w:rPr>
              <w:t>Lactose with lactitol</w:t>
            </w:r>
          </w:p>
        </w:tc>
        <w:tc>
          <w:tcPr>
            <w:tcW w:type="dxa" w:w="3168"/>
          </w:tcPr>
          <w:p>
            <w:pPr>
              <w:spacing w:after="20" w:before="20" w:line="300" w:lineRule="exact"/>
            </w:pPr>
            <w:r/>
            <w:r>
              <w:rPr>
                <w:rFonts w:ascii="Comic Sans MS" w:hAnsi="Comic Sans MS" w:cs="Comic Sans MS" w:eastAsia="Comic Sans MS"/>
                <w:b w:val="0"/>
                <w:i w:val="0"/>
                <w:color w:val="000000"/>
                <w:sz w:val="22"/>
              </w:rPr>
              <w:t>Direct compression, improved compaction</w:t>
            </w:r>
          </w:p>
        </w:tc>
      </w:tr>
      <w:tr>
        <w:tc>
          <w:tcPr>
            <w:tcW w:type="dxa" w:w="2736"/>
          </w:tcPr>
          <w:p>
            <w:pPr>
              <w:spacing w:after="20" w:before="20" w:line="300" w:lineRule="exact"/>
            </w:pPr>
            <w:r/>
            <w:r>
              <w:rPr>
                <w:rFonts w:ascii="Comic Sans MS" w:hAnsi="Comic Sans MS" w:cs="Comic Sans MS" w:eastAsia="Comic Sans MS"/>
                <w:b w:val="0"/>
                <w:i w:val="0"/>
                <w:color w:val="000000"/>
                <w:sz w:val="22"/>
              </w:rPr>
              <w:t>Advantose</w:t>
            </w:r>
          </w:p>
        </w:tc>
        <w:tc>
          <w:tcPr>
            <w:tcW w:type="dxa" w:w="3456"/>
          </w:tcPr>
          <w:p>
            <w:pPr>
              <w:spacing w:after="20" w:before="20" w:line="300" w:lineRule="exact"/>
            </w:pPr>
            <w:r/>
            <w:r>
              <w:rPr>
                <w:rFonts w:ascii="Comic Sans MS" w:hAnsi="Comic Sans MS" w:cs="Comic Sans MS" w:eastAsia="Comic Sans MS"/>
                <w:b w:val="0"/>
                <w:i w:val="0"/>
                <w:color w:val="000000"/>
                <w:sz w:val="22"/>
              </w:rPr>
              <w:t>Maltose based</w:t>
            </w:r>
          </w:p>
        </w:tc>
        <w:tc>
          <w:tcPr>
            <w:tcW w:type="dxa" w:w="3168"/>
          </w:tcPr>
          <w:p>
            <w:pPr>
              <w:spacing w:after="20" w:before="20" w:line="300" w:lineRule="exact"/>
            </w:pPr>
            <w:r/>
            <w:r>
              <w:rPr>
                <w:rFonts w:ascii="Comic Sans MS" w:hAnsi="Comic Sans MS" w:cs="Comic Sans MS" w:eastAsia="Comic Sans MS"/>
                <w:b w:val="0"/>
                <w:i w:val="0"/>
                <w:color w:val="000000"/>
                <w:sz w:val="22"/>
              </w:rPr>
              <w:t>Chewable and orally disintegrating tablets</w:t>
            </w:r>
          </w:p>
        </w:tc>
      </w:tr>
      <w:tr>
        <w:tc>
          <w:tcPr>
            <w:tcW w:type="dxa" w:w="2736"/>
          </w:tcPr>
          <w:p>
            <w:pPr>
              <w:spacing w:after="20" w:before="20" w:line="300" w:lineRule="exact"/>
            </w:pPr>
            <w:r/>
            <w:r>
              <w:rPr>
                <w:rFonts w:ascii="Comic Sans MS" w:hAnsi="Comic Sans MS" w:cs="Comic Sans MS" w:eastAsia="Comic Sans MS"/>
                <w:b w:val="0"/>
                <w:i w:val="0"/>
                <w:color w:val="000000"/>
                <w:sz w:val="22"/>
              </w:rPr>
              <w:t>F-Melt and Pharmaburst</w:t>
            </w:r>
          </w:p>
        </w:tc>
        <w:tc>
          <w:tcPr>
            <w:tcW w:type="dxa" w:w="3456"/>
          </w:tcPr>
          <w:p>
            <w:pPr>
              <w:spacing w:after="20" w:before="20" w:line="300" w:lineRule="exact"/>
            </w:pPr>
            <w:r/>
            <w:r>
              <w:rPr>
                <w:rFonts w:ascii="Comic Sans MS" w:hAnsi="Comic Sans MS" w:cs="Comic Sans MS" w:eastAsia="Comic Sans MS"/>
                <w:b w:val="0"/>
                <w:i w:val="0"/>
                <w:color w:val="000000"/>
                <w:sz w:val="22"/>
              </w:rPr>
              <w:t>Sugar alcohol with disintegrant and inorganic excipient</w:t>
            </w:r>
          </w:p>
        </w:tc>
        <w:tc>
          <w:tcPr>
            <w:tcW w:type="dxa" w:w="3168"/>
          </w:tcPr>
          <w:p>
            <w:pPr>
              <w:spacing w:after="20" w:before="20" w:line="300" w:lineRule="exact"/>
            </w:pPr>
            <w:r/>
            <w:r>
              <w:rPr>
                <w:rFonts w:ascii="Comic Sans MS" w:hAnsi="Comic Sans MS" w:cs="Comic Sans MS" w:eastAsia="Comic Sans MS"/>
                <w:b w:val="0"/>
                <w:i w:val="0"/>
                <w:color w:val="000000"/>
                <w:sz w:val="22"/>
              </w:rPr>
              <w:t>Orally disintegrating tablets</w:t>
            </w:r>
          </w:p>
        </w:tc>
      </w:tr>
      <w:tr>
        <w:tc>
          <w:tcPr>
            <w:tcW w:type="dxa" w:w="2736"/>
          </w:tcPr>
          <w:p>
            <w:pPr>
              <w:spacing w:after="20" w:before="20" w:line="300" w:lineRule="exact"/>
            </w:pPr>
            <w:r/>
            <w:r>
              <w:rPr>
                <w:rFonts w:ascii="Comic Sans MS" w:hAnsi="Comic Sans MS" w:cs="Comic Sans MS" w:eastAsia="Comic Sans MS"/>
                <w:b w:val="0"/>
                <w:i w:val="0"/>
                <w:color w:val="000000"/>
                <w:sz w:val="22"/>
              </w:rPr>
              <w:t>Compressol</w:t>
            </w:r>
          </w:p>
        </w:tc>
        <w:tc>
          <w:tcPr>
            <w:tcW w:type="dxa" w:w="3456"/>
          </w:tcPr>
          <w:p>
            <w:pPr>
              <w:spacing w:after="20" w:before="20" w:line="300" w:lineRule="exact"/>
            </w:pPr>
            <w:r/>
            <w:r>
              <w:rPr>
                <w:rFonts w:ascii="Comic Sans MS" w:hAnsi="Comic Sans MS" w:cs="Comic Sans MS" w:eastAsia="Comic Sans MS"/>
                <w:b w:val="0"/>
                <w:i w:val="0"/>
                <w:color w:val="000000"/>
                <w:sz w:val="22"/>
              </w:rPr>
              <w:t>Sorbitol with mannitol</w:t>
            </w:r>
          </w:p>
        </w:tc>
        <w:tc>
          <w:tcPr>
            <w:tcW w:type="dxa" w:w="3168"/>
          </w:tcPr>
          <w:p>
            <w:pPr>
              <w:spacing w:after="20" w:before="20" w:line="300" w:lineRule="exact"/>
            </w:pPr>
            <w:r/>
            <w:r>
              <w:rPr>
                <w:rFonts w:ascii="Comic Sans MS" w:hAnsi="Comic Sans MS" w:cs="Comic Sans MS" w:eastAsia="Comic Sans MS"/>
                <w:b w:val="0"/>
                <w:i w:val="0"/>
                <w:color w:val="000000"/>
                <w:sz w:val="22"/>
              </w:rPr>
              <w:t>Direct compression with pleasant mouthfeel</w:t>
            </w:r>
          </w:p>
        </w:tc>
      </w:tr>
      <w:tr>
        <w:tc>
          <w:tcPr>
            <w:tcW w:type="dxa" w:w="2736"/>
          </w:tcPr>
          <w:p>
            <w:pPr>
              <w:spacing w:after="20" w:before="20" w:line="300" w:lineRule="exact"/>
            </w:pPr>
            <w:r/>
            <w:r>
              <w:rPr>
                <w:rFonts w:ascii="Comic Sans MS" w:hAnsi="Comic Sans MS" w:cs="Comic Sans MS" w:eastAsia="Comic Sans MS"/>
                <w:b w:val="0"/>
                <w:i w:val="0"/>
                <w:color w:val="000000"/>
                <w:sz w:val="22"/>
              </w:rPr>
              <w:t>Parteck ODT</w:t>
            </w:r>
          </w:p>
        </w:tc>
        <w:tc>
          <w:tcPr>
            <w:tcW w:type="dxa" w:w="3456"/>
          </w:tcPr>
          <w:p>
            <w:pPr>
              <w:spacing w:after="20" w:before="20" w:line="300" w:lineRule="exact"/>
            </w:pPr>
            <w:r/>
            <w:r>
              <w:rPr>
                <w:rFonts w:ascii="Comic Sans MS" w:hAnsi="Comic Sans MS" w:cs="Comic Sans MS" w:eastAsia="Comic Sans MS"/>
                <w:b w:val="0"/>
                <w:i w:val="0"/>
                <w:color w:val="000000"/>
                <w:sz w:val="22"/>
              </w:rPr>
              <w:t>Mannitol with croscarmellose sodium</w:t>
            </w:r>
          </w:p>
        </w:tc>
        <w:tc>
          <w:tcPr>
            <w:tcW w:type="dxa" w:w="3168"/>
          </w:tcPr>
          <w:p>
            <w:pPr>
              <w:spacing w:after="20" w:before="20" w:line="300" w:lineRule="exact"/>
            </w:pPr>
            <w:r/>
            <w:r>
              <w:rPr>
                <w:rFonts w:ascii="Comic Sans MS" w:hAnsi="Comic Sans MS" w:cs="Comic Sans MS" w:eastAsia="Comic Sans MS"/>
                <w:b w:val="0"/>
                <w:i w:val="0"/>
                <w:color w:val="000000"/>
                <w:sz w:val="22"/>
              </w:rPr>
              <w:t>Orally disintegrating tablets</w:t>
            </w:r>
          </w:p>
        </w:tc>
      </w:tr>
      <w:tr>
        <w:tc>
          <w:tcPr>
            <w:tcW w:type="dxa" w:w="2736"/>
          </w:tcPr>
          <w:p>
            <w:pPr>
              <w:spacing w:after="20" w:before="20" w:line="300" w:lineRule="exact"/>
            </w:pPr>
            <w:r/>
            <w:r>
              <w:rPr>
                <w:rFonts w:ascii="Comic Sans MS" w:hAnsi="Comic Sans MS" w:cs="Comic Sans MS" w:eastAsia="Comic Sans MS"/>
                <w:b w:val="0"/>
                <w:i w:val="0"/>
                <w:color w:val="000000"/>
                <w:sz w:val="22"/>
              </w:rPr>
              <w:t>SEPITRAP</w:t>
            </w:r>
          </w:p>
        </w:tc>
        <w:tc>
          <w:tcPr>
            <w:tcW w:type="dxa" w:w="3456"/>
          </w:tcPr>
          <w:p>
            <w:pPr>
              <w:spacing w:after="20" w:before="20" w:line="300" w:lineRule="exact"/>
            </w:pPr>
            <w:r/>
            <w:r>
              <w:rPr>
                <w:rFonts w:ascii="Comic Sans MS" w:hAnsi="Comic Sans MS" w:cs="Comic Sans MS" w:eastAsia="Comic Sans MS"/>
                <w:b w:val="0"/>
                <w:i w:val="0"/>
                <w:color w:val="000000"/>
                <w:sz w:val="22"/>
              </w:rPr>
              <w:t>Micro-encapsulated surfactant</w:t>
            </w:r>
          </w:p>
        </w:tc>
        <w:tc>
          <w:tcPr>
            <w:tcW w:type="dxa" w:w="3168"/>
          </w:tcPr>
          <w:p>
            <w:pPr>
              <w:spacing w:after="20" w:before="20" w:line="300" w:lineRule="exact"/>
            </w:pPr>
            <w:r/>
            <w:r>
              <w:rPr>
                <w:rFonts w:ascii="Comic Sans MS" w:hAnsi="Comic Sans MS" w:cs="Comic Sans MS" w:eastAsia="Comic Sans MS"/>
                <w:b w:val="0"/>
                <w:i w:val="0"/>
                <w:color w:val="000000"/>
                <w:sz w:val="22"/>
              </w:rPr>
              <w:t>Converts a liquid surfactant to a free-flowing powder</w:t>
            </w:r>
          </w:p>
        </w:tc>
      </w:tr>
    </w:tbl>
    <w:p>
      <w:pPr>
        <w:spacing w:after="0" w:line="160" w:lineRule="exact"/>
      </w:pPr>
    </w:p>
    <w:p>
      <w:pPr>
        <w:keepNext/>
        <w:spacing w:before="160" w:after="40"/>
      </w:pPr>
      <w:r>
        <w:rPr>
          <w:rFonts w:ascii="Comic Sans MS" w:hAnsi="Comic Sans MS" w:cs="Comic Sans MS" w:eastAsia="Comic Sans MS"/>
          <w:b/>
          <w:i w:val="0"/>
          <w:color w:val="000000"/>
          <w:sz w:val="28"/>
        </w:rPr>
        <w:t>5.7 Summary of Unit V</w:t>
      </w:r>
    </w:p>
    <w:p>
      <w:pPr>
        <w:spacing w:after="160"/>
        <w:jc w:val="both"/>
      </w:pPr>
      <w:r>
        <w:rPr>
          <w:rFonts w:ascii="Comic Sans MS" w:hAnsi="Comic Sans MS" w:cs="Comic Sans MS" w:eastAsia="Comic Sans MS"/>
          <w:b w:val="0"/>
          <w:i w:val="0"/>
          <w:color w:val="000000"/>
          <w:sz w:val="28"/>
        </w:rPr>
        <w:t>Excipients are functional, not inert, and their selection rests on demonstrated functionality, compatibility with the drug and with the package, and above all on safety appropriate to the route, dose, duration and patient population, with prior regulatory precedent being the most practical assurance. Drug-excipient interactions may be physical, such as adsorption, hydrophobic film formation and moisture transfer, or chemical, such as the Maillard reaction, peroxide-mediated oxidation and microenvironmental pH shift; excipient-package interactions comprise sorption of preservatives and surfactants into the container, leaching of plasticisers and other extractables, which surfactants and cosolvents aggravate, and permeation of moisture and oxygen. The newer excipients each solve a particular formulation problem: cyclodextrins solubilise and stabilise, ion exchange resins mask taste and control release, modern film coating polymers deliver immediate, enteric or sustained release from aqueous systems, superdisintegrants give rapid disintegration at low levels, directly compressible vehicles allow granulation to be dispensed with, surfactants wet and solubilise, and thickeners provide the pseudoplastic structure required of suspensions and semi-solids. Finally, co-processed excipients, combining established materials at the subparticle level, have become the principal route of excipient innovation, offering superior flow, compactibility and dilution potential at a modest regulatory cost, though at the price of fixed composition and single-source supply.</w:t>
      </w:r>
    </w:p>
    <w:p>
      <w:r>
        <w:br w:type="page"/>
      </w:r>
    </w:p>
    <w:p>
      <w:pPr>
        <w:keepNext/>
        <w:spacing w:before="200" w:after="120" w:line="540" w:lineRule="exact"/>
        <w:jc w:val="both"/>
      </w:pPr>
      <w:r>
        <w:rPr>
          <w:rFonts w:ascii="Comic Sans MS" w:hAnsi="Comic Sans MS" w:cs="Comic Sans MS" w:eastAsia="Comic Sans MS"/>
          <w:b/>
          <w:i w:val="0"/>
          <w:color w:val="FF0000"/>
          <w:sz w:val="36"/>
        </w:rPr>
        <w:t>Unit VI - Biomaterials</w:t>
      </w:r>
    </w:p>
    <w:p>
      <w:pPr>
        <w:keepNext/>
        <w:spacing w:before="160" w:after="40"/>
      </w:pPr>
      <w:r>
        <w:rPr>
          <w:rFonts w:ascii="Comic Sans MS" w:hAnsi="Comic Sans MS" w:cs="Comic Sans MS" w:eastAsia="Comic Sans MS"/>
          <w:b/>
          <w:i w:val="0"/>
          <w:color w:val="000000"/>
          <w:sz w:val="28"/>
        </w:rPr>
        <w:t>6.1 Introduction and Definitions</w:t>
      </w:r>
    </w:p>
    <w:p>
      <w:pPr>
        <w:spacing w:after="160"/>
        <w:jc w:val="both"/>
      </w:pPr>
      <w:r>
        <w:rPr>
          <w:rFonts w:ascii="Comic Sans MS" w:hAnsi="Comic Sans MS" w:cs="Comic Sans MS" w:eastAsia="Comic Sans MS"/>
          <w:b w:val="0"/>
          <w:i w:val="0"/>
          <w:color w:val="000000"/>
          <w:sz w:val="28"/>
        </w:rPr>
        <w:t xml:space="preserve">A </w:t>
      </w:r>
      <w:r>
        <w:rPr>
          <w:rFonts w:ascii="Comic Sans MS" w:hAnsi="Comic Sans MS" w:cs="Comic Sans MS" w:eastAsia="Comic Sans MS"/>
          <w:b/>
          <w:i w:val="0"/>
          <w:color w:val="000000"/>
          <w:sz w:val="28"/>
        </w:rPr>
        <w:t>biomaterial</w:t>
      </w:r>
      <w:r>
        <w:rPr>
          <w:rFonts w:ascii="Comic Sans MS" w:hAnsi="Comic Sans MS" w:cs="Comic Sans MS" w:eastAsia="Comic Sans MS"/>
          <w:b w:val="0"/>
          <w:i w:val="0"/>
          <w:color w:val="000000"/>
          <w:sz w:val="28"/>
        </w:rPr>
        <w:t xml:space="preserve"> is a material, whether of natural or synthetic origin, that is intended to interface with biological systems in order to evaluate, treat, augment or replace any tissue, organ or function of the body. The most widely quoted definition, agreed at the Chester conference on biomaterials, describes a biomaterial as a material intended to interface with biological systems to evaluate, treat, augment or replace any tissue, organ or function of the body.</w:t>
      </w:r>
    </w:p>
    <w:p>
      <w:pPr>
        <w:spacing w:after="160"/>
        <w:jc w:val="both"/>
      </w:pPr>
      <w:r>
        <w:rPr>
          <w:rFonts w:ascii="Comic Sans MS" w:hAnsi="Comic Sans MS" w:cs="Comic Sans MS" w:eastAsia="Comic Sans MS"/>
          <w:b w:val="0"/>
          <w:i w:val="0"/>
          <w:color w:val="000000"/>
          <w:sz w:val="28"/>
        </w:rPr>
        <w:t>The related terms require careful distinction: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Biocompatibility.</w:t>
      </w:r>
      <w:r>
        <w:rPr>
          <w:rFonts w:ascii="Comic Sans MS" w:hAnsi="Comic Sans MS" w:cs="Comic Sans MS" w:eastAsia="Comic Sans MS"/>
          <w:b w:val="0"/>
          <w:i w:val="0"/>
          <w:color w:val="000000"/>
          <w:sz w:val="28"/>
        </w:rPr>
        <w:t xml:space="preserve"> The ability of a material to perform its intended function with the desired degree of incorporation in the host, without eliciting any undesirable local or systemic effect. Biocompatibility is therefore not a property of the material alone; it is a property of the material in a particular application, at a particular site, for a particular duration.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Bioinert material.</w:t>
      </w:r>
      <w:r>
        <w:rPr>
          <w:rFonts w:ascii="Comic Sans MS" w:hAnsi="Comic Sans MS" w:cs="Comic Sans MS" w:eastAsia="Comic Sans MS"/>
          <w:b w:val="0"/>
          <w:i w:val="0"/>
          <w:color w:val="000000"/>
          <w:sz w:val="28"/>
        </w:rPr>
        <w:t xml:space="preserve"> One that provokes minimal host response and remains essentially unchanged, becoming separated from the tissue by a thin fibrous capsule. Alumina, zirconia and titanium are examples.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Bioactive material.</w:t>
      </w:r>
      <w:r>
        <w:rPr>
          <w:rFonts w:ascii="Comic Sans MS" w:hAnsi="Comic Sans MS" w:cs="Comic Sans MS" w:eastAsia="Comic Sans MS"/>
          <w:b w:val="0"/>
          <w:i w:val="0"/>
          <w:color w:val="000000"/>
          <w:sz w:val="28"/>
        </w:rPr>
        <w:t xml:space="preserve"> One that elicits a specific, desirable biological response at its surface, resulting in the formation of a direct chemical bond with tissue. Hydroxyapatite and bioactive glass, which bond to bone, are the classical examples.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Biodegradable, bioresorbable and bioabsorbable material.</w:t>
      </w:r>
      <w:r>
        <w:rPr>
          <w:rFonts w:ascii="Comic Sans MS" w:hAnsi="Comic Sans MS" w:cs="Comic Sans MS" w:eastAsia="Comic Sans MS"/>
          <w:b w:val="0"/>
          <w:i w:val="0"/>
          <w:color w:val="000000"/>
          <w:sz w:val="28"/>
        </w:rPr>
        <w:t xml:space="preserve"> One that is progressively broken down in the body, the fragments being either metabolised or excreted, so that the implant ultimately disappears. Poly(lactic-co-glycolic acid) is the outstanding pharmaceutical example.</w:t>
      </w:r>
    </w:p>
    <w:p>
      <w:pPr>
        <w:keepNext/>
        <w:spacing w:before="160" w:after="40"/>
      </w:pPr>
      <w:r>
        <w:rPr>
          <w:rFonts w:ascii="Comic Sans MS" w:hAnsi="Comic Sans MS" w:cs="Comic Sans MS" w:eastAsia="Comic Sans MS"/>
          <w:b/>
          <w:i w:val="0"/>
          <w:color w:val="000000"/>
          <w:sz w:val="28"/>
        </w:rPr>
        <w:t>6.2 Requirements of a Biomaterial</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Biocompatibility.</w:t>
      </w:r>
      <w:r>
        <w:rPr>
          <w:rFonts w:ascii="Comic Sans MS" w:hAnsi="Comic Sans MS" w:cs="Comic Sans MS" w:eastAsia="Comic Sans MS"/>
          <w:b w:val="0"/>
          <w:i w:val="0"/>
          <w:color w:val="000000"/>
          <w:sz w:val="28"/>
        </w:rPr>
        <w:t xml:space="preserve"> Non-toxic, non-carcinogenic, non-immunogenic, non-thrombogenic and non-irritant, and free from leachables that could produce local or systemic harm.</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Appropriate mechanical properties.</w:t>
      </w:r>
      <w:r>
        <w:rPr>
          <w:rFonts w:ascii="Comic Sans MS" w:hAnsi="Comic Sans MS" w:cs="Comic Sans MS" w:eastAsia="Comic Sans MS"/>
          <w:b w:val="0"/>
          <w:i w:val="0"/>
          <w:color w:val="000000"/>
          <w:sz w:val="28"/>
        </w:rPr>
        <w:t xml:space="preserve"> Tensile and compressive strength, modulus of elasticity, fatigue resistance and wear resistance matched to the tissue being replaced. A mismatch of modulus between a metallic implant and bone causes </w:t>
      </w:r>
      <w:r>
        <w:rPr>
          <w:rFonts w:ascii="Comic Sans MS" w:hAnsi="Comic Sans MS" w:cs="Comic Sans MS" w:eastAsia="Comic Sans MS"/>
          <w:b/>
          <w:i w:val="0"/>
          <w:color w:val="000000"/>
          <w:sz w:val="28"/>
        </w:rPr>
        <w:t>stress shielding</w:t>
      </w:r>
      <w:r>
        <w:rPr>
          <w:rFonts w:ascii="Comic Sans MS" w:hAnsi="Comic Sans MS" w:cs="Comic Sans MS" w:eastAsia="Comic Sans MS"/>
          <w:b w:val="0"/>
          <w:i w:val="0"/>
          <w:color w:val="000000"/>
          <w:sz w:val="28"/>
        </w:rPr>
        <w:t>, in which the bone, relieved of load, resorbs.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Appropriate degradation profile.</w:t>
      </w:r>
      <w:r>
        <w:rPr>
          <w:rFonts w:ascii="Comic Sans MS" w:hAnsi="Comic Sans MS" w:cs="Comic Sans MS" w:eastAsia="Comic Sans MS"/>
          <w:b w:val="0"/>
          <w:i w:val="0"/>
          <w:color w:val="000000"/>
          <w:sz w:val="28"/>
        </w:rPr>
        <w:t xml:space="preserve"> Either long-term stability, for a permanent implant, or a rate of degradation matched to the rate of tissue healing or of the intended drug release, for a temporary one.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Sterilisability</w:t>
      </w:r>
      <w:r>
        <w:rPr>
          <w:rFonts w:ascii="Comic Sans MS" w:hAnsi="Comic Sans MS" w:cs="Comic Sans MS" w:eastAsia="Comic Sans MS"/>
          <w:b w:val="0"/>
          <w:i w:val="0"/>
          <w:color w:val="000000"/>
          <w:sz w:val="28"/>
        </w:rPr>
        <w:t xml:space="preserve"> without loss of properties, and adequate shelf life.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Processability</w:t>
      </w:r>
      <w:r>
        <w:rPr>
          <w:rFonts w:ascii="Comic Sans MS" w:hAnsi="Comic Sans MS" w:cs="Comic Sans MS" w:eastAsia="Comic Sans MS"/>
          <w:b w:val="0"/>
          <w:i w:val="0"/>
          <w:color w:val="000000"/>
          <w:sz w:val="28"/>
        </w:rPr>
        <w:t xml:space="preserve"> into the required shape, including the ability to be moulded, extruded, spun, machined or printed.</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Non-adherence of protein and cells</w:t>
      </w:r>
      <w:r>
        <w:rPr>
          <w:rFonts w:ascii="Comic Sans MS" w:hAnsi="Comic Sans MS" w:cs="Comic Sans MS" w:eastAsia="Comic Sans MS"/>
          <w:b w:val="0"/>
          <w:i w:val="0"/>
          <w:color w:val="000000"/>
          <w:sz w:val="28"/>
        </w:rPr>
        <w:t xml:space="preserve"> where that is undesirable, as in blood-contacting devices, or promotion of cell adhesion where tissue integration is required.</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Reasonable cost, availability and reproducibility of supply.</w:t>
      </w:r>
    </w:p>
    <w:p>
      <w:pPr>
        <w:keepNext/>
        <w:spacing w:before="160" w:after="40"/>
      </w:pPr>
      <w:r>
        <w:rPr>
          <w:rFonts w:ascii="Comic Sans MS" w:hAnsi="Comic Sans MS" w:cs="Comic Sans MS" w:eastAsia="Comic Sans MS"/>
          <w:b/>
          <w:i w:val="0"/>
          <w:color w:val="000000"/>
          <w:sz w:val="28"/>
        </w:rPr>
        <w:t>6.3 Types of Biomaterials</w:t>
      </w:r>
    </w:p>
    <w:p>
      <w:pPr>
        <w:keepNext/>
        <w:spacing w:before="160" w:after="40"/>
      </w:pPr>
      <w:r>
        <w:rPr>
          <w:rFonts w:ascii="Comic Sans MS" w:hAnsi="Comic Sans MS" w:cs="Comic Sans MS" w:eastAsia="Comic Sans MS"/>
          <w:b/>
          <w:i w:val="0"/>
          <w:color w:val="000000"/>
          <w:sz w:val="28"/>
        </w:rPr>
        <w:t>6.3.1 Polymeric Biomaterials</w:t>
      </w:r>
    </w:p>
    <w:p>
      <w:pPr>
        <w:spacing w:after="160"/>
        <w:jc w:val="both"/>
      </w:pPr>
      <w:r>
        <w:rPr>
          <w:rFonts w:ascii="Comic Sans MS" w:hAnsi="Comic Sans MS" w:cs="Comic Sans MS" w:eastAsia="Comic Sans MS"/>
          <w:b w:val="0"/>
          <w:i w:val="0"/>
          <w:color w:val="000000"/>
          <w:sz w:val="28"/>
        </w:rPr>
        <w:t>Polymers are the most versatile and, in pharmaceutical applications, by far the most important class, because their chemistry, molecular weight, crystallinity and degradation rate can be tailored over an enormous range.</w:t>
      </w:r>
    </w:p>
    <w:p>
      <w:pPr>
        <w:spacing w:after="160"/>
        <w:jc w:val="both"/>
      </w:pPr>
      <w:r>
        <w:rPr>
          <w:rFonts w:ascii="Comic Sans MS" w:hAnsi="Comic Sans MS" w:cs="Comic Sans MS" w:eastAsia="Comic Sans MS"/>
          <w:b/>
          <w:i w:val="0"/>
          <w:color w:val="000000"/>
          <w:sz w:val="28"/>
        </w:rPr>
        <w:t>Natural polymers.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Collagen and gelatin.</w:t>
      </w:r>
      <w:r>
        <w:rPr>
          <w:rFonts w:ascii="Comic Sans MS" w:hAnsi="Comic Sans MS" w:cs="Comic Sans MS" w:eastAsia="Comic Sans MS"/>
          <w:b w:val="0"/>
          <w:i w:val="0"/>
          <w:color w:val="000000"/>
          <w:sz w:val="28"/>
        </w:rPr>
        <w:t xml:space="preserve"> Collagen is the principal structural protein of the body and is therefore highly biocompatible and cell adhesive; gelatin is its partially hydrolysed derivative. Used in haemostatic sponges, wound dressings, tissue engineering scaffolds, capsule shells and microspheres. The limitations are batch variability, potential immunogenicity and the risk associated with animal-derived material.</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Chitosan.</w:t>
      </w:r>
      <w:r>
        <w:rPr>
          <w:rFonts w:ascii="Comic Sans MS" w:hAnsi="Comic Sans MS" w:cs="Comic Sans MS" w:eastAsia="Comic Sans MS"/>
          <w:b w:val="0"/>
          <w:i w:val="0"/>
          <w:color w:val="000000"/>
          <w:sz w:val="28"/>
        </w:rPr>
        <w:t xml:space="preserve"> A cationic polysaccharide obtained by deacetylation of chitin from crustacean shells. It is mucoadhesive, antimicrobial, haemostatic and a permeation enhancer that transiently opens epithelial tight junctions; used in nasal and oral delivery, wound dressings and gene delivery.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Alginate.</w:t>
      </w:r>
      <w:r>
        <w:rPr>
          <w:rFonts w:ascii="Comic Sans MS" w:hAnsi="Comic Sans MS" w:cs="Comic Sans MS" w:eastAsia="Comic Sans MS"/>
          <w:b w:val="0"/>
          <w:i w:val="0"/>
          <w:color w:val="000000"/>
          <w:sz w:val="28"/>
        </w:rPr>
        <w:t xml:space="preserve"> An anionic polysaccharide from brown seaweed that gels instantly with calcium ions under very mild conditions, and is therefore used to encapsulate cells and proteins, and in wound dressings and oral controlled-release systems.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Hyaluronic acid.</w:t>
      </w:r>
      <w:r>
        <w:rPr>
          <w:rFonts w:ascii="Comic Sans MS" w:hAnsi="Comic Sans MS" w:cs="Comic Sans MS" w:eastAsia="Comic Sans MS"/>
          <w:b w:val="0"/>
          <w:i w:val="0"/>
          <w:color w:val="000000"/>
          <w:sz w:val="28"/>
        </w:rPr>
        <w:t xml:space="preserve"> A glycosaminoglycan of the extracellular matrix, highly hydrating and viscoelastic; used in ophthalmic viscosurgery, intra-articular injection, dermal fillers and as a targeting ligand for the CD44 receptor.</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Cellulose, starch and their derivatives, dextran, pullulan, gellan and xanthan,</w:t>
      </w:r>
      <w:r>
        <w:rPr>
          <w:rFonts w:ascii="Comic Sans MS" w:hAnsi="Comic Sans MS" w:cs="Comic Sans MS" w:eastAsia="Comic Sans MS"/>
          <w:b w:val="0"/>
          <w:i w:val="0"/>
          <w:color w:val="000000"/>
          <w:sz w:val="28"/>
        </w:rPr>
        <w:t xml:space="preserve"> used as matrix formers, coatings and plasma expanders.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Silk fibroin, fibrin, albumin and elastin,</w:t>
      </w:r>
      <w:r>
        <w:rPr>
          <w:rFonts w:ascii="Comic Sans MS" w:hAnsi="Comic Sans MS" w:cs="Comic Sans MS" w:eastAsia="Comic Sans MS"/>
          <w:b w:val="0"/>
          <w:i w:val="0"/>
          <w:color w:val="000000"/>
          <w:sz w:val="28"/>
        </w:rPr>
        <w:t xml:space="preserve"> used in scaffolds, sealants and nanoparticles; the albumin-bound paclitaxel product is a prominent example.</w:t>
      </w:r>
    </w:p>
    <w:p>
      <w:pPr>
        <w:spacing w:after="160"/>
        <w:jc w:val="both"/>
      </w:pPr>
      <w:r>
        <w:rPr>
          <w:rFonts w:ascii="Comic Sans MS" w:hAnsi="Comic Sans MS" w:cs="Comic Sans MS" w:eastAsia="Comic Sans MS"/>
          <w:b/>
          <w:i w:val="0"/>
          <w:color w:val="000000"/>
          <w:sz w:val="28"/>
        </w:rPr>
        <w:t>Synthetic biodegradable polymers.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Poly(glycolic acid) (PGA).</w:t>
      </w:r>
      <w:r>
        <w:rPr>
          <w:rFonts w:ascii="Comic Sans MS" w:hAnsi="Comic Sans MS" w:cs="Comic Sans MS" w:eastAsia="Comic Sans MS"/>
          <w:b w:val="0"/>
          <w:i w:val="0"/>
          <w:color w:val="000000"/>
          <w:sz w:val="28"/>
        </w:rPr>
        <w:t xml:space="preserve"> Highly crystalline and hydrophilic, degrading in a matter of weeks. The first synthetic absorbable suture material.</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Poly(lactic acid) (PLA).</w:t>
      </w:r>
      <w:r>
        <w:rPr>
          <w:rFonts w:ascii="Comic Sans MS" w:hAnsi="Comic Sans MS" w:cs="Comic Sans MS" w:eastAsia="Comic Sans MS"/>
          <w:b w:val="0"/>
          <w:i w:val="0"/>
          <w:color w:val="000000"/>
          <w:sz w:val="28"/>
        </w:rPr>
        <w:t xml:space="preserve"> More hydrophobic because of its methyl group, and existing as the semi-crystalline poly(L-lactic acid), which degrades over a year or more, and the amorphous poly(D,L-lactic acid), which degrades faster.</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Poly(lactic-co-glycolic acid) (PLGA).</w:t>
      </w:r>
      <w:r>
        <w:rPr>
          <w:rFonts w:ascii="Comic Sans MS" w:hAnsi="Comic Sans MS" w:cs="Comic Sans MS" w:eastAsia="Comic Sans MS"/>
          <w:b w:val="0"/>
          <w:i w:val="0"/>
          <w:color w:val="000000"/>
          <w:sz w:val="28"/>
        </w:rPr>
        <w:t xml:space="preserve"> The single most important biodegradable polymer in drug delivery, because the degradation time can be adjusted from a few weeks to more than a year simply by varying the lactide-to-glycolide ratio and the molecular weight. The 50:50 copolymer degrades fastest, since it is the least crystalline. It is the basis of the marketed leuprolide, triptorelin, octreotide, risperidone and naltrexone depot products.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Poly(epsilon-caprolactone) (PCL).</w:t>
      </w:r>
      <w:r>
        <w:rPr>
          <w:rFonts w:ascii="Comic Sans MS" w:hAnsi="Comic Sans MS" w:cs="Comic Sans MS" w:eastAsia="Comic Sans MS"/>
          <w:b w:val="0"/>
          <w:i w:val="0"/>
          <w:color w:val="000000"/>
          <w:sz w:val="28"/>
        </w:rPr>
        <w:t xml:space="preserve"> Semi-crystalline, highly hydrophobic and very slowly degrading, over two to three years; used in long-acting implants and in scaffolds, and valued for its low melting point which suits melt processing and three-dimensional printing.</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Polyanhydrides and poly(ortho esters).</w:t>
      </w:r>
      <w:r>
        <w:rPr>
          <w:rFonts w:ascii="Comic Sans MS" w:hAnsi="Comic Sans MS" w:cs="Comic Sans MS" w:eastAsia="Comic Sans MS"/>
          <w:b w:val="0"/>
          <w:i w:val="0"/>
          <w:color w:val="000000"/>
          <w:sz w:val="28"/>
        </w:rPr>
        <w:t xml:space="preserve"> Contain highly water-labile linkages in a hydrophobic backbone and therefore degrade predominantly by </w:t>
      </w:r>
      <w:r>
        <w:rPr>
          <w:rFonts w:ascii="Comic Sans MS" w:hAnsi="Comic Sans MS" w:cs="Comic Sans MS" w:eastAsia="Comic Sans MS"/>
          <w:b/>
          <w:i w:val="0"/>
          <w:color w:val="000000"/>
          <w:sz w:val="28"/>
        </w:rPr>
        <w:t>surface erosion</w:t>
      </w:r>
      <w:r>
        <w:rPr>
          <w:rFonts w:ascii="Comic Sans MS" w:hAnsi="Comic Sans MS" w:cs="Comic Sans MS" w:eastAsia="Comic Sans MS"/>
          <w:b w:val="0"/>
          <w:i w:val="0"/>
          <w:color w:val="000000"/>
          <w:sz w:val="28"/>
        </w:rPr>
        <w:t>, which gives near zero-order release. The carmustine-loaded polyanhydride wafer implanted in the brain after tumour resection is the best-known product.</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Polyphosphazenes, poly(amino acids), polyphosphoesters and poly(alkyl cyanoacrylates)</w:t>
      </w:r>
      <w:r>
        <w:rPr>
          <w:rFonts w:ascii="Comic Sans MS" w:hAnsi="Comic Sans MS" w:cs="Comic Sans MS" w:eastAsia="Comic Sans MS"/>
          <w:b w:val="0"/>
          <w:i w:val="0"/>
          <w:color w:val="000000"/>
          <w:sz w:val="28"/>
        </w:rPr>
        <w:t>, the last used in nanoparticles and as tissue adhesives.</w:t>
      </w:r>
    </w:p>
    <w:p>
      <w:pPr>
        <w:spacing w:after="160"/>
        <w:jc w:val="both"/>
      </w:pPr>
      <w:r>
        <w:rPr>
          <w:rFonts w:ascii="Comic Sans MS" w:hAnsi="Comic Sans MS" w:cs="Comic Sans MS" w:eastAsia="Comic Sans MS"/>
          <w:b/>
          <w:i w:val="0"/>
          <w:color w:val="000000"/>
          <w:sz w:val="28"/>
        </w:rPr>
        <w:t>Synthetic non-degradable polymers.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Silicone (polydimethylsiloxane).</w:t>
      </w:r>
      <w:r>
        <w:rPr>
          <w:rFonts w:ascii="Comic Sans MS" w:hAnsi="Comic Sans MS" w:cs="Comic Sans MS" w:eastAsia="Comic Sans MS"/>
          <w:b w:val="0"/>
          <w:i w:val="0"/>
          <w:color w:val="000000"/>
          <w:sz w:val="28"/>
        </w:rPr>
        <w:t xml:space="preserve"> Flexible, hydrophobic, extremely biostable and permeable to lipophilic drugs; used in the long-acting contraceptive implant and intravaginal ring, in catheters, in soft tissue implants and in tubing.</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Poly(ethylene-co-vinyl acetate) (EVA).</w:t>
      </w:r>
      <w:r>
        <w:rPr>
          <w:rFonts w:ascii="Comic Sans MS" w:hAnsi="Comic Sans MS" w:cs="Comic Sans MS" w:eastAsia="Comic Sans MS"/>
          <w:b w:val="0"/>
          <w:i w:val="0"/>
          <w:color w:val="000000"/>
          <w:sz w:val="28"/>
        </w:rPr>
        <w:t xml:space="preserve"> The rate-controlling membrane of many reservoir systems, including ocular inserts and contraceptive implants and rings.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Poly(methyl methacrylate) (PMMA).</w:t>
      </w:r>
      <w:r>
        <w:rPr>
          <w:rFonts w:ascii="Comic Sans MS" w:hAnsi="Comic Sans MS" w:cs="Comic Sans MS" w:eastAsia="Comic Sans MS"/>
          <w:b w:val="0"/>
          <w:i w:val="0"/>
          <w:color w:val="000000"/>
          <w:sz w:val="28"/>
        </w:rPr>
        <w:t xml:space="preserve"> Rigid and transparent; used in intraocular lenses, hard contact lenses, bone cement and dentures.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Poly(2-hydroxyethyl methacrylate) (PHEMA)</w:t>
      </w:r>
      <w:r>
        <w:rPr>
          <w:rFonts w:ascii="Comic Sans MS" w:hAnsi="Comic Sans MS" w:cs="Comic Sans MS" w:eastAsia="Comic Sans MS"/>
          <w:b w:val="0"/>
          <w:i w:val="0"/>
          <w:color w:val="000000"/>
          <w:sz w:val="28"/>
        </w:rPr>
        <w:t xml:space="preserve"> and other hydrogel-forming methacrylates, used in soft contact lenses.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Polyethylene</w:t>
      </w:r>
      <w:r>
        <w:rPr>
          <w:rFonts w:ascii="Comic Sans MS" w:hAnsi="Comic Sans MS" w:cs="Comic Sans MS" w:eastAsia="Comic Sans MS"/>
          <w:b w:val="0"/>
          <w:i w:val="0"/>
          <w:color w:val="000000"/>
          <w:sz w:val="28"/>
        </w:rPr>
        <w:t xml:space="preserve">, particularly ultra-high molecular weight polyethylene, the bearing surface of joint prostheses; </w:t>
      </w:r>
      <w:r>
        <w:rPr>
          <w:rFonts w:ascii="Comic Sans MS" w:hAnsi="Comic Sans MS" w:cs="Comic Sans MS" w:eastAsia="Comic Sans MS"/>
          <w:b/>
          <w:i w:val="0"/>
          <w:color w:val="000000"/>
          <w:sz w:val="28"/>
        </w:rPr>
        <w:t>polypropylene</w:t>
      </w:r>
      <w:r>
        <w:rPr>
          <w:rFonts w:ascii="Comic Sans MS" w:hAnsi="Comic Sans MS" w:cs="Comic Sans MS" w:eastAsia="Comic Sans MS"/>
          <w:b w:val="0"/>
          <w:i w:val="0"/>
          <w:color w:val="000000"/>
          <w:sz w:val="28"/>
        </w:rPr>
        <w:t xml:space="preserve">, used in sutures and surgical mesh; </w:t>
      </w:r>
      <w:r>
        <w:rPr>
          <w:rFonts w:ascii="Comic Sans MS" w:hAnsi="Comic Sans MS" w:cs="Comic Sans MS" w:eastAsia="Comic Sans MS"/>
          <w:b/>
          <w:i w:val="0"/>
          <w:color w:val="000000"/>
          <w:sz w:val="28"/>
        </w:rPr>
        <w:t>polytetrafluoroethylene (PTFE)</w:t>
      </w:r>
      <w:r>
        <w:rPr>
          <w:rFonts w:ascii="Comic Sans MS" w:hAnsi="Comic Sans MS" w:cs="Comic Sans MS" w:eastAsia="Comic Sans MS"/>
          <w:b w:val="0"/>
          <w:i w:val="0"/>
          <w:color w:val="000000"/>
          <w:sz w:val="28"/>
        </w:rPr>
        <w:t xml:space="preserve"> and expanded PTFE, used in vascular grafts; </w:t>
      </w:r>
      <w:r>
        <w:rPr>
          <w:rFonts w:ascii="Comic Sans MS" w:hAnsi="Comic Sans MS" w:cs="Comic Sans MS" w:eastAsia="Comic Sans MS"/>
          <w:b/>
          <w:i w:val="0"/>
          <w:color w:val="000000"/>
          <w:sz w:val="28"/>
        </w:rPr>
        <w:t>poly(ethylene terephthalate)</w:t>
      </w:r>
      <w:r>
        <w:rPr>
          <w:rFonts w:ascii="Comic Sans MS" w:hAnsi="Comic Sans MS" w:cs="Comic Sans MS" w:eastAsia="Comic Sans MS"/>
          <w:b w:val="0"/>
          <w:i w:val="0"/>
          <w:color w:val="000000"/>
          <w:sz w:val="28"/>
        </w:rPr>
        <w:t xml:space="preserve"> (Dacron), used in grafts and sewing rings; and </w:t>
      </w:r>
      <w:r>
        <w:rPr>
          <w:rFonts w:ascii="Comic Sans MS" w:hAnsi="Comic Sans MS" w:cs="Comic Sans MS" w:eastAsia="Comic Sans MS"/>
          <w:b/>
          <w:i w:val="0"/>
          <w:color w:val="000000"/>
          <w:sz w:val="28"/>
        </w:rPr>
        <w:t>polyurethanes</w:t>
      </w:r>
      <w:r>
        <w:rPr>
          <w:rFonts w:ascii="Comic Sans MS" w:hAnsi="Comic Sans MS" w:cs="Comic Sans MS" w:eastAsia="Comic Sans MS"/>
          <w:b w:val="0"/>
          <w:i w:val="0"/>
          <w:color w:val="000000"/>
          <w:sz w:val="28"/>
        </w:rPr>
        <w:t>, used in catheters, pacemaker leads and blood-contacting devices.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Poly(ethylene glycol) (PEG).</w:t>
      </w:r>
      <w:r>
        <w:rPr>
          <w:rFonts w:ascii="Comic Sans MS" w:hAnsi="Comic Sans MS" w:cs="Comic Sans MS" w:eastAsia="Comic Sans MS"/>
          <w:b w:val="0"/>
          <w:i w:val="0"/>
          <w:color w:val="000000"/>
          <w:sz w:val="28"/>
        </w:rPr>
        <w:t xml:space="preserve"> Highly hydrophilic and protein resistant; used to hydrophilise surfaces and, in </w:t>
      </w:r>
      <w:r>
        <w:rPr>
          <w:rFonts w:ascii="Comic Sans MS" w:hAnsi="Comic Sans MS" w:cs="Comic Sans MS" w:eastAsia="Comic Sans MS"/>
          <w:b/>
          <w:i w:val="0"/>
          <w:color w:val="000000"/>
          <w:sz w:val="28"/>
        </w:rPr>
        <w:t>PEGylation</w:t>
      </w:r>
      <w:r>
        <w:rPr>
          <w:rFonts w:ascii="Comic Sans MS" w:hAnsi="Comic Sans MS" w:cs="Comic Sans MS" w:eastAsia="Comic Sans MS"/>
          <w:b w:val="0"/>
          <w:i w:val="0"/>
          <w:color w:val="000000"/>
          <w:sz w:val="28"/>
        </w:rPr>
        <w:t>, covalently attached to proteins and nanoparticles to prolong circulation by reducing opsonisation and renal clearance.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Cellulose acetate and ethylcellulose,</w:t>
      </w:r>
      <w:r>
        <w:rPr>
          <w:rFonts w:ascii="Comic Sans MS" w:hAnsi="Comic Sans MS" w:cs="Comic Sans MS" w:eastAsia="Comic Sans MS"/>
          <w:b w:val="0"/>
          <w:i w:val="0"/>
          <w:color w:val="000000"/>
          <w:sz w:val="28"/>
        </w:rPr>
        <w:t xml:space="preserve"> as semi-permeable and rate-controlling membranes.</w:t>
      </w:r>
    </w:p>
    <w:p>
      <w:pPr>
        <w:keepNext/>
        <w:spacing w:before="160" w:after="40"/>
      </w:pPr>
      <w:r>
        <w:rPr>
          <w:rFonts w:ascii="Comic Sans MS" w:hAnsi="Comic Sans MS" w:cs="Comic Sans MS" w:eastAsia="Comic Sans MS"/>
          <w:b/>
          <w:i w:val="0"/>
          <w:color w:val="000000"/>
          <w:sz w:val="28"/>
        </w:rPr>
        <w:t>6.3.2 Metallic Biomaterials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Stainless steel 316L.</w:t>
      </w:r>
      <w:r>
        <w:rPr>
          <w:rFonts w:ascii="Comic Sans MS" w:hAnsi="Comic Sans MS" w:cs="Comic Sans MS" w:eastAsia="Comic Sans MS"/>
          <w:b w:val="0"/>
          <w:i w:val="0"/>
          <w:color w:val="000000"/>
          <w:sz w:val="28"/>
        </w:rPr>
        <w:t xml:space="preserve"> Low-carbon austenitic steel, inexpensive and readily fabricated; used in temporary fixation devices, bone plates, screws and some stents. It can release nickel and chromium and is subject to pitting and crevice corrosion.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Cobalt-chromium alloys.</w:t>
      </w:r>
      <w:r>
        <w:rPr>
          <w:rFonts w:ascii="Comic Sans MS" w:hAnsi="Comic Sans MS" w:cs="Comic Sans MS" w:eastAsia="Comic Sans MS"/>
          <w:b w:val="0"/>
          <w:i w:val="0"/>
          <w:color w:val="000000"/>
          <w:sz w:val="28"/>
        </w:rPr>
        <w:t xml:space="preserve"> High strength, excellent wear and corrosion resistance; used in joint prostheses and dental castings, but release cobalt and chromium ions.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Titanium and titanium alloys,</w:t>
      </w:r>
      <w:r>
        <w:rPr>
          <w:rFonts w:ascii="Comic Sans MS" w:hAnsi="Comic Sans MS" w:cs="Comic Sans MS" w:eastAsia="Comic Sans MS"/>
          <w:b w:val="0"/>
          <w:i w:val="0"/>
          <w:color w:val="000000"/>
          <w:sz w:val="28"/>
        </w:rPr>
        <w:t xml:space="preserve"> particularly Ti-6Al-4V. The materials of choice for permanent orthopaedic and dental implants because of their excellent corrosion resistance, arising from a stable passive titanium dioxide surface layer, their low modulus, which is closer to that of bone than the other metals, and their capacity for </w:t>
      </w:r>
      <w:r>
        <w:rPr>
          <w:rFonts w:ascii="Comic Sans MS" w:hAnsi="Comic Sans MS" w:cs="Comic Sans MS" w:eastAsia="Comic Sans MS"/>
          <w:b/>
          <w:i w:val="0"/>
          <w:color w:val="000000"/>
          <w:sz w:val="28"/>
        </w:rPr>
        <w:t>osseointegration</w:t>
      </w:r>
      <w:r>
        <w:rPr>
          <w:rFonts w:ascii="Comic Sans MS" w:hAnsi="Comic Sans MS" w:cs="Comic Sans MS" w:eastAsia="Comic Sans MS"/>
          <w:b w:val="0"/>
          <w:i w:val="0"/>
          <w:color w:val="000000"/>
          <w:sz w:val="28"/>
        </w:rPr>
        <w:t>, that is direct bone apposition.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Nickel-titanium alloy (Nitinol).</w:t>
      </w:r>
      <w:r>
        <w:rPr>
          <w:rFonts w:ascii="Comic Sans MS" w:hAnsi="Comic Sans MS" w:cs="Comic Sans MS" w:eastAsia="Comic Sans MS"/>
          <w:b w:val="0"/>
          <w:i w:val="0"/>
          <w:color w:val="000000"/>
          <w:sz w:val="28"/>
        </w:rPr>
        <w:t xml:space="preserve"> Displays shape memory and superelasticity, which allow a self-expanding stent to be deployed through a catheter; concerns centre on nickel release.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Magnesium alloys.</w:t>
      </w:r>
      <w:r>
        <w:rPr>
          <w:rFonts w:ascii="Comic Sans MS" w:hAnsi="Comic Sans MS" w:cs="Comic Sans MS" w:eastAsia="Comic Sans MS"/>
          <w:b w:val="0"/>
          <w:i w:val="0"/>
          <w:color w:val="000000"/>
          <w:sz w:val="28"/>
        </w:rPr>
        <w:t xml:space="preserve"> Genuinely </w:t>
      </w:r>
      <w:r>
        <w:rPr>
          <w:rFonts w:ascii="Comic Sans MS" w:hAnsi="Comic Sans MS" w:cs="Comic Sans MS" w:eastAsia="Comic Sans MS"/>
          <w:b/>
          <w:i w:val="0"/>
          <w:color w:val="000000"/>
          <w:sz w:val="28"/>
        </w:rPr>
        <w:t>biodegradable metals</w:t>
      </w:r>
      <w:r>
        <w:rPr>
          <w:rFonts w:ascii="Comic Sans MS" w:hAnsi="Comic Sans MS" w:cs="Comic Sans MS" w:eastAsia="Comic Sans MS"/>
          <w:b w:val="0"/>
          <w:i w:val="0"/>
          <w:color w:val="000000"/>
          <w:sz w:val="28"/>
        </w:rPr>
        <w:t>, corroding to soluble magnesium salts and hydrogen, and therefore of great interest for temporary fixation devices and absorbable stents; the challenge is to slow the corrosion and manage hydrogen evolution.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Tantalum, zirconium, and gold and silver-based dental alloys.</w:t>
      </w:r>
    </w:p>
    <w:p>
      <w:pPr>
        <w:keepNext/>
        <w:spacing w:before="160" w:after="40"/>
      </w:pPr>
      <w:r>
        <w:rPr>
          <w:rFonts w:ascii="Comic Sans MS" w:hAnsi="Comic Sans MS" w:cs="Comic Sans MS" w:eastAsia="Comic Sans MS"/>
          <w:b/>
          <w:i w:val="0"/>
          <w:color w:val="000000"/>
          <w:sz w:val="28"/>
        </w:rPr>
        <w:t>6.3.3 Ceramic Biomaterials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Bioinert ceramics.</w:t>
      </w:r>
      <w:r>
        <w:rPr>
          <w:rFonts w:ascii="Comic Sans MS" w:hAnsi="Comic Sans MS" w:cs="Comic Sans MS" w:eastAsia="Comic Sans MS"/>
          <w:b w:val="0"/>
          <w:i w:val="0"/>
          <w:color w:val="000000"/>
          <w:sz w:val="28"/>
        </w:rPr>
        <w:t xml:space="preserve"> </w:t>
      </w:r>
      <w:r>
        <w:rPr>
          <w:rFonts w:ascii="Comic Sans MS" w:hAnsi="Comic Sans MS" w:cs="Comic Sans MS" w:eastAsia="Comic Sans MS"/>
          <w:b/>
          <w:i w:val="0"/>
          <w:color w:val="000000"/>
          <w:sz w:val="28"/>
        </w:rPr>
        <w:t>Alumina</w:t>
      </w:r>
      <w:r>
        <w:rPr>
          <w:rFonts w:ascii="Comic Sans MS" w:hAnsi="Comic Sans MS" w:cs="Comic Sans MS" w:eastAsia="Comic Sans MS"/>
          <w:b w:val="0"/>
          <w:i w:val="0"/>
          <w:color w:val="000000"/>
          <w:sz w:val="28"/>
        </w:rPr>
        <w:t xml:space="preserve"> and </w:t>
      </w:r>
      <w:r>
        <w:rPr>
          <w:rFonts w:ascii="Comic Sans MS" w:hAnsi="Comic Sans MS" w:cs="Comic Sans MS" w:eastAsia="Comic Sans MS"/>
          <w:b/>
          <w:i w:val="0"/>
          <w:color w:val="000000"/>
          <w:sz w:val="28"/>
        </w:rPr>
        <w:t>zirconia</w:t>
      </w:r>
      <w:r>
        <w:rPr>
          <w:rFonts w:ascii="Comic Sans MS" w:hAnsi="Comic Sans MS" w:cs="Comic Sans MS" w:eastAsia="Comic Sans MS"/>
          <w:b w:val="0"/>
          <w:i w:val="0"/>
          <w:color w:val="000000"/>
          <w:sz w:val="28"/>
        </w:rPr>
        <w:t>, extremely hard, wear resistant and chemically inert, used for the femoral heads and acetabular liners of hip prostheses and for dental crowns; their weakness is brittleness.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Bioactive ceramics.</w:t>
      </w:r>
      <w:r>
        <w:rPr>
          <w:rFonts w:ascii="Comic Sans MS" w:hAnsi="Comic Sans MS" w:cs="Comic Sans MS" w:eastAsia="Comic Sans MS"/>
          <w:b w:val="0"/>
          <w:i w:val="0"/>
          <w:color w:val="000000"/>
          <w:sz w:val="28"/>
        </w:rPr>
        <w:t xml:space="preserve"> </w:t>
      </w:r>
      <w:r>
        <w:rPr>
          <w:rFonts w:ascii="Comic Sans MS" w:hAnsi="Comic Sans MS" w:cs="Comic Sans MS" w:eastAsia="Comic Sans MS"/>
          <w:b/>
          <w:i w:val="0"/>
          <w:color w:val="000000"/>
          <w:sz w:val="28"/>
        </w:rPr>
        <w:t>Hydroxyapatite</w:t>
      </w:r>
      <w:r>
        <w:rPr>
          <w:rFonts w:ascii="Comic Sans MS" w:hAnsi="Comic Sans MS" w:cs="Comic Sans MS" w:eastAsia="Comic Sans MS"/>
          <w:b w:val="0"/>
          <w:i w:val="0"/>
          <w:color w:val="000000"/>
          <w:sz w:val="28"/>
        </w:rPr>
        <w:t xml:space="preserve">, which is chemically similar to the mineral phase of bone and bonds directly to it, used as a bone graft substitute and as a plasma-sprayed coating on metal implants to promote osseointegration; </w:t>
      </w:r>
      <w:r>
        <w:rPr>
          <w:rFonts w:ascii="Comic Sans MS" w:hAnsi="Comic Sans MS" w:cs="Comic Sans MS" w:eastAsia="Comic Sans MS"/>
          <w:b/>
          <w:i w:val="0"/>
          <w:color w:val="000000"/>
          <w:sz w:val="28"/>
        </w:rPr>
        <w:t>tricalcium phosphate</w:t>
      </w:r>
      <w:r>
        <w:rPr>
          <w:rFonts w:ascii="Comic Sans MS" w:hAnsi="Comic Sans MS" w:cs="Comic Sans MS" w:eastAsia="Comic Sans MS"/>
          <w:b w:val="0"/>
          <w:i w:val="0"/>
          <w:color w:val="000000"/>
          <w:sz w:val="28"/>
        </w:rPr>
        <w:t xml:space="preserve"> and </w:t>
      </w:r>
      <w:r>
        <w:rPr>
          <w:rFonts w:ascii="Comic Sans MS" w:hAnsi="Comic Sans MS" w:cs="Comic Sans MS" w:eastAsia="Comic Sans MS"/>
          <w:b/>
          <w:i w:val="0"/>
          <w:color w:val="000000"/>
          <w:sz w:val="28"/>
        </w:rPr>
        <w:t>biphasic calcium phosphates</w:t>
      </w:r>
      <w:r>
        <w:rPr>
          <w:rFonts w:ascii="Comic Sans MS" w:hAnsi="Comic Sans MS" w:cs="Comic Sans MS" w:eastAsia="Comic Sans MS"/>
          <w:b w:val="0"/>
          <w:i w:val="0"/>
          <w:color w:val="000000"/>
          <w:sz w:val="28"/>
        </w:rPr>
        <w:t xml:space="preserve">, which are resorbable and act as osteoconductive scaffolds; </w:t>
      </w:r>
      <w:r>
        <w:rPr>
          <w:rFonts w:ascii="Comic Sans MS" w:hAnsi="Comic Sans MS" w:cs="Comic Sans MS" w:eastAsia="Comic Sans MS"/>
          <w:b/>
          <w:i w:val="0"/>
          <w:color w:val="000000"/>
          <w:sz w:val="28"/>
        </w:rPr>
        <w:t>calcium sulphate</w:t>
      </w:r>
      <w:r>
        <w:rPr>
          <w:rFonts w:ascii="Comic Sans MS" w:hAnsi="Comic Sans MS" w:cs="Comic Sans MS" w:eastAsia="Comic Sans MS"/>
          <w:b w:val="0"/>
          <w:i w:val="0"/>
          <w:color w:val="000000"/>
          <w:sz w:val="28"/>
        </w:rPr>
        <w:t xml:space="preserve">; and </w:t>
      </w:r>
      <w:r>
        <w:rPr>
          <w:rFonts w:ascii="Comic Sans MS" w:hAnsi="Comic Sans MS" w:cs="Comic Sans MS" w:eastAsia="Comic Sans MS"/>
          <w:b/>
          <w:i w:val="0"/>
          <w:color w:val="000000"/>
          <w:sz w:val="28"/>
        </w:rPr>
        <w:t>bioactive glasses</w:t>
      </w:r>
      <w:r>
        <w:rPr>
          <w:rFonts w:ascii="Comic Sans MS" w:hAnsi="Comic Sans MS" w:cs="Comic Sans MS" w:eastAsia="Comic Sans MS"/>
          <w:b w:val="0"/>
          <w:i w:val="0"/>
          <w:color w:val="000000"/>
          <w:sz w:val="28"/>
        </w:rPr>
        <w:t>, notably the 45S5 composition, which form a carbonated hydroxyapatite layer on their surface in contact with body fluid and are also osteoinductive, stimulating the expression of osteogenic genes.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Carbon-based materials,</w:t>
      </w:r>
      <w:r>
        <w:rPr>
          <w:rFonts w:ascii="Comic Sans MS" w:hAnsi="Comic Sans MS" w:cs="Comic Sans MS" w:eastAsia="Comic Sans MS"/>
          <w:b w:val="0"/>
          <w:i w:val="0"/>
          <w:color w:val="000000"/>
          <w:sz w:val="28"/>
        </w:rPr>
        <w:t xml:space="preserve"> including pyrolytic carbon used in mechanical heart valve occluders.</w:t>
      </w:r>
    </w:p>
    <w:p>
      <w:pPr>
        <w:keepNext/>
        <w:spacing w:before="160" w:after="40"/>
      </w:pPr>
      <w:r>
        <w:rPr>
          <w:rFonts w:ascii="Comic Sans MS" w:hAnsi="Comic Sans MS" w:cs="Comic Sans MS" w:eastAsia="Comic Sans MS"/>
          <w:b/>
          <w:i w:val="0"/>
          <w:color w:val="000000"/>
          <w:sz w:val="28"/>
        </w:rPr>
        <w:t>6.3.4 Composites and Biologically Derived Materials</w:t>
      </w:r>
    </w:p>
    <w:p>
      <w:pPr>
        <w:spacing w:after="160"/>
        <w:jc w:val="both"/>
      </w:pPr>
      <w:r>
        <w:rPr>
          <w:rFonts w:ascii="Comic Sans MS" w:hAnsi="Comic Sans MS" w:cs="Comic Sans MS" w:eastAsia="Comic Sans MS"/>
          <w:b/>
          <w:i w:val="0"/>
          <w:color w:val="000000"/>
          <w:sz w:val="28"/>
        </w:rPr>
        <w:t>Composites</w:t>
      </w:r>
      <w:r>
        <w:rPr>
          <w:rFonts w:ascii="Comic Sans MS" w:hAnsi="Comic Sans MS" w:cs="Comic Sans MS" w:eastAsia="Comic Sans MS"/>
          <w:b w:val="0"/>
          <w:i w:val="0"/>
          <w:color w:val="000000"/>
          <w:sz w:val="28"/>
        </w:rPr>
        <w:t xml:space="preserve"> combine phases to obtain properties unattainable in either component, for example hydroxyapatite particles in a polylactide matrix, which provides both osteoconductivity and controlled degradation, or carbon-fibre-reinforced polymers with a modulus matched to bone. </w:t>
      </w:r>
      <w:r>
        <w:rPr>
          <w:rFonts w:ascii="Comic Sans MS" w:hAnsi="Comic Sans MS" w:cs="Comic Sans MS" w:eastAsia="Comic Sans MS"/>
          <w:b/>
          <w:i w:val="0"/>
          <w:color w:val="000000"/>
          <w:sz w:val="28"/>
        </w:rPr>
        <w:t>Biologically derived materials</w:t>
      </w:r>
      <w:r>
        <w:rPr>
          <w:rFonts w:ascii="Comic Sans MS" w:hAnsi="Comic Sans MS" w:cs="Comic Sans MS" w:eastAsia="Comic Sans MS"/>
          <w:b w:val="0"/>
          <w:i w:val="0"/>
          <w:color w:val="000000"/>
          <w:sz w:val="28"/>
        </w:rPr>
        <w:t xml:space="preserve"> include decellularised xenograft and allograft tissue such as porcine heart valves and bovine pericardium, demineralised bone matrix, and processed collagen membranes, which provide a natural extracellular matrix architecture at the cost of variability and a residual immunogenic and infective risk.</w:t>
      </w:r>
    </w:p>
    <w:p>
      <w:pPr>
        <w:keepNext/>
        <w:spacing w:before="160" w:after="40"/>
      </w:pPr>
      <w:r>
        <w:rPr>
          <w:rFonts w:ascii="Comic Sans MS" w:hAnsi="Comic Sans MS" w:cs="Comic Sans MS" w:eastAsia="Comic Sans MS"/>
          <w:b/>
          <w:i w:val="0"/>
          <w:color w:val="000000"/>
          <w:sz w:val="28"/>
        </w:rPr>
        <w:t>6.4 Applications of Biomaterials in Pharmaceutical Formulations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Parenteral depot and implantable systems.</w:t>
      </w:r>
      <w:r>
        <w:rPr>
          <w:rFonts w:ascii="Comic Sans MS" w:hAnsi="Comic Sans MS" w:cs="Comic Sans MS" w:eastAsia="Comic Sans MS"/>
          <w:b w:val="0"/>
          <w:i w:val="0"/>
          <w:color w:val="000000"/>
          <w:sz w:val="28"/>
        </w:rPr>
        <w:t xml:space="preserve"> Biodegradable implants and microspheres release drug over weeks to months from a single administration, eliminating daily dosing and greatly improving compliance. The goserelin implant in a polylactide-co-glycolide rod, the leuprolide and triptorelin microsphere depots, and the risperidone and naltrexone microsphere products are established examples. </w:t>
      </w:r>
      <w:r>
        <w:rPr>
          <w:rFonts w:ascii="Comic Sans MS" w:hAnsi="Comic Sans MS" w:cs="Comic Sans MS" w:eastAsia="Comic Sans MS"/>
          <w:b/>
          <w:i w:val="0"/>
          <w:color w:val="000000"/>
          <w:sz w:val="28"/>
        </w:rPr>
        <w:t>In situ forming depots</w:t>
      </w:r>
      <w:r>
        <w:rPr>
          <w:rFonts w:ascii="Comic Sans MS" w:hAnsi="Comic Sans MS" w:cs="Comic Sans MS" w:eastAsia="Comic Sans MS"/>
          <w:b w:val="0"/>
          <w:i w:val="0"/>
          <w:color w:val="000000"/>
          <w:sz w:val="28"/>
        </w:rPr>
        <w:t>, in which a polymer solution in a biocompatible solvent precipitates on injection, avoid the need for a surgical implant.</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Microspheres, microcapsules and nanoparticles</w:t>
      </w:r>
      <w:r>
        <w:rPr>
          <w:rFonts w:ascii="Comic Sans MS" w:hAnsi="Comic Sans MS" w:cs="Comic Sans MS" w:eastAsia="Comic Sans MS"/>
          <w:b w:val="0"/>
          <w:i w:val="0"/>
          <w:color w:val="000000"/>
          <w:sz w:val="28"/>
        </w:rPr>
        <w:t xml:space="preserve"> for sustained release, for protection of labile drugs and proteins, and for targeting; surface modification with poly(ethylene glycol) or with ligands confers long circulation or active targeting.</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Hydrogels,</w:t>
      </w:r>
      <w:r>
        <w:rPr>
          <w:rFonts w:ascii="Comic Sans MS" w:hAnsi="Comic Sans MS" w:cs="Comic Sans MS" w:eastAsia="Comic Sans MS"/>
          <w:b w:val="0"/>
          <w:i w:val="0"/>
          <w:color w:val="000000"/>
          <w:sz w:val="28"/>
        </w:rPr>
        <w:t xml:space="preserve"> three-dimensional hydrophilic networks that swell in water, used in oral controlled release, in mucosal and ocular delivery, as stimulus-responsive systems responding to pH or temperature, and as cell-carrying matrices.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Transdermal and mucosal systems.</w:t>
      </w:r>
      <w:r>
        <w:rPr>
          <w:rFonts w:ascii="Comic Sans MS" w:hAnsi="Comic Sans MS" w:cs="Comic Sans MS" w:eastAsia="Comic Sans MS"/>
          <w:b w:val="0"/>
          <w:i w:val="0"/>
          <w:color w:val="000000"/>
          <w:sz w:val="28"/>
        </w:rPr>
        <w:t xml:space="preserve"> Polymeric backing films, pressure-sensitive adhesives and rate-controlling membranes of poly(ethylene-co-vinyl acetate); </w:t>
      </w:r>
      <w:r>
        <w:rPr>
          <w:rFonts w:ascii="Comic Sans MS" w:hAnsi="Comic Sans MS" w:cs="Comic Sans MS" w:eastAsia="Comic Sans MS"/>
          <w:b/>
          <w:i w:val="0"/>
          <w:color w:val="000000"/>
          <w:sz w:val="28"/>
        </w:rPr>
        <w:t>mucoadhesive</w:t>
      </w:r>
      <w:r>
        <w:rPr>
          <w:rFonts w:ascii="Comic Sans MS" w:hAnsi="Comic Sans MS" w:cs="Comic Sans MS" w:eastAsia="Comic Sans MS"/>
          <w:b w:val="0"/>
          <w:i w:val="0"/>
          <w:color w:val="000000"/>
          <w:sz w:val="28"/>
        </w:rPr>
        <w:t xml:space="preserve"> buccal, nasal, vaginal and ocular systems based on chitosan, carbomer, alginate and thiolated polymers; and </w:t>
      </w:r>
      <w:r>
        <w:rPr>
          <w:rFonts w:ascii="Comic Sans MS" w:hAnsi="Comic Sans MS" w:cs="Comic Sans MS" w:eastAsia="Comic Sans MS"/>
          <w:b/>
          <w:i w:val="0"/>
          <w:color w:val="000000"/>
          <w:sz w:val="28"/>
        </w:rPr>
        <w:t>microneedle arrays</w:t>
      </w:r>
      <w:r>
        <w:rPr>
          <w:rFonts w:ascii="Comic Sans MS" w:hAnsi="Comic Sans MS" w:cs="Comic Sans MS" w:eastAsia="Comic Sans MS"/>
          <w:b w:val="0"/>
          <w:i w:val="0"/>
          <w:color w:val="000000"/>
          <w:sz w:val="28"/>
        </w:rPr>
        <w:t xml:space="preserve"> fabricated from polymers, sugars or metals.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Ophthalmic systems.</w:t>
      </w:r>
      <w:r>
        <w:rPr>
          <w:rFonts w:ascii="Comic Sans MS" w:hAnsi="Comic Sans MS" w:cs="Comic Sans MS" w:eastAsia="Comic Sans MS"/>
          <w:b w:val="0"/>
          <w:i w:val="0"/>
          <w:color w:val="000000"/>
          <w:sz w:val="28"/>
        </w:rPr>
        <w:t xml:space="preserve"> The pilocarpine ocular insert, based on a poly(ethylene-co-vinyl acetate) membrane, was one of the earliest controlled-release devices; intravitreal implants delivering ganciclovir, dexamethasone and fluocinolone, both non-degradable and degradable, are now standard, together with punctal plugs and contact lens delivery systems.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Intrauterine and intravaginal systems,</w:t>
      </w:r>
      <w:r>
        <w:rPr>
          <w:rFonts w:ascii="Comic Sans MS" w:hAnsi="Comic Sans MS" w:cs="Comic Sans MS" w:eastAsia="Comic Sans MS"/>
          <w:b w:val="0"/>
          <w:i w:val="0"/>
          <w:color w:val="000000"/>
          <w:sz w:val="28"/>
        </w:rPr>
        <w:t xml:space="preserve"> such as the levonorgestrel-releasing intrauterine system and the etonogestrel-ethinylestradiol vaginal ring.</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Drug-eluting devices.</w:t>
      </w:r>
      <w:r>
        <w:rPr>
          <w:rFonts w:ascii="Comic Sans MS" w:hAnsi="Comic Sans MS" w:cs="Comic Sans MS" w:eastAsia="Comic Sans MS"/>
          <w:b w:val="0"/>
          <w:i w:val="0"/>
          <w:color w:val="000000"/>
          <w:sz w:val="28"/>
        </w:rPr>
        <w:t xml:space="preserve"> Coronary stents coated with a polymer carrying sirolimus, everolimus or zotarolimus, in which the polymer, whether durable or biodegradable, controls the release; antibiotic-loaded bone cement and antibiotic-impregnated catheters; and drug-eluting beads.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Implantable wafers and films,</w:t>
      </w:r>
      <w:r>
        <w:rPr>
          <w:rFonts w:ascii="Comic Sans MS" w:hAnsi="Comic Sans MS" w:cs="Comic Sans MS" w:eastAsia="Comic Sans MS"/>
          <w:b w:val="0"/>
          <w:i w:val="0"/>
          <w:color w:val="000000"/>
          <w:sz w:val="28"/>
        </w:rPr>
        <w:t xml:space="preserve"> the carmustine polyanhydride wafer for glioma being the prototype.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Conventional excipient roles.</w:t>
      </w:r>
      <w:r>
        <w:rPr>
          <w:rFonts w:ascii="Comic Sans MS" w:hAnsi="Comic Sans MS" w:cs="Comic Sans MS" w:eastAsia="Comic Sans MS"/>
          <w:b w:val="0"/>
          <w:i w:val="0"/>
          <w:color w:val="000000"/>
          <w:sz w:val="28"/>
        </w:rPr>
        <w:t xml:space="preserve"> Many biomaterials serve simultaneously as ordinary excipients: gelatin in capsule shells, cellulose derivatives in tablet matrices and coatings, and poly(ethylene glycol) as a solubiliser and plasticiser.</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Three-dimensional printing of dosage forms,</w:t>
      </w:r>
      <w:r>
        <w:rPr>
          <w:rFonts w:ascii="Comic Sans MS" w:hAnsi="Comic Sans MS" w:cs="Comic Sans MS" w:eastAsia="Comic Sans MS"/>
          <w:b w:val="0"/>
          <w:i w:val="0"/>
          <w:color w:val="000000"/>
          <w:sz w:val="28"/>
        </w:rPr>
        <w:t xml:space="preserve"> which uses polymeric biomaterials to produce personalised doses and complex release geometries.</w:t>
      </w:r>
    </w:p>
    <w:p>
      <w:pPr>
        <w:keepNext/>
        <w:spacing w:before="160" w:after="40"/>
      </w:pPr>
      <w:r>
        <w:rPr>
          <w:rFonts w:ascii="Comic Sans MS" w:hAnsi="Comic Sans MS" w:cs="Comic Sans MS" w:eastAsia="Comic Sans MS"/>
          <w:b/>
          <w:i w:val="0"/>
          <w:color w:val="000000"/>
          <w:sz w:val="28"/>
        </w:rPr>
        <w:t>6.5 Applications of Biomaterials in Medicine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Orthopaedics.</w:t>
      </w:r>
      <w:r>
        <w:rPr>
          <w:rFonts w:ascii="Comic Sans MS" w:hAnsi="Comic Sans MS" w:cs="Comic Sans MS" w:eastAsia="Comic Sans MS"/>
          <w:b w:val="0"/>
          <w:i w:val="0"/>
          <w:color w:val="000000"/>
          <w:sz w:val="28"/>
        </w:rPr>
        <w:t xml:space="preserve"> Total hip and knee prostheses combining a metal stem, a ceramic or metal bearing head and an ultra-high molecular weight polyethylene liner; bone plates, screws, nails and wires; poly(methyl methacrylate) bone cement; bone graft substitutes of hydroxyapatite, tricalcium phosphate and bioactive glass; absorbable fixation devices of polylactide; and spinal cages and artificial discs.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Dentistry.</w:t>
      </w:r>
      <w:r>
        <w:rPr>
          <w:rFonts w:ascii="Comic Sans MS" w:hAnsi="Comic Sans MS" w:cs="Comic Sans MS" w:eastAsia="Comic Sans MS"/>
          <w:b w:val="0"/>
          <w:i w:val="0"/>
          <w:color w:val="000000"/>
          <w:sz w:val="28"/>
        </w:rPr>
        <w:t xml:space="preserve"> Titanium endosseous implants, amalgam and composite resin restorations, glass ionomer cements, ceramic crowns and bridges, orthodontic wires of nickel-titanium, and guided tissue regeneration membranes.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Cardiovascular.</w:t>
      </w:r>
      <w:r>
        <w:rPr>
          <w:rFonts w:ascii="Comic Sans MS" w:hAnsi="Comic Sans MS" w:cs="Comic Sans MS" w:eastAsia="Comic Sans MS"/>
          <w:b w:val="0"/>
          <w:i w:val="0"/>
          <w:color w:val="000000"/>
          <w:sz w:val="28"/>
        </w:rPr>
        <w:t xml:space="preserve"> Mechanical heart valves with pyrolytic carbon occluders and bioprosthetic valves of glutaraldehyde-treated porcine or bovine tissue; vascular grafts of expanded PTFE and Dacron; bare-metal and drug-eluting stents; pacemaker and defibrillator housings and leads; vascular patches, occluders and ventricular assist devices; and oxygenator and haemodialysis membranes.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Ophthalmology.</w:t>
      </w:r>
      <w:r>
        <w:rPr>
          <w:rFonts w:ascii="Comic Sans MS" w:hAnsi="Comic Sans MS" w:cs="Comic Sans MS" w:eastAsia="Comic Sans MS"/>
          <w:b w:val="0"/>
          <w:i w:val="0"/>
          <w:color w:val="000000"/>
          <w:sz w:val="28"/>
        </w:rPr>
        <w:t xml:space="preserve"> Intraocular lenses of poly(methyl methacrylate), silicone or acrylic; rigid and soft contact lenses; corneal implants and keratoprostheses; scleral buckles; and glaucoma drainage devices.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Wound management and surgery.</w:t>
      </w:r>
      <w:r>
        <w:rPr>
          <w:rFonts w:ascii="Comic Sans MS" w:hAnsi="Comic Sans MS" w:cs="Comic Sans MS" w:eastAsia="Comic Sans MS"/>
          <w:b w:val="0"/>
          <w:i w:val="0"/>
          <w:color w:val="000000"/>
          <w:sz w:val="28"/>
        </w:rPr>
        <w:t xml:space="preserve"> Absorbable sutures of polyglycolide, polylactide-co-glycolide and polydioxanone, and non-absorbable sutures of polypropylene, nylon and silk; surgical meshes for hernia repair; tissue adhesives and sealants based on cyanoacrylate and fibrin; haemostatic agents of collagen, gelatin and oxidised cellulose; and advanced dressings of alginate, chitosan, hydrocolloid and hydrogel.</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Tissue engineering and regenerative medicine.</w:t>
      </w:r>
      <w:r>
        <w:rPr>
          <w:rFonts w:ascii="Comic Sans MS" w:hAnsi="Comic Sans MS" w:cs="Comic Sans MS" w:eastAsia="Comic Sans MS"/>
          <w:b w:val="0"/>
          <w:i w:val="0"/>
          <w:color w:val="000000"/>
          <w:sz w:val="28"/>
        </w:rPr>
        <w:t xml:space="preserve"> Porous, degradable scaffolds that provide temporary mechanical support and a template for cell attachment, proliferation and differentiation, fabricated by solvent casting and particulate leaching, gas foaming, phase separation, electrospinning of nanofibres, or additive manufacturing, and frequently combined with cells and with growth factors such as the bone morphogenetic proteins. Engineered skin substitutes and cartilage constructs are in clinical use.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Extracorporeal and diagnostic devices.</w:t>
      </w:r>
      <w:r>
        <w:rPr>
          <w:rFonts w:ascii="Comic Sans MS" w:hAnsi="Comic Sans MS" w:cs="Comic Sans MS" w:eastAsia="Comic Sans MS"/>
          <w:b w:val="0"/>
          <w:i w:val="0"/>
          <w:color w:val="000000"/>
          <w:sz w:val="28"/>
        </w:rPr>
        <w:t xml:space="preserve"> Haemodialysis and plasmapheresis membranes, blood bags and tubing, catheters of silicone and polyurethane, biosensor membranes, and the polymeric solid phases of diagnostic assays.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Neurological and sensory devices.</w:t>
      </w:r>
      <w:r>
        <w:rPr>
          <w:rFonts w:ascii="Comic Sans MS" w:hAnsi="Comic Sans MS" w:cs="Comic Sans MS" w:eastAsia="Comic Sans MS"/>
          <w:b w:val="0"/>
          <w:i w:val="0"/>
          <w:color w:val="000000"/>
          <w:sz w:val="28"/>
        </w:rPr>
        <w:t xml:space="preserve"> Cochlear implants, neural stimulation electrodes, hydrocephalus shunts and deep brain stimulation leads.</w:t>
      </w:r>
    </w:p>
    <w:p>
      <w:pPr>
        <w:keepNext/>
        <w:spacing w:before="160" w:after="40"/>
      </w:pPr>
      <w:r>
        <w:rPr>
          <w:rFonts w:ascii="Comic Sans MS" w:hAnsi="Comic Sans MS" w:cs="Comic Sans MS" w:eastAsia="Comic Sans MS"/>
          <w:b/>
          <w:i w:val="0"/>
          <w:color w:val="000000"/>
          <w:sz w:val="28"/>
        </w:rPr>
        <w:t>6.6 Safety Considerations of Biomaterials</w:t>
      </w:r>
    </w:p>
    <w:p>
      <w:pPr>
        <w:keepNext/>
        <w:spacing w:before="160" w:after="40"/>
      </w:pPr>
      <w:r>
        <w:rPr>
          <w:rFonts w:ascii="Comic Sans MS" w:hAnsi="Comic Sans MS" w:cs="Comic Sans MS" w:eastAsia="Comic Sans MS"/>
          <w:b/>
          <w:i w:val="0"/>
          <w:color w:val="000000"/>
          <w:sz w:val="28"/>
        </w:rPr>
        <w:t>6.6.1 The Host Response</w:t>
      </w:r>
    </w:p>
    <w:p>
      <w:pPr>
        <w:spacing w:after="160"/>
        <w:jc w:val="both"/>
      </w:pPr>
      <w:r>
        <w:rPr>
          <w:rFonts w:ascii="Comic Sans MS" w:hAnsi="Comic Sans MS" w:cs="Comic Sans MS" w:eastAsia="Comic Sans MS"/>
          <w:b w:val="0"/>
          <w:i w:val="0"/>
          <w:color w:val="000000"/>
          <w:sz w:val="28"/>
        </w:rPr>
        <w:t>The sequence of events following implantation is stereotyped and must be understood before safety can be assessed.</w:t>
      </w:r>
    </w:p>
    <w:p>
      <w:pPr>
        <w:tabs>
          <w:tab w:pos="720" w:val="left"/>
        </w:tabs>
        <w:spacing w:after="0"/>
        <w:ind w:left="720" w:hanging="360"/>
        <w:jc w:val="both"/>
      </w:pPr>
      <w:r>
        <w:rPr>
          <w:rFonts w:ascii="Comic Sans MS" w:hAnsi="Comic Sans MS" w:cs="Comic Sans MS" w:eastAsia="Comic Sans MS"/>
          <w:b/>
          <w:i w:val="0"/>
          <w:color w:val="000000"/>
          <w:sz w:val="28"/>
        </w:rPr>
        <w:t>1.</w:t>
      </w:r>
      <w:r>
        <w:rPr>
          <w:rFonts w:ascii="Comic Sans MS" w:hAnsi="Comic Sans MS" w:cs="Comic Sans MS" w:eastAsia="Comic Sans MS"/>
          <w:b w:val="0"/>
          <w:i w:val="0"/>
          <w:color w:val="000000"/>
          <w:sz w:val="28"/>
        </w:rPr>
        <w:tab/>
      </w:r>
      <w:r>
        <w:rPr>
          <w:rFonts w:ascii="Comic Sans MS" w:hAnsi="Comic Sans MS" w:cs="Comic Sans MS" w:eastAsia="Comic Sans MS"/>
          <w:b/>
          <w:i w:val="0"/>
          <w:color w:val="000000"/>
          <w:sz w:val="28"/>
        </w:rPr>
        <w:t>Protein adsorption.</w:t>
      </w:r>
      <w:r>
        <w:rPr>
          <w:rFonts w:ascii="Comic Sans MS" w:hAnsi="Comic Sans MS" w:cs="Comic Sans MS" w:eastAsia="Comic Sans MS"/>
          <w:b w:val="0"/>
          <w:i w:val="0"/>
          <w:color w:val="000000"/>
          <w:sz w:val="28"/>
        </w:rPr>
        <w:t xml:space="preserve"> Within seconds a layer of plasma proteins adsorbs onto the surface, and it is this layer, not the material itself, that cells subsequently recognise. The composition of the layer changes with time as lower-affinity proteins are displaced by higher-affinity ones, a phenomenon known as the </w:t>
      </w:r>
      <w:r>
        <w:rPr>
          <w:rFonts w:ascii="Comic Sans MS" w:hAnsi="Comic Sans MS" w:cs="Comic Sans MS" w:eastAsia="Comic Sans MS"/>
          <w:b/>
          <w:i w:val="0"/>
          <w:color w:val="000000"/>
          <w:sz w:val="28"/>
        </w:rPr>
        <w:t>Vroman effect.</w:t>
      </w:r>
      <w:r>
        <w:rPr>
          <w:rFonts w:ascii="Comic Sans MS" w:hAnsi="Comic Sans MS" w:cs="Comic Sans MS" w:eastAsia="Comic Sans MS"/>
          <w:b w:val="0"/>
          <w:i w:val="0"/>
          <w:color w:val="000000"/>
          <w:sz w:val="28"/>
        </w:rPr>
        <w:t xml:space="preserve"> Surface chemistry, charge, wettability, roughness and topography therefore determine the biological response indirectly, through the adsorbed protein layer.</w:t>
      </w:r>
    </w:p>
    <w:p>
      <w:pPr>
        <w:tabs>
          <w:tab w:pos="720" w:val="left"/>
        </w:tabs>
        <w:spacing w:after="0"/>
        <w:ind w:left="720" w:hanging="360"/>
        <w:jc w:val="both"/>
      </w:pPr>
      <w:r>
        <w:rPr>
          <w:rFonts w:ascii="Comic Sans MS" w:hAnsi="Comic Sans MS" w:cs="Comic Sans MS" w:eastAsia="Comic Sans MS"/>
          <w:b/>
          <w:i w:val="0"/>
          <w:color w:val="000000"/>
          <w:sz w:val="28"/>
        </w:rPr>
        <w:t>2.</w:t>
      </w:r>
      <w:r>
        <w:rPr>
          <w:rFonts w:ascii="Comic Sans MS" w:hAnsi="Comic Sans MS" w:cs="Comic Sans MS" w:eastAsia="Comic Sans MS"/>
          <w:b w:val="0"/>
          <w:i w:val="0"/>
          <w:color w:val="000000"/>
          <w:sz w:val="28"/>
        </w:rPr>
        <w:tab/>
      </w:r>
      <w:r>
        <w:rPr>
          <w:rFonts w:ascii="Comic Sans MS" w:hAnsi="Comic Sans MS" w:cs="Comic Sans MS" w:eastAsia="Comic Sans MS"/>
          <w:b/>
          <w:i w:val="0"/>
          <w:color w:val="000000"/>
          <w:sz w:val="28"/>
        </w:rPr>
        <w:t>Acute inflammation,</w:t>
      </w:r>
      <w:r>
        <w:rPr>
          <w:rFonts w:ascii="Comic Sans MS" w:hAnsi="Comic Sans MS" w:cs="Comic Sans MS" w:eastAsia="Comic Sans MS"/>
          <w:b w:val="0"/>
          <w:i w:val="0"/>
          <w:color w:val="000000"/>
          <w:sz w:val="28"/>
        </w:rPr>
        <w:t xml:space="preserve"> with neutrophil infiltration in response to the surgical injury and to the implant.</w:t>
      </w:r>
    </w:p>
    <w:p>
      <w:pPr>
        <w:tabs>
          <w:tab w:pos="720" w:val="left"/>
        </w:tabs>
        <w:spacing w:after="0"/>
        <w:ind w:left="720" w:hanging="360"/>
        <w:jc w:val="both"/>
      </w:pPr>
      <w:r>
        <w:rPr>
          <w:rFonts w:ascii="Comic Sans MS" w:hAnsi="Comic Sans MS" w:cs="Comic Sans MS" w:eastAsia="Comic Sans MS"/>
          <w:b/>
          <w:i w:val="0"/>
          <w:color w:val="000000"/>
          <w:sz w:val="28"/>
        </w:rPr>
        <w:t>3.</w:t>
      </w:r>
      <w:r>
        <w:rPr>
          <w:rFonts w:ascii="Comic Sans MS" w:hAnsi="Comic Sans MS" w:cs="Comic Sans MS" w:eastAsia="Comic Sans MS"/>
          <w:b w:val="0"/>
          <w:i w:val="0"/>
          <w:color w:val="000000"/>
          <w:sz w:val="28"/>
        </w:rPr>
        <w:tab/>
      </w:r>
      <w:r>
        <w:rPr>
          <w:rFonts w:ascii="Comic Sans MS" w:hAnsi="Comic Sans MS" w:cs="Comic Sans MS" w:eastAsia="Comic Sans MS"/>
          <w:b/>
          <w:i w:val="0"/>
          <w:color w:val="000000"/>
          <w:sz w:val="28"/>
        </w:rPr>
        <w:t>Chronic inflammation</w:t>
      </w:r>
      <w:r>
        <w:rPr>
          <w:rFonts w:ascii="Comic Sans MS" w:hAnsi="Comic Sans MS" w:cs="Comic Sans MS" w:eastAsia="Comic Sans MS"/>
          <w:b w:val="0"/>
          <w:i w:val="0"/>
          <w:color w:val="000000"/>
          <w:sz w:val="28"/>
        </w:rPr>
        <w:t xml:space="preserve"> and the </w:t>
      </w:r>
      <w:r>
        <w:rPr>
          <w:rFonts w:ascii="Comic Sans MS" w:hAnsi="Comic Sans MS" w:cs="Comic Sans MS" w:eastAsia="Comic Sans MS"/>
          <w:b/>
          <w:i w:val="0"/>
          <w:color w:val="000000"/>
          <w:sz w:val="28"/>
        </w:rPr>
        <w:t>foreign body reaction,</w:t>
      </w:r>
      <w:r>
        <w:rPr>
          <w:rFonts w:ascii="Comic Sans MS" w:hAnsi="Comic Sans MS" w:cs="Comic Sans MS" w:eastAsia="Comic Sans MS"/>
          <w:b w:val="0"/>
          <w:i w:val="0"/>
          <w:color w:val="000000"/>
          <w:sz w:val="28"/>
        </w:rPr>
        <w:t xml:space="preserve"> characterised by macrophages and multinucleate foreign body giant cells at the surface attempting, and failing, to phagocytose the implant, and releasing reactive oxygen species and degradative enzymes that can attack the material.</w:t>
      </w:r>
    </w:p>
    <w:p>
      <w:pPr>
        <w:tabs>
          <w:tab w:pos="720" w:val="left"/>
        </w:tabs>
        <w:spacing w:after="0"/>
        <w:ind w:left="720" w:hanging="360"/>
        <w:jc w:val="both"/>
      </w:pPr>
      <w:r>
        <w:rPr>
          <w:rFonts w:ascii="Comic Sans MS" w:hAnsi="Comic Sans MS" w:cs="Comic Sans MS" w:eastAsia="Comic Sans MS"/>
          <w:b/>
          <w:i w:val="0"/>
          <w:color w:val="000000"/>
          <w:sz w:val="28"/>
        </w:rPr>
        <w:t>4.</w:t>
      </w:r>
      <w:r>
        <w:rPr>
          <w:rFonts w:ascii="Comic Sans MS" w:hAnsi="Comic Sans MS" w:cs="Comic Sans MS" w:eastAsia="Comic Sans MS"/>
          <w:b w:val="0"/>
          <w:i w:val="0"/>
          <w:color w:val="000000"/>
          <w:sz w:val="28"/>
        </w:rPr>
        <w:tab/>
      </w:r>
      <w:r>
        <w:rPr>
          <w:rFonts w:ascii="Comic Sans MS" w:hAnsi="Comic Sans MS" w:cs="Comic Sans MS" w:eastAsia="Comic Sans MS"/>
          <w:b/>
          <w:i w:val="0"/>
          <w:color w:val="000000"/>
          <w:sz w:val="28"/>
        </w:rPr>
        <w:t>Granulation tissue formation and fibrous encapsulation.</w:t>
      </w:r>
      <w:r>
        <w:rPr>
          <w:rFonts w:ascii="Comic Sans MS" w:hAnsi="Comic Sans MS" w:cs="Comic Sans MS" w:eastAsia="Comic Sans MS"/>
          <w:b w:val="0"/>
          <w:i w:val="0"/>
          <w:color w:val="000000"/>
          <w:sz w:val="28"/>
        </w:rPr>
        <w:t xml:space="preserve"> A collagenous capsule walls off the implant. A thin capsule indicates good biocompatibility; a thick capsule indicates persistent irritation, and in a drug-releasing implant it can itself become a diffusion barrier that slows release.</w:t>
      </w:r>
    </w:p>
    <w:p>
      <w:pPr>
        <w:keepNext/>
        <w:spacing w:before="160" w:after="40"/>
      </w:pPr>
      <w:r>
        <w:rPr>
          <w:rFonts w:ascii="Comic Sans MS" w:hAnsi="Comic Sans MS" w:cs="Comic Sans MS" w:eastAsia="Comic Sans MS"/>
          <w:b/>
          <w:i w:val="0"/>
          <w:color w:val="000000"/>
          <w:sz w:val="28"/>
        </w:rPr>
        <w:t>6.6.2 Categories of Adverse Effect</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Cytotoxicity,</w:t>
      </w:r>
      <w:r>
        <w:rPr>
          <w:rFonts w:ascii="Comic Sans MS" w:hAnsi="Comic Sans MS" w:cs="Comic Sans MS" w:eastAsia="Comic Sans MS"/>
          <w:b w:val="0"/>
          <w:i w:val="0"/>
          <w:color w:val="000000"/>
          <w:sz w:val="28"/>
        </w:rPr>
        <w:t xml:space="preserve"> the direct killing of cells by the material or its leachables.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Local tissue reaction,</w:t>
      </w:r>
      <w:r>
        <w:rPr>
          <w:rFonts w:ascii="Comic Sans MS" w:hAnsi="Comic Sans MS" w:cs="Comic Sans MS" w:eastAsia="Comic Sans MS"/>
          <w:b w:val="0"/>
          <w:i w:val="0"/>
          <w:color w:val="000000"/>
          <w:sz w:val="28"/>
        </w:rPr>
        <w:t xml:space="preserve"> including irritation, excessive inflammation, necrosis and heavy fibrous encapsulation.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Sensitisation and allergy,</w:t>
      </w:r>
      <w:r>
        <w:rPr>
          <w:rFonts w:ascii="Comic Sans MS" w:hAnsi="Comic Sans MS" w:cs="Comic Sans MS" w:eastAsia="Comic Sans MS"/>
          <w:b w:val="0"/>
          <w:i w:val="0"/>
          <w:color w:val="000000"/>
          <w:sz w:val="28"/>
        </w:rPr>
        <w:t xml:space="preserve"> the classical example being nickel hypersensitivity from stainless steel and nickel-titanium alloys, and also reactions to natural rubber latex and to residual monomers.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Systemic toxicity,</w:t>
      </w:r>
      <w:r>
        <w:rPr>
          <w:rFonts w:ascii="Comic Sans MS" w:hAnsi="Comic Sans MS" w:cs="Comic Sans MS" w:eastAsia="Comic Sans MS"/>
          <w:b w:val="0"/>
          <w:i w:val="0"/>
          <w:color w:val="000000"/>
          <w:sz w:val="28"/>
        </w:rPr>
        <w:t xml:space="preserve"> acute and chronic, from absorbed leachables and degradation products.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Haemocompatibility problems</w:t>
      </w:r>
      <w:r>
        <w:rPr>
          <w:rFonts w:ascii="Comic Sans MS" w:hAnsi="Comic Sans MS" w:cs="Comic Sans MS" w:eastAsia="Comic Sans MS"/>
          <w:b w:val="0"/>
          <w:i w:val="0"/>
          <w:color w:val="000000"/>
          <w:sz w:val="28"/>
        </w:rPr>
        <w:t xml:space="preserve"> in blood-contacting devices: </w:t>
      </w:r>
      <w:r>
        <w:rPr>
          <w:rFonts w:ascii="Comic Sans MS" w:hAnsi="Comic Sans MS" w:cs="Comic Sans MS" w:eastAsia="Comic Sans MS"/>
          <w:b/>
          <w:i w:val="0"/>
          <w:color w:val="000000"/>
          <w:sz w:val="28"/>
        </w:rPr>
        <w:t>thrombogenicity</w:t>
      </w:r>
      <w:r>
        <w:rPr>
          <w:rFonts w:ascii="Comic Sans MS" w:hAnsi="Comic Sans MS" w:cs="Comic Sans MS" w:eastAsia="Comic Sans MS"/>
          <w:b w:val="0"/>
          <w:i w:val="0"/>
          <w:color w:val="000000"/>
          <w:sz w:val="28"/>
        </w:rPr>
        <w:t xml:space="preserve">, arising from platelet adhesion and activation of the coagulation cascade on the adsorbed protein layer; </w:t>
      </w:r>
      <w:r>
        <w:rPr>
          <w:rFonts w:ascii="Comic Sans MS" w:hAnsi="Comic Sans MS" w:cs="Comic Sans MS" w:eastAsia="Comic Sans MS"/>
          <w:b/>
          <w:i w:val="0"/>
          <w:color w:val="000000"/>
          <w:sz w:val="28"/>
        </w:rPr>
        <w:t>haemolysis</w:t>
      </w:r>
      <w:r>
        <w:rPr>
          <w:rFonts w:ascii="Comic Sans MS" w:hAnsi="Comic Sans MS" w:cs="Comic Sans MS" w:eastAsia="Comic Sans MS"/>
          <w:b w:val="0"/>
          <w:i w:val="0"/>
          <w:color w:val="000000"/>
          <w:sz w:val="28"/>
        </w:rPr>
        <w:t>; complement activation; and embolisation.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Immunogenicity,</w:t>
      </w:r>
      <w:r>
        <w:rPr>
          <w:rFonts w:ascii="Comic Sans MS" w:hAnsi="Comic Sans MS" w:cs="Comic Sans MS" w:eastAsia="Comic Sans MS"/>
          <w:b w:val="0"/>
          <w:i w:val="0"/>
          <w:color w:val="000000"/>
          <w:sz w:val="28"/>
        </w:rPr>
        <w:t xml:space="preserve"> particularly with materials of animal origin and with protein-based materials, and adjuvant effects that enhance immune responses to associated proteins.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Genotoxicity and carcinogenicity,</w:t>
      </w:r>
      <w:r>
        <w:rPr>
          <w:rFonts w:ascii="Comic Sans MS" w:hAnsi="Comic Sans MS" w:cs="Comic Sans MS" w:eastAsia="Comic Sans MS"/>
          <w:b w:val="0"/>
          <w:i w:val="0"/>
          <w:color w:val="000000"/>
          <w:sz w:val="28"/>
        </w:rPr>
        <w:t xml:space="preserve"> including the experimental phenomenon of solid-state carcinogenesis in rodents, and the risk from residual monomers and degradation products.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Reproductive and developmental toxicity,</w:t>
      </w:r>
      <w:r>
        <w:rPr>
          <w:rFonts w:ascii="Comic Sans MS" w:hAnsi="Comic Sans MS" w:cs="Comic Sans MS" w:eastAsia="Comic Sans MS"/>
          <w:b w:val="0"/>
          <w:i w:val="0"/>
          <w:color w:val="000000"/>
          <w:sz w:val="28"/>
        </w:rPr>
        <w:t xml:space="preserve"> where relevant to the site and duration of contact.</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Infection.</w:t>
      </w:r>
      <w:r>
        <w:rPr>
          <w:rFonts w:ascii="Comic Sans MS" w:hAnsi="Comic Sans MS" w:cs="Comic Sans MS" w:eastAsia="Comic Sans MS"/>
          <w:b w:val="0"/>
          <w:i w:val="0"/>
          <w:color w:val="000000"/>
          <w:sz w:val="28"/>
        </w:rPr>
        <w:t xml:space="preserve"> Implants provide a surface for bacterial adhesion and </w:t>
      </w:r>
      <w:r>
        <w:rPr>
          <w:rFonts w:ascii="Comic Sans MS" w:hAnsi="Comic Sans MS" w:cs="Comic Sans MS" w:eastAsia="Comic Sans MS"/>
          <w:b/>
          <w:i w:val="0"/>
          <w:color w:val="000000"/>
          <w:sz w:val="28"/>
        </w:rPr>
        <w:t>biofilm</w:t>
      </w:r>
      <w:r>
        <w:rPr>
          <w:rFonts w:ascii="Comic Sans MS" w:hAnsi="Comic Sans MS" w:cs="Comic Sans MS" w:eastAsia="Comic Sans MS"/>
          <w:b w:val="0"/>
          <w:i w:val="0"/>
          <w:color w:val="000000"/>
          <w:sz w:val="28"/>
        </w:rPr>
        <w:t xml:space="preserve"> formation, within which organisms are largely protected from antibiotics and from host defences; this is one of the commonest and most serious complications of implanted devices.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Mechanical failure and its biological consequences,</w:t>
      </w:r>
      <w:r>
        <w:rPr>
          <w:rFonts w:ascii="Comic Sans MS" w:hAnsi="Comic Sans MS" w:cs="Comic Sans MS" w:eastAsia="Comic Sans MS"/>
          <w:b w:val="0"/>
          <w:i w:val="0"/>
          <w:color w:val="000000"/>
          <w:sz w:val="28"/>
        </w:rPr>
        <w:t xml:space="preserve"> including wear debris from polyethylene bearings, which provokes macrophage-mediated </w:t>
      </w:r>
      <w:r>
        <w:rPr>
          <w:rFonts w:ascii="Comic Sans MS" w:hAnsi="Comic Sans MS" w:cs="Comic Sans MS" w:eastAsia="Comic Sans MS"/>
          <w:b/>
          <w:i w:val="0"/>
          <w:color w:val="000000"/>
          <w:sz w:val="28"/>
        </w:rPr>
        <w:t>osteolysis</w:t>
      </w:r>
      <w:r>
        <w:rPr>
          <w:rFonts w:ascii="Comic Sans MS" w:hAnsi="Comic Sans MS" w:cs="Comic Sans MS" w:eastAsia="Comic Sans MS"/>
          <w:b w:val="0"/>
          <w:i w:val="0"/>
          <w:color w:val="000000"/>
          <w:sz w:val="28"/>
        </w:rPr>
        <w:t xml:space="preserve"> and loosening of joint prostheses, fatigue fracture, and stress shielding.</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Effects specific to degradation.</w:t>
      </w:r>
      <w:r>
        <w:rPr>
          <w:rFonts w:ascii="Comic Sans MS" w:hAnsi="Comic Sans MS" w:cs="Comic Sans MS" w:eastAsia="Comic Sans MS"/>
          <w:b w:val="0"/>
          <w:i w:val="0"/>
          <w:color w:val="000000"/>
          <w:sz w:val="28"/>
        </w:rPr>
        <w:t xml:space="preserve"> Accumulation of acidic degradation products of polyesters lowers the local pH, which can cause tissue irritation and, inside a microsphere, can denature an encapsulated protein; the exothermic polymerisation of poly(methyl methacrylate) bone cement generates heat and releases methyl methacrylate monomer, with recognised cardiovascular effects; and metallic corrosion releases metal ions.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Residues of manufacture and sterilisation,</w:t>
      </w:r>
      <w:r>
        <w:rPr>
          <w:rFonts w:ascii="Comic Sans MS" w:hAnsi="Comic Sans MS" w:cs="Comic Sans MS" w:eastAsia="Comic Sans MS"/>
          <w:b w:val="0"/>
          <w:i w:val="0"/>
          <w:color w:val="000000"/>
          <w:sz w:val="28"/>
        </w:rPr>
        <w:t xml:space="preserve"> including residual solvents, ethylene oxide and its chlorohydrin, endotoxin, catalysts such as the stannous octoate used in polyester synthesis, monomers, plasticisers and particulates.</w:t>
      </w:r>
    </w:p>
    <w:p>
      <w:pPr>
        <w:keepNext/>
        <w:spacing w:before="160" w:after="40"/>
      </w:pPr>
      <w:r>
        <w:rPr>
          <w:rFonts w:ascii="Comic Sans MS" w:hAnsi="Comic Sans MS" w:cs="Comic Sans MS" w:eastAsia="Comic Sans MS"/>
          <w:b/>
          <w:i w:val="0"/>
          <w:color w:val="000000"/>
          <w:sz w:val="28"/>
        </w:rPr>
        <w:t>6.6.3 Evaluation of Safety</w:t>
      </w:r>
    </w:p>
    <w:p>
      <w:pPr>
        <w:spacing w:after="160"/>
        <w:jc w:val="both"/>
      </w:pPr>
      <w:r>
        <w:rPr>
          <w:rFonts w:ascii="Comic Sans MS" w:hAnsi="Comic Sans MS" w:cs="Comic Sans MS" w:eastAsia="Comic Sans MS"/>
          <w:b w:val="0"/>
          <w:i w:val="0"/>
          <w:color w:val="000000"/>
          <w:sz w:val="28"/>
        </w:rPr>
        <w:t xml:space="preserve">Biological evaluation is conducted under the </w:t>
      </w:r>
      <w:r>
        <w:rPr>
          <w:rFonts w:ascii="Comic Sans MS" w:hAnsi="Comic Sans MS" w:cs="Comic Sans MS" w:eastAsia="Comic Sans MS"/>
          <w:b/>
          <w:i w:val="0"/>
          <w:color w:val="000000"/>
          <w:sz w:val="28"/>
        </w:rPr>
        <w:t>ISO 10993 series</w:t>
      </w:r>
      <w:r>
        <w:rPr>
          <w:rFonts w:ascii="Comic Sans MS" w:hAnsi="Comic Sans MS" w:cs="Comic Sans MS" w:eastAsia="Comic Sans MS"/>
          <w:b w:val="0"/>
          <w:i w:val="0"/>
          <w:color w:val="000000"/>
          <w:sz w:val="28"/>
        </w:rPr>
        <w:t xml:space="preserve">, adopted in India through the Medical Devices Rules and by the Central Drugs Standard Control Organisation, and complemented by the pharmacopoeial biological reactivity tests, such as the United States Pharmacopeia general chapters on in vitro and in vivo biological reactivity and on plastic packaging systems. The approach is risk-based, and the tests required are determined by the </w:t>
      </w:r>
      <w:r>
        <w:rPr>
          <w:rFonts w:ascii="Comic Sans MS" w:hAnsi="Comic Sans MS" w:cs="Comic Sans MS" w:eastAsia="Comic Sans MS"/>
          <w:b/>
          <w:i w:val="0"/>
          <w:color w:val="000000"/>
          <w:sz w:val="28"/>
        </w:rPr>
        <w:t>nature of body contact</w:t>
      </w:r>
      <w:r>
        <w:rPr>
          <w:rFonts w:ascii="Comic Sans MS" w:hAnsi="Comic Sans MS" w:cs="Comic Sans MS" w:eastAsia="Comic Sans MS"/>
          <w:b w:val="0"/>
          <w:i w:val="0"/>
          <w:color w:val="000000"/>
          <w:sz w:val="28"/>
        </w:rPr>
        <w:t xml:space="preserve"> (surface, external communicating or implant), the </w:t>
      </w:r>
      <w:r>
        <w:rPr>
          <w:rFonts w:ascii="Comic Sans MS" w:hAnsi="Comic Sans MS" w:cs="Comic Sans MS" w:eastAsia="Comic Sans MS"/>
          <w:b/>
          <w:i w:val="0"/>
          <w:color w:val="000000"/>
          <w:sz w:val="28"/>
        </w:rPr>
        <w:t>duration of contact</w:t>
      </w:r>
      <w:r>
        <w:rPr>
          <w:rFonts w:ascii="Comic Sans MS" w:hAnsi="Comic Sans MS" w:cs="Comic Sans MS" w:eastAsia="Comic Sans MS"/>
          <w:b w:val="0"/>
          <w:i w:val="0"/>
          <w:color w:val="000000"/>
          <w:sz w:val="28"/>
        </w:rPr>
        <w:t xml:space="preserve"> (limited, up to 24 hours; prolonged, up to 30 days; long term, beyond 30 days) and the intended use.</w:t>
      </w:r>
    </w:p>
    <w:p>
      <w:pPr>
        <w:spacing w:after="160"/>
        <w:jc w:val="both"/>
      </w:pPr>
      <w:r>
        <w:rPr>
          <w:rFonts w:ascii="Comic Sans MS" w:hAnsi="Comic Sans MS" w:cs="Comic Sans MS" w:eastAsia="Comic Sans MS"/>
          <w:b w:val="0"/>
          <w:i w:val="0"/>
          <w:color w:val="000000"/>
          <w:sz w:val="28"/>
        </w:rPr>
        <w:t>The evaluation normally comprises: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Material characterisation and chemical characterisation</w:t>
      </w:r>
      <w:r>
        <w:rPr>
          <w:rFonts w:ascii="Comic Sans MS" w:hAnsi="Comic Sans MS" w:cs="Comic Sans MS" w:eastAsia="Comic Sans MS"/>
          <w:b w:val="0"/>
          <w:i w:val="0"/>
          <w:color w:val="000000"/>
          <w:sz w:val="28"/>
        </w:rPr>
        <w:t xml:space="preserve"> of the finished, sterilised device, with identification and toxicological risk assessment of extractables and leachables, which is now the preferred first step and can reduce the need for animal testing.</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In vitro cytotoxicity</w:t>
      </w:r>
      <w:r>
        <w:rPr>
          <w:rFonts w:ascii="Comic Sans MS" w:hAnsi="Comic Sans MS" w:cs="Comic Sans MS" w:eastAsia="Comic Sans MS"/>
          <w:b w:val="0"/>
          <w:i w:val="0"/>
          <w:color w:val="000000"/>
          <w:sz w:val="28"/>
        </w:rPr>
        <w:t>, by direct contact, agar diffusion or elution methods.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Sensitisation</w:t>
      </w:r>
      <w:r>
        <w:rPr>
          <w:rFonts w:ascii="Comic Sans MS" w:hAnsi="Comic Sans MS" w:cs="Comic Sans MS" w:eastAsia="Comic Sans MS"/>
          <w:b w:val="0"/>
          <w:i w:val="0"/>
          <w:color w:val="000000"/>
          <w:sz w:val="28"/>
        </w:rPr>
        <w:t xml:space="preserve"> and </w:t>
      </w:r>
      <w:r>
        <w:rPr>
          <w:rFonts w:ascii="Comic Sans MS" w:hAnsi="Comic Sans MS" w:cs="Comic Sans MS" w:eastAsia="Comic Sans MS"/>
          <w:b/>
          <w:i w:val="0"/>
          <w:color w:val="000000"/>
          <w:sz w:val="28"/>
        </w:rPr>
        <w:t>irritation or intracutaneous reactivity.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Acute, subacute, subchronic and chronic systemic toxicity.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Genotoxicity</w:t>
      </w:r>
      <w:r>
        <w:rPr>
          <w:rFonts w:ascii="Comic Sans MS" w:hAnsi="Comic Sans MS" w:cs="Comic Sans MS" w:eastAsia="Comic Sans MS"/>
          <w:b w:val="0"/>
          <w:i w:val="0"/>
          <w:color w:val="000000"/>
          <w:sz w:val="28"/>
        </w:rPr>
        <w:t xml:space="preserve">, and </w:t>
      </w:r>
      <w:r>
        <w:rPr>
          <w:rFonts w:ascii="Comic Sans MS" w:hAnsi="Comic Sans MS" w:cs="Comic Sans MS" w:eastAsia="Comic Sans MS"/>
          <w:b/>
          <w:i w:val="0"/>
          <w:color w:val="000000"/>
          <w:sz w:val="28"/>
        </w:rPr>
        <w:t>carcinogenicity</w:t>
      </w:r>
      <w:r>
        <w:rPr>
          <w:rFonts w:ascii="Comic Sans MS" w:hAnsi="Comic Sans MS" w:cs="Comic Sans MS" w:eastAsia="Comic Sans MS"/>
          <w:b w:val="0"/>
          <w:i w:val="0"/>
          <w:color w:val="000000"/>
          <w:sz w:val="28"/>
        </w:rPr>
        <w:t xml:space="preserve"> for long-term implants where indicated.</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Implantation studies</w:t>
      </w:r>
      <w:r>
        <w:rPr>
          <w:rFonts w:ascii="Comic Sans MS" w:hAnsi="Comic Sans MS" w:cs="Comic Sans MS" w:eastAsia="Comic Sans MS"/>
          <w:b w:val="0"/>
          <w:i w:val="0"/>
          <w:color w:val="000000"/>
          <w:sz w:val="28"/>
        </w:rPr>
        <w:t>, with histopathological assessment of the local tissue response at intervals matched to the degradation profile.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Haemocompatibility</w:t>
      </w:r>
      <w:r>
        <w:rPr>
          <w:rFonts w:ascii="Comic Sans MS" w:hAnsi="Comic Sans MS" w:cs="Comic Sans MS" w:eastAsia="Comic Sans MS"/>
          <w:b w:val="0"/>
          <w:i w:val="0"/>
          <w:color w:val="000000"/>
          <w:sz w:val="28"/>
        </w:rPr>
        <w:t>, including thrombosis, coagulation, platelet and complement activation and haemolysis, for blood-contacting devices.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Pyrogenicity and endotoxin testing</w:t>
      </w:r>
      <w:r>
        <w:rPr>
          <w:rFonts w:ascii="Comic Sans MS" w:hAnsi="Comic Sans MS" w:cs="Comic Sans MS" w:eastAsia="Comic Sans MS"/>
          <w:b w:val="0"/>
          <w:i w:val="0"/>
          <w:color w:val="000000"/>
          <w:sz w:val="28"/>
        </w:rPr>
        <w:t xml:space="preserve">, and validation of </w:t>
      </w:r>
      <w:r>
        <w:rPr>
          <w:rFonts w:ascii="Comic Sans MS" w:hAnsi="Comic Sans MS" w:cs="Comic Sans MS" w:eastAsia="Comic Sans MS"/>
          <w:b/>
          <w:i w:val="0"/>
          <w:color w:val="000000"/>
          <w:sz w:val="28"/>
        </w:rPr>
        <w:t>sterilisation</w:t>
      </w:r>
      <w:r>
        <w:rPr>
          <w:rFonts w:ascii="Comic Sans MS" w:hAnsi="Comic Sans MS" w:cs="Comic Sans MS" w:eastAsia="Comic Sans MS"/>
          <w:b w:val="0"/>
          <w:i w:val="0"/>
          <w:color w:val="000000"/>
          <w:sz w:val="28"/>
        </w:rPr>
        <w:t xml:space="preserve"> with determination of residuals.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Degradation studies</w:t>
      </w:r>
      <w:r>
        <w:rPr>
          <w:rFonts w:ascii="Comic Sans MS" w:hAnsi="Comic Sans MS" w:cs="Comic Sans MS" w:eastAsia="Comic Sans MS"/>
          <w:b w:val="0"/>
          <w:i w:val="0"/>
          <w:color w:val="000000"/>
          <w:sz w:val="28"/>
        </w:rPr>
        <w:t>, both in vitro and in vivo, with identification of the degradation products and toxicological assessment of each, together with determination of their kinetics, since safety depends on the rate at which they are generated as well as on their identity.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Reproductive and developmental toxicity</w:t>
      </w:r>
      <w:r>
        <w:rPr>
          <w:rFonts w:ascii="Comic Sans MS" w:hAnsi="Comic Sans MS" w:cs="Comic Sans MS" w:eastAsia="Comic Sans MS"/>
          <w:b w:val="0"/>
          <w:i w:val="0"/>
          <w:color w:val="000000"/>
          <w:sz w:val="28"/>
        </w:rPr>
        <w:t xml:space="preserve"> where the application warrants it.</w:t>
      </w:r>
    </w:p>
    <w:p>
      <w:pPr>
        <w:spacing w:after="160"/>
        <w:jc w:val="both"/>
      </w:pPr>
      <w:r>
        <w:rPr>
          <w:rFonts w:ascii="Comic Sans MS" w:hAnsi="Comic Sans MS" w:cs="Comic Sans MS" w:eastAsia="Comic Sans MS"/>
          <w:b w:val="0"/>
          <w:i w:val="0"/>
          <w:color w:val="000000"/>
          <w:sz w:val="28"/>
        </w:rPr>
        <w:t xml:space="preserve">A crucial principle is that the material must be evaluated in its </w:t>
      </w:r>
      <w:r>
        <w:rPr>
          <w:rFonts w:ascii="Comic Sans MS" w:hAnsi="Comic Sans MS" w:cs="Comic Sans MS" w:eastAsia="Comic Sans MS"/>
          <w:b/>
          <w:i w:val="0"/>
          <w:color w:val="000000"/>
          <w:sz w:val="28"/>
        </w:rPr>
        <w:t>final, processed and sterilised form</w:t>
      </w:r>
      <w:r>
        <w:rPr>
          <w:rFonts w:ascii="Comic Sans MS" w:hAnsi="Comic Sans MS" w:cs="Comic Sans MS" w:eastAsia="Comic Sans MS"/>
          <w:b w:val="0"/>
          <w:i w:val="0"/>
          <w:color w:val="000000"/>
          <w:sz w:val="28"/>
        </w:rPr>
        <w:t>, because processing and sterilisation alter surface chemistry, molecular weight, crystallinity and residual content. Gamma irradiation, for example, reduces the molecular weight of polyesters and thereby accelerates their degradation, while ethylene oxide leaves toxic residues that must be removed and controlled.</w:t>
      </w:r>
    </w:p>
    <w:p>
      <w:pPr>
        <w:keepNext/>
        <w:spacing w:before="160" w:after="40"/>
      </w:pPr>
      <w:r>
        <w:rPr>
          <w:rFonts w:ascii="Comic Sans MS" w:hAnsi="Comic Sans MS" w:cs="Comic Sans MS" w:eastAsia="Comic Sans MS"/>
          <w:b/>
          <w:i w:val="0"/>
          <w:color w:val="000000"/>
          <w:sz w:val="28"/>
        </w:rPr>
        <w:t>6.7 Mechanism of Biodegradation</w:t>
      </w:r>
    </w:p>
    <w:p>
      <w:pPr>
        <w:keepNext/>
        <w:spacing w:before="160" w:after="40"/>
      </w:pPr>
      <w:r>
        <w:rPr>
          <w:rFonts w:ascii="Comic Sans MS" w:hAnsi="Comic Sans MS" w:cs="Comic Sans MS" w:eastAsia="Comic Sans MS"/>
          <w:b/>
          <w:i w:val="0"/>
          <w:color w:val="000000"/>
          <w:sz w:val="28"/>
        </w:rPr>
        <w:t>6.7.1 Terminology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Biodegradation.</w:t>
      </w:r>
      <w:r>
        <w:rPr>
          <w:rFonts w:ascii="Comic Sans MS" w:hAnsi="Comic Sans MS" w:cs="Comic Sans MS" w:eastAsia="Comic Sans MS"/>
          <w:b w:val="0"/>
          <w:i w:val="0"/>
          <w:color w:val="000000"/>
          <w:sz w:val="28"/>
        </w:rPr>
        <w:t xml:space="preserve"> Breakdown of the material mediated by the biological environment, whether by simple hydrolysis in body fluid or by enzymatic attack.</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Bioerosion.</w:t>
      </w:r>
      <w:r>
        <w:rPr>
          <w:rFonts w:ascii="Comic Sans MS" w:hAnsi="Comic Sans MS" w:cs="Comic Sans MS" w:eastAsia="Comic Sans MS"/>
          <w:b w:val="0"/>
          <w:i w:val="0"/>
          <w:color w:val="000000"/>
          <w:sz w:val="28"/>
        </w:rPr>
        <w:t xml:space="preserve"> Loss of material from the surface or bulk, whether or not accompanied by chemical cleavage; it therefore includes dissolution of a water-soluble polymer.</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Bioresorption and bioabsorption.</w:t>
      </w:r>
      <w:r>
        <w:rPr>
          <w:rFonts w:ascii="Comic Sans MS" w:hAnsi="Comic Sans MS" w:cs="Comic Sans MS" w:eastAsia="Comic Sans MS"/>
          <w:b w:val="0"/>
          <w:i w:val="0"/>
          <w:color w:val="000000"/>
          <w:sz w:val="28"/>
        </w:rPr>
        <w:t xml:space="preserve"> The degradation products are removed by cellular activity or metabolic pathways, so that the material disappears entirely from the implantation site.</w:t>
      </w:r>
    </w:p>
    <w:p>
      <w:pPr>
        <w:keepNext/>
        <w:spacing w:before="160" w:after="40"/>
      </w:pPr>
      <w:r>
        <w:rPr>
          <w:rFonts w:ascii="Comic Sans MS" w:hAnsi="Comic Sans MS" w:cs="Comic Sans MS" w:eastAsia="Comic Sans MS"/>
          <w:b/>
          <w:i w:val="0"/>
          <w:color w:val="000000"/>
          <w:sz w:val="28"/>
        </w:rPr>
        <w:t>6.7.2 Chemical Mechanisms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Passive (non-enzymatic) hydrolysis.</w:t>
      </w:r>
      <w:r>
        <w:rPr>
          <w:rFonts w:ascii="Comic Sans MS" w:hAnsi="Comic Sans MS" w:cs="Comic Sans MS" w:eastAsia="Comic Sans MS"/>
          <w:b w:val="0"/>
          <w:i w:val="0"/>
          <w:color w:val="000000"/>
          <w:sz w:val="28"/>
        </w:rPr>
        <w:t xml:space="preserve"> The dominant mechanism for the synthetic polyesters. Water penetrates the matrix and cleaves the hydrolytically labile ester bonds, reducing the molecular weight until the fragments become water soluble and can diffuse away. Because water uptake is fast relative to ester cleavage in PLGA, degradation occurs throughout the matrix, that is by </w:t>
      </w:r>
      <w:r>
        <w:rPr>
          <w:rFonts w:ascii="Comic Sans MS" w:hAnsi="Comic Sans MS" w:cs="Comic Sans MS" w:eastAsia="Comic Sans MS"/>
          <w:b/>
          <w:i w:val="0"/>
          <w:color w:val="000000"/>
          <w:sz w:val="28"/>
        </w:rPr>
        <w:t>bulk degradation.</w:t>
      </w:r>
      <w:r>
        <w:rPr>
          <w:rFonts w:ascii="Comic Sans MS" w:hAnsi="Comic Sans MS" w:cs="Comic Sans MS" w:eastAsia="Comic Sans MS"/>
          <w:b w:val="0"/>
          <w:i w:val="0"/>
          <w:color w:val="000000"/>
          <w:sz w:val="28"/>
        </w:rPr>
        <w:t xml:space="preserve"> A characteristic and important feature is </w:t>
      </w:r>
      <w:r>
        <w:rPr>
          <w:rFonts w:ascii="Comic Sans MS" w:hAnsi="Comic Sans MS" w:cs="Comic Sans MS" w:eastAsia="Comic Sans MS"/>
          <w:b/>
          <w:i w:val="0"/>
          <w:color w:val="000000"/>
          <w:sz w:val="28"/>
        </w:rPr>
        <w:t>autocatalysis</w:t>
      </w:r>
      <w:r>
        <w:rPr>
          <w:rFonts w:ascii="Comic Sans MS" w:hAnsi="Comic Sans MS" w:cs="Comic Sans MS" w:eastAsia="Comic Sans MS"/>
          <w:b w:val="0"/>
          <w:i w:val="0"/>
          <w:color w:val="000000"/>
          <w:sz w:val="28"/>
        </w:rPr>
        <w:t>: the carboxylic acid end groups generated by cleavage catalyse further hydrolysis, and because they cannot escape readily from the interior, the centre of a large device degrades faster than its surface, sometimes hollowing out the device and producing a sudden release of drug.</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Enzymatic degradation.</w:t>
      </w:r>
      <w:r>
        <w:rPr>
          <w:rFonts w:ascii="Comic Sans MS" w:hAnsi="Comic Sans MS" w:cs="Comic Sans MS" w:eastAsia="Comic Sans MS"/>
          <w:b w:val="0"/>
          <w:i w:val="0"/>
          <w:color w:val="000000"/>
          <w:sz w:val="28"/>
        </w:rPr>
        <w:t xml:space="preserve"> The dominant mechanism for natural polymers: collagenases act on collagen, lysozyme on chitosan, amylases on starch, hyaluronidase on hyaluronic acid, and esterases contribute to the degradation of poly(epsilon-caprolactone) and of some polyesters. Because enzyme concentration varies between individuals and between sites, enzymatic degradation is inherently more variable than passive hydrolysis, which is one reason why synthetic polyesters are preferred for depot products requiring reproducible release.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Oxidative degradation.</w:t>
      </w:r>
      <w:r>
        <w:rPr>
          <w:rFonts w:ascii="Comic Sans MS" w:hAnsi="Comic Sans MS" w:cs="Comic Sans MS" w:eastAsia="Comic Sans MS"/>
          <w:b w:val="0"/>
          <w:i w:val="0"/>
          <w:color w:val="000000"/>
          <w:sz w:val="28"/>
        </w:rPr>
        <w:t xml:space="preserve"> Reactive oxygen species and hypochlorite released by inflammatory cells attack susceptible backbones, notably polyurethanes and polyethers, producing environmental stress cracking of pacemaker leads and catheters.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Physical dissolution and disentanglement,</w:t>
      </w:r>
      <w:r>
        <w:rPr>
          <w:rFonts w:ascii="Comic Sans MS" w:hAnsi="Comic Sans MS" w:cs="Comic Sans MS" w:eastAsia="Comic Sans MS"/>
          <w:b w:val="0"/>
          <w:i w:val="0"/>
          <w:color w:val="000000"/>
          <w:sz w:val="28"/>
        </w:rPr>
        <w:t xml:space="preserve"> for water-soluble polymers, and </w:t>
      </w:r>
      <w:r>
        <w:rPr>
          <w:rFonts w:ascii="Comic Sans MS" w:hAnsi="Comic Sans MS" w:cs="Comic Sans MS" w:eastAsia="Comic Sans MS"/>
          <w:b/>
          <w:i w:val="0"/>
          <w:color w:val="000000"/>
          <w:sz w:val="28"/>
        </w:rPr>
        <w:t>corrosion</w:t>
      </w:r>
      <w:r>
        <w:rPr>
          <w:rFonts w:ascii="Comic Sans MS" w:hAnsi="Comic Sans MS" w:cs="Comic Sans MS" w:eastAsia="Comic Sans MS"/>
          <w:b w:val="0"/>
          <w:i w:val="0"/>
          <w:color w:val="000000"/>
          <w:sz w:val="28"/>
        </w:rPr>
        <w:t xml:space="preserve"> for metals, in which the electrochemical release of metal ions is the analogous process.</w:t>
      </w:r>
    </w:p>
    <w:p>
      <w:pPr>
        <w:keepNext/>
        <w:spacing w:before="160" w:after="40"/>
      </w:pPr>
      <w:r>
        <w:rPr>
          <w:rFonts w:ascii="Comic Sans MS" w:hAnsi="Comic Sans MS" w:cs="Comic Sans MS" w:eastAsia="Comic Sans MS"/>
          <w:b/>
          <w:i w:val="0"/>
          <w:color w:val="000000"/>
          <w:sz w:val="28"/>
        </w:rPr>
        <w:t>6.7.3 Surface versus Bulk Erosion</w:t>
      </w:r>
    </w:p>
    <w:p>
      <w:pPr>
        <w:spacing w:after="160"/>
        <w:jc w:val="both"/>
      </w:pPr>
      <w:r>
        <w:rPr>
          <w:rFonts w:ascii="Comic Sans MS" w:hAnsi="Comic Sans MS" w:cs="Comic Sans MS" w:eastAsia="Comic Sans MS"/>
          <w:b w:val="0"/>
          <w:i w:val="0"/>
          <w:color w:val="000000"/>
          <w:sz w:val="28"/>
        </w:rPr>
        <w:t>The distinction is fundamental to the design of release systems and depends on the relative rates of water penetration and of chain cleavage.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Bulk (homogeneous) erosion.</w:t>
      </w:r>
      <w:r>
        <w:rPr>
          <w:rFonts w:ascii="Comic Sans MS" w:hAnsi="Comic Sans MS" w:cs="Comic Sans MS" w:eastAsia="Comic Sans MS"/>
          <w:b w:val="0"/>
          <w:i w:val="0"/>
          <w:color w:val="000000"/>
          <w:sz w:val="28"/>
        </w:rPr>
        <w:t xml:space="preserve"> Water penetrates faster than the bonds are cleaved, so degradation occurs uniformly throughout. The device retains its dimensions while its molecular weight falls, then loses mass and mechanical strength relatively suddenly. PLGA, PLA and PGA behave in this way, and the corresponding release profile is often </w:t>
      </w:r>
      <w:r>
        <w:rPr>
          <w:rFonts w:ascii="Comic Sans MS" w:hAnsi="Comic Sans MS" w:cs="Comic Sans MS" w:eastAsia="Comic Sans MS"/>
          <w:b/>
          <w:i w:val="0"/>
          <w:color w:val="000000"/>
          <w:sz w:val="28"/>
        </w:rPr>
        <w:t>triphasic</w:t>
      </w:r>
      <w:r>
        <w:rPr>
          <w:rFonts w:ascii="Comic Sans MS" w:hAnsi="Comic Sans MS" w:cs="Comic Sans MS" w:eastAsia="Comic Sans MS"/>
          <w:b w:val="0"/>
          <w:i w:val="0"/>
          <w:color w:val="000000"/>
          <w:sz w:val="28"/>
        </w:rPr>
        <w:t>, comprising an initial burst from surface-associated drug, a lag phase during which diffusion is slow, and a final rapid phase as the matrix erodes.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Surface (heterogeneous) erosion.</w:t>
      </w:r>
      <w:r>
        <w:rPr>
          <w:rFonts w:ascii="Comic Sans MS" w:hAnsi="Comic Sans MS" w:cs="Comic Sans MS" w:eastAsia="Comic Sans MS"/>
          <w:b w:val="0"/>
          <w:i w:val="0"/>
          <w:color w:val="000000"/>
          <w:sz w:val="28"/>
        </w:rPr>
        <w:t xml:space="preserve"> The bonds are cleaved faster than water can penetrate, so degradation is confined to the surface and the device becomes progressively thinner while its interior remains intact. Polyanhydrides and poly(ortho esters) behave in this way, and because the surface area of a slab remains nearly constant, release approximates to </w:t>
      </w:r>
      <w:r>
        <w:rPr>
          <w:rFonts w:ascii="Comic Sans MS" w:hAnsi="Comic Sans MS" w:cs="Comic Sans MS" w:eastAsia="Comic Sans MS"/>
          <w:b/>
          <w:i w:val="0"/>
          <w:color w:val="000000"/>
          <w:sz w:val="28"/>
        </w:rPr>
        <w:t>zero order</w:t>
      </w:r>
      <w:r>
        <w:rPr>
          <w:rFonts w:ascii="Comic Sans MS" w:hAnsi="Comic Sans MS" w:cs="Comic Sans MS" w:eastAsia="Comic Sans MS"/>
          <w:b w:val="0"/>
          <w:i w:val="0"/>
          <w:color w:val="000000"/>
          <w:sz w:val="28"/>
        </w:rPr>
        <w:t>, which is highly desirable. Surface erosion also protects an encapsulated protein from prolonged contact with water and acid.</w:t>
      </w:r>
    </w:p>
    <w:p>
      <w:pPr>
        <w:keepNext/>
        <w:spacing w:before="160" w:after="40"/>
      </w:pPr>
      <w:r>
        <w:rPr>
          <w:rFonts w:ascii="Comic Sans MS" w:hAnsi="Comic Sans MS" w:cs="Comic Sans MS" w:eastAsia="Comic Sans MS"/>
          <w:b/>
          <w:i w:val="0"/>
          <w:color w:val="000000"/>
          <w:sz w:val="28"/>
        </w:rPr>
        <w:t>6.7.4 Factors Affecting the Rate of Biodegradation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Chemical structure.</w:t>
      </w:r>
      <w:r>
        <w:rPr>
          <w:rFonts w:ascii="Comic Sans MS" w:hAnsi="Comic Sans MS" w:cs="Comic Sans MS" w:eastAsia="Comic Sans MS"/>
          <w:b w:val="0"/>
          <w:i w:val="0"/>
          <w:color w:val="000000"/>
          <w:sz w:val="28"/>
        </w:rPr>
        <w:t xml:space="preserve"> The nature and number of hydrolysable bonds; anhydride is more labile than ester, which is more labile than amide, which is more labile than ether.</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Copolymer composition.</w:t>
      </w:r>
      <w:r>
        <w:rPr>
          <w:rFonts w:ascii="Comic Sans MS" w:hAnsi="Comic Sans MS" w:cs="Comic Sans MS" w:eastAsia="Comic Sans MS"/>
          <w:b w:val="0"/>
          <w:i w:val="0"/>
          <w:color w:val="000000"/>
          <w:sz w:val="28"/>
        </w:rPr>
        <w:t xml:space="preserve"> In PLGA, increasing the glycolide content increases hydrophilicity and reduces crystallinity, accelerating degradation; the 50:50 composition, being the least crystalline, degrades fastest, over about one to two months, whereas 75:25 takes four to five months and 85:15 five to six months.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Molecular weight and its distribution.</w:t>
      </w:r>
      <w:r>
        <w:rPr>
          <w:rFonts w:ascii="Comic Sans MS" w:hAnsi="Comic Sans MS" w:cs="Comic Sans MS" w:eastAsia="Comic Sans MS"/>
          <w:b w:val="0"/>
          <w:i w:val="0"/>
          <w:color w:val="000000"/>
          <w:sz w:val="28"/>
        </w:rPr>
        <w:t xml:space="preserve"> Lower molecular weight gives faster degradation and a shorter time to loss of strength.</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Crystallinity.</w:t>
      </w:r>
      <w:r>
        <w:rPr>
          <w:rFonts w:ascii="Comic Sans MS" w:hAnsi="Comic Sans MS" w:cs="Comic Sans MS" w:eastAsia="Comic Sans MS"/>
          <w:b w:val="0"/>
          <w:i w:val="0"/>
          <w:color w:val="000000"/>
          <w:sz w:val="28"/>
        </w:rPr>
        <w:t xml:space="preserve"> Crystalline regions exclude water and degrade last; amorphous regions degrade first. Poly(L-lactic acid) is semi-crystalline and slow, poly(D,L-lactic acid) amorphous and faster.</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Hydrophilicity and water uptake,</w:t>
      </w:r>
      <w:r>
        <w:rPr>
          <w:rFonts w:ascii="Comic Sans MS" w:hAnsi="Comic Sans MS" w:cs="Comic Sans MS" w:eastAsia="Comic Sans MS"/>
          <w:b w:val="0"/>
          <w:i w:val="0"/>
          <w:color w:val="000000"/>
          <w:sz w:val="28"/>
        </w:rPr>
        <w:t xml:space="preserve"> which govern the rate at which water reaches the labile bonds.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Glass transition temperature.</w:t>
      </w:r>
      <w:r>
        <w:rPr>
          <w:rFonts w:ascii="Comic Sans MS" w:hAnsi="Comic Sans MS" w:cs="Comic Sans MS" w:eastAsia="Comic Sans MS"/>
          <w:b w:val="0"/>
          <w:i w:val="0"/>
          <w:color w:val="000000"/>
          <w:sz w:val="28"/>
        </w:rPr>
        <w:t xml:space="preserve"> A polymer below its glass transition temperature at body temperature is rigid and degrades more slowly; one above it is rubbery, more permeable, and additionally allows drug diffusion and polymer relaxation.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Device geometry, size and porosity.</w:t>
      </w:r>
      <w:r>
        <w:rPr>
          <w:rFonts w:ascii="Comic Sans MS" w:hAnsi="Comic Sans MS" w:cs="Comic Sans MS" w:eastAsia="Comic Sans MS"/>
          <w:b w:val="0"/>
          <w:i w:val="0"/>
          <w:color w:val="000000"/>
          <w:sz w:val="28"/>
        </w:rPr>
        <w:t xml:space="preserve"> A high surface-area-to-volume ratio speeds degradation; a large, dense device retains acid internally and degrades autocatalytically from the centre.</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pH and ionic strength of the medium,</w:t>
      </w:r>
      <w:r>
        <w:rPr>
          <w:rFonts w:ascii="Comic Sans MS" w:hAnsi="Comic Sans MS" w:cs="Comic Sans MS" w:eastAsia="Comic Sans MS"/>
          <w:b w:val="0"/>
          <w:i w:val="0"/>
          <w:color w:val="000000"/>
          <w:sz w:val="28"/>
        </w:rPr>
        <w:t xml:space="preserve"> ester hydrolysis being catalysed by both acid and base, and the local pH being modified by the degradation products themselves.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Temperature,</w:t>
      </w:r>
      <w:r>
        <w:rPr>
          <w:rFonts w:ascii="Comic Sans MS" w:hAnsi="Comic Sans MS" w:cs="Comic Sans MS" w:eastAsia="Comic Sans MS"/>
          <w:b w:val="0"/>
          <w:i w:val="0"/>
          <w:color w:val="000000"/>
          <w:sz w:val="28"/>
        </w:rPr>
        <w:t xml:space="preserve"> in accordance with the Arrhenius relationship.</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Additives and encapsulated drug.</w:t>
      </w:r>
      <w:r>
        <w:rPr>
          <w:rFonts w:ascii="Comic Sans MS" w:hAnsi="Comic Sans MS" w:cs="Comic Sans MS" w:eastAsia="Comic Sans MS"/>
          <w:b w:val="0"/>
          <w:i w:val="0"/>
          <w:color w:val="000000"/>
          <w:sz w:val="28"/>
        </w:rPr>
        <w:t xml:space="preserve"> Basic drugs and buffering agents such as magnesium hydroxide neutralise the acid and slow degradation, whereas acidic drugs accelerate it; plasticisers increase permeability.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Sterilisation history,</w:t>
      </w:r>
      <w:r>
        <w:rPr>
          <w:rFonts w:ascii="Comic Sans MS" w:hAnsi="Comic Sans MS" w:cs="Comic Sans MS" w:eastAsia="Comic Sans MS"/>
          <w:b w:val="0"/>
          <w:i w:val="0"/>
          <w:color w:val="000000"/>
          <w:sz w:val="28"/>
        </w:rPr>
        <w:t xml:space="preserve"> gamma irradiation in particular reducing molecular weight and accelerating subsequent degradation.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Site of implantation,</w:t>
      </w:r>
      <w:r>
        <w:rPr>
          <w:rFonts w:ascii="Comic Sans MS" w:hAnsi="Comic Sans MS" w:cs="Comic Sans MS" w:eastAsia="Comic Sans MS"/>
          <w:b w:val="0"/>
          <w:i w:val="0"/>
          <w:color w:val="000000"/>
          <w:sz w:val="28"/>
        </w:rPr>
        <w:t xml:space="preserve"> which determines vascularity, enzyme and cell populations, mechanical loading and pH.</w:t>
      </w:r>
    </w:p>
    <w:p>
      <w:pPr>
        <w:keepNext/>
        <w:spacing w:before="160" w:after="40"/>
      </w:pPr>
      <w:r>
        <w:rPr>
          <w:rFonts w:ascii="Comic Sans MS" w:hAnsi="Comic Sans MS" w:cs="Comic Sans MS" w:eastAsia="Comic Sans MS"/>
          <w:b/>
          <w:i w:val="0"/>
          <w:color w:val="000000"/>
          <w:sz w:val="28"/>
        </w:rPr>
        <w:t>6.7.5 Metabolic Fate of Degradation Products</w:t>
      </w:r>
    </w:p>
    <w:p>
      <w:pPr>
        <w:spacing w:after="160"/>
        <w:jc w:val="both"/>
      </w:pPr>
      <w:r>
        <w:rPr>
          <w:rFonts w:ascii="Comic Sans MS" w:hAnsi="Comic Sans MS" w:cs="Comic Sans MS" w:eastAsia="Comic Sans MS"/>
          <w:b w:val="0"/>
          <w:i w:val="0"/>
          <w:color w:val="000000"/>
          <w:sz w:val="28"/>
        </w:rPr>
        <w:t xml:space="preserve">The acceptability of a biodegradable material rests ultimately on the fate of its fragments. Poly(lactic-co-glycolic acid) hydrolyses to </w:t>
      </w:r>
      <w:r>
        <w:rPr>
          <w:rFonts w:ascii="Comic Sans MS" w:hAnsi="Comic Sans MS" w:cs="Comic Sans MS" w:eastAsia="Comic Sans MS"/>
          <w:b/>
          <w:i w:val="0"/>
          <w:color w:val="000000"/>
          <w:sz w:val="28"/>
        </w:rPr>
        <w:t>lactic acid</w:t>
      </w:r>
      <w:r>
        <w:rPr>
          <w:rFonts w:ascii="Comic Sans MS" w:hAnsi="Comic Sans MS" w:cs="Comic Sans MS" w:eastAsia="Comic Sans MS"/>
          <w:b w:val="0"/>
          <w:i w:val="0"/>
          <w:color w:val="000000"/>
          <w:sz w:val="28"/>
        </w:rPr>
        <w:t xml:space="preserve"> and </w:t>
      </w:r>
      <w:r>
        <w:rPr>
          <w:rFonts w:ascii="Comic Sans MS" w:hAnsi="Comic Sans MS" w:cs="Comic Sans MS" w:eastAsia="Comic Sans MS"/>
          <w:b/>
          <w:i w:val="0"/>
          <w:color w:val="000000"/>
          <w:sz w:val="28"/>
        </w:rPr>
        <w:t>glycolic acid</w:t>
      </w:r>
      <w:r>
        <w:rPr>
          <w:rFonts w:ascii="Comic Sans MS" w:hAnsi="Comic Sans MS" w:cs="Comic Sans MS" w:eastAsia="Comic Sans MS"/>
          <w:b w:val="0"/>
          <w:i w:val="0"/>
          <w:color w:val="000000"/>
          <w:sz w:val="28"/>
        </w:rPr>
        <w:t>, both of which are normal metabolic intermediates: lactic acid enters the tricarboxylic acid cycle by way of pyruvate and is oxidised to carbon dioxide and water, while glycolic acid is either excreted unchanged in the urine or oxidised through glyoxylate. Poly(epsilon-caprolactone) yields 6-hydroxycaproic acid, which is metabolised by the same cycle. Collagen and other protein-based materials are degraded to amino acids that re-enter the body's amino acid pool. It is because these products are endogenous and readily handled that the polyesters have such an extensive record of safe clinical use. Where a degradation product is not endogenous, as with some synthetic diols and diamines released from polyurethanes, its toxicology must be established individually.</w:t>
      </w:r>
    </w:p>
    <w:p>
      <w:pPr>
        <w:keepNext/>
        <w:spacing w:before="160" w:after="40"/>
      </w:pPr>
      <w:r>
        <w:rPr>
          <w:rFonts w:ascii="Comic Sans MS" w:hAnsi="Comic Sans MS" w:cs="Comic Sans MS" w:eastAsia="Comic Sans MS"/>
          <w:b/>
          <w:i w:val="0"/>
          <w:color w:val="000000"/>
          <w:sz w:val="28"/>
        </w:rPr>
        <w:t>6.7.6 Assessment of Degradation</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In vitro degradation studies</w:t>
      </w:r>
      <w:r>
        <w:rPr>
          <w:rFonts w:ascii="Comic Sans MS" w:hAnsi="Comic Sans MS" w:cs="Comic Sans MS" w:eastAsia="Comic Sans MS"/>
          <w:b w:val="0"/>
          <w:i w:val="0"/>
          <w:color w:val="000000"/>
          <w:sz w:val="28"/>
        </w:rPr>
        <w:t xml:space="preserve"> in buffer at 37 degrees Celsius, monitoring mass loss, water uptake, change in molecular weight and polydispersity by gel permeation chromatography, change in thermal properties by differential scanning calorimetry, change in pH of the medium, surface and cross-sectional morphology by scanning electron microscopy, mechanical properties, and identification of degradation products by chromatography. Accelerated studies at elevated temperature or extreme pH are used for ranking, with the same reservations about extrapolation as apply to drug stability.</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In vivo degradation studies,</w:t>
      </w:r>
      <w:r>
        <w:rPr>
          <w:rFonts w:ascii="Comic Sans MS" w:hAnsi="Comic Sans MS" w:cs="Comic Sans MS" w:eastAsia="Comic Sans MS"/>
          <w:b w:val="0"/>
          <w:i w:val="0"/>
          <w:color w:val="000000"/>
          <w:sz w:val="28"/>
        </w:rPr>
        <w:t xml:space="preserve"> with explantation at intervals, histological assessment of the surrounding tissue, and measurement of the residual implant, since in vitro and in vivo rates commonly differ because of enzymatic and cellular contributions.</w:t>
      </w:r>
    </w:p>
    <w:p>
      <w:pPr>
        <w:tabs>
          <w:tab w:pos="720" w:val="left"/>
        </w:tabs>
        <w:spacing w:after="0"/>
        <w:ind w:left="720" w:hanging="360"/>
        <w:jc w:val="both"/>
      </w:pPr>
      <w:r>
        <w:rPr>
          <w:rFonts w:ascii="Wingdings" w:hAnsi="Wingdings"/>
          <w:sz w:val="28"/>
        </w:rPr>
        <w:sym w:font="Wingdings" w:char="F0D8"/>
        <w:tab/>
      </w:r>
      <w:r>
        <w:rPr>
          <w:rFonts w:ascii="Comic Sans MS" w:hAnsi="Comic Sans MS" w:cs="Comic Sans MS" w:eastAsia="Comic Sans MS"/>
          <w:b/>
          <w:i w:val="0"/>
          <w:color w:val="000000"/>
          <w:sz w:val="28"/>
        </w:rPr>
        <w:t>Correlation of degradation with drug release,</w:t>
      </w:r>
      <w:r>
        <w:rPr>
          <w:rFonts w:ascii="Comic Sans MS" w:hAnsi="Comic Sans MS" w:cs="Comic Sans MS" w:eastAsia="Comic Sans MS"/>
          <w:b w:val="0"/>
          <w:i w:val="0"/>
          <w:color w:val="000000"/>
          <w:sz w:val="28"/>
        </w:rPr>
        <w:t xml:space="preserve"> which is the practical objective for a delivery system, and which requires that the release mechanism, whether diffusion controlled, erosion controlled, swelling controlled or osmotically driven, be identified.</w:t>
      </w:r>
    </w:p>
    <w:p>
      <w:pPr>
        <w:keepNext/>
        <w:spacing w:before="160" w:after="40"/>
      </w:pPr>
      <w:r>
        <w:rPr>
          <w:rFonts w:ascii="Comic Sans MS" w:hAnsi="Comic Sans MS" w:cs="Comic Sans MS" w:eastAsia="Comic Sans MS"/>
          <w:b/>
          <w:i w:val="0"/>
          <w:color w:val="000000"/>
          <w:sz w:val="28"/>
        </w:rPr>
        <w:t>6.8 Summary of Unit VI</w:t>
      </w:r>
    </w:p>
    <w:p>
      <w:pPr>
        <w:spacing w:after="160"/>
        <w:jc w:val="both"/>
      </w:pPr>
      <w:r>
        <w:rPr>
          <w:rFonts w:ascii="Comic Sans MS" w:hAnsi="Comic Sans MS" w:cs="Comic Sans MS" w:eastAsia="Comic Sans MS"/>
          <w:b w:val="0"/>
          <w:i w:val="0"/>
          <w:color w:val="000000"/>
          <w:sz w:val="28"/>
        </w:rPr>
        <w:t>Biomaterials are materials designed to interface with living tissue, and their central requirement, biocompatibility, is a property of the material in a specific application rather than of the material alone. They comprise polymers, which dominate pharmaceutical use because their properties and degradation rates are so readily tailored, metals, which provide strength for load-bearing implants, ceramics, which provide hardness and, in the bioactive forms, direct bonding to bone, and composites and biologically derived tissues. In pharmaceutical formulation they make possible depot implants and microspheres, hydrogels, mucoadhesive and transdermal systems, ocular and intrauterine inserts and drug-eluting devices; in medicine they provide joint and dental implants, heart valves, stents, grafts, lenses, sutures, dressings and tissue engineering scaffolds. Their safety is assessed against the stereotyped host response of protein adsorption, inflammation, foreign body reaction and fibrous encapsulation, under the risk-based framework of ISO 10993, with particular attention to leachables, degradation products, haemocompatibility and biofilm-related infection, and always on the final sterilised material. Degradation proceeds by passive hydrolysis, by enzymatic attack, by oxidation or by dissolution, and occurs either by bulk erosion, as in the polyesters with their autocatalytic and often triphasic behaviour, or by surface erosion, as in the polyanhydrides with their near zero-order release; the rate is governed by backbone chemistry, copolymer ratio, molecular weight, crystallinity, geometry and environment, and the resulting fragments, for the widely used polyesters, are endogenous metabolites disposed of through the tricarboxylic acid cycle.</w:t>
      </w:r>
    </w:p>
    <w:sectPr w:rsidR="00FC693F" w:rsidRPr="0006063C" w:rsidSect="00034616">
      <w:headerReference w:type="default" r:id="rId9"/>
      <w:footerReference w:type="default" r:id="rId10"/>
      <w:pgSz w:w="12240" w:h="15840"/>
      <w:pgMar w:top="1200" w:right="1440" w:bottom="1560" w:left="1440" w:header="720" w:footer="3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double" w:sz="6" w:space="1" w:color="823B0B"/>
      </w:pBdr>
      <w:tabs>
        <w:tab w:val="right" w:pos="9360"/>
      </w:tabs>
      <w:spacing w:after="0" w:line="260" w:lineRule="exact"/>
    </w:pPr>
    <w:r>
      <w:rPr>
        <w:rFonts w:ascii="Comic Sans MS" w:hAnsi="Comic Sans MS" w:cs="Comic Sans MS"/>
        <w:sz w:val="18"/>
        <w:szCs w:val="18"/>
      </w:rPr>
      <w:t xml:space="preserve">For More Notes - Visit </w:t>
    </w:r>
    <w:r>
      <w:rPr>
        <w:rFonts w:ascii="Comic Sans MS" w:hAnsi="Comic Sans MS" w:cs="Comic Sans MS"/>
        <w:color w:val="0563C1"/>
        <w:sz w:val="18"/>
        <w:szCs w:val="18"/>
        <w:u w:val="single"/>
      </w:rPr>
      <w:t xml:space="preserve">www.carewellpharmacy.in</w:t>
    </w:r>
    <w:r>
      <w:rPr>
        <w:rFonts w:ascii="Comic Sans MS" w:hAnsi="Comic Sans MS" w:cs="Comic Sans MS"/>
        <w:sz w:val="18"/>
        <w:szCs w:val="18"/>
      </w:rPr>
      <w:tab/>
    </w:r>
    <w:r>
      <w:rPr>
        <w:rFonts w:ascii="Comic Sans MS" w:hAnsi="Comic Sans MS" w:cs="Comic Sans MS"/>
        <w:sz w:val="18"/>
        <w:szCs w:val="18"/>
      </w:rPr>
      <w:t xml:space="preserve">Page </w:t>
    </w:r>
    <w:r>
      <w:rPr>
        <w:rFonts w:ascii="Comic Sans MS" w:hAnsi="Comic Sans MS" w:cs="Comic Sans MS"/>
        <w:sz w:val="18"/>
        <w:szCs w:val="18"/>
      </w:rPr>
      <w:fldChar w:fldCharType="begin"/>
    </w:r>
    <w:r>
      <w:rPr>
        <w:rFonts w:ascii="Comic Sans MS" w:hAnsi="Comic Sans MS" w:cs="Comic Sans MS"/>
        <w:sz w:val="18"/>
        <w:szCs w:val="18"/>
      </w:rPr>
      <w:instrText xml:space="preserve">PAGE</w:instrText>
    </w:r>
    <w:r>
      <w:rPr>
        <w:rFonts w:ascii="Comic Sans MS" w:hAnsi="Comic Sans MS" w:cs="Comic Sans MS"/>
        <w:sz w:val="18"/>
        <w:szCs w:val="18"/>
      </w:rPr>
      <w:fldChar w:fldCharType="separate"/>
    </w:r>
    <w:r>
      <w:rPr>
        <w:rFonts w:ascii="Comic Sans MS" w:hAnsi="Comic Sans MS" w:cs="Comic Sans MS"/>
        <w:sz w:val="18"/>
        <w:szCs w:val="18"/>
      </w:rPr>
      <w:t xml:space="preserve">1</w:t>
    </w:r>
    <w:r>
      <w:rPr>
        <w:rFonts w:ascii="Comic Sans MS" w:hAnsi="Comic Sans MS" w:cs="Comic Sans MS"/>
        <w:sz w:val="18"/>
        <w:szCs w:val="18"/>
      </w:rPr>
      <w:fldChar w:fldCharType="end"/>
    </w:r>
  </w:p>
  <w:p>
    <w:pPr>
      <w:spacing w:before="160" w:after="0" w:line="420" w:lineRule="exact"/>
      <w:ind w:left="-1140"/>
    </w:pPr>
    <w:r>
      <w:rPr>
        <w:rFonts w:ascii="Arial" w:hAnsi="Arial" w:cs="Arial" w:eastAsia="Arial"/>
        <w:b/>
        <w:i w:val="0"/>
        <w:color w:val="CC0000"/>
        <w:sz w:val="28"/>
      </w:rPr>
      <w:t>Buy Courses From Telegram Id = @M_Pharmacy_OwnerBot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1" w:color="823B0B"/>
      </w:pBdr>
      <w:spacing w:after="0" w:line="420" w:lineRule="exact"/>
      <w:jc w:val="center"/>
    </w:pPr>
    <w:r>
      <w:pict>
        <v:shapetype id="_x0000_t136" coordsize="21600,21600" o:spt="136" adj="10800" path="m@7,l@8,m@5,21600l@11,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PowerPlusWaterMarkObject" o:spid="_x0000_s2049" type="#_x0000_t136" style="position:absolute;margin-left:0;margin-top:0;width:460pt;height:200pt;rotation:315;z-index:-251658752;mso-position-horizontal:center;mso-position-horizontal-relative:margin;mso-position-vertical:center;mso-position-vertical-relative:margin" fillcolor="#d9d9d9" stroked="f">
          <v:textpath style="font-family:&quot;Comic Sans MS&quot;;font-size:1pt" string="CAREWELL PHARMACY"/>
        </v:shape>
      </w:pict>
    </w:r>
    <w:r>
      <w:rPr>
        <w:rFonts w:ascii="Comic Sans MS" w:hAnsi="Comic Sans MS" w:cs="Comic Sans MS" w:eastAsia="Comic Sans MS"/>
        <w:b/>
        <w:i w:val="0"/>
        <w:color w:val="000000"/>
        <w:sz w:val="28"/>
      </w:rPr>
      <w:t>CAREWELL PHARMACY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val="0"/>
      <w:spacing w:before="0" w:after="0" w:lineRule="exact" w:line="420"/>
    </w:pPr>
    <w:rPr>
      <w:rFonts w:ascii="Comic Sans MS" w:hAnsi="Comic Sans MS"/>
      <w:color w:val="000000"/>
      <w:sz w:val="28"/>
      <w:rFonts w:ascii="Comic Sans MS" w:hAnsi="Comic Sans MS" w:cs="Comic Sans M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