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Comic Sans MS" w:hAnsi="Comic Sans MS" w:cs="Comic Sans MS"/>
          <w:b/>
          <w:color w:val="000000"/>
          <w:sz w:val="64"/>
        </w:rPr>
        <w:t>M Pharmacy Notes</w:t>
      </w:r>
    </w:p>
    <w:p>
      <w:pPr>
        <w:spacing w:after="40"/>
        <w:jc w:val="center"/>
      </w:pPr>
      <w:r>
        <w:rPr>
          <w:rFonts w:ascii="Comic Sans MS" w:hAnsi="Comic Sans MS" w:cs="Comic Sans MS"/>
          <w:b/>
          <w:color w:val="FF0000"/>
          <w:sz w:val="60"/>
        </w:rPr>
        <w:t>Advances in</w:t>
      </w:r>
    </w:p>
    <w:p>
      <w:pPr>
        <w:spacing w:after="40"/>
        <w:jc w:val="center"/>
      </w:pPr>
      <w:r>
        <w:rPr>
          <w:rFonts w:ascii="Comic Sans MS" w:hAnsi="Comic Sans MS" w:cs="Comic Sans MS"/>
          <w:b/>
          <w:color w:val="FF0000"/>
          <w:sz w:val="60"/>
        </w:rPr>
        <w:t>Drug Delivery</w:t>
      </w:r>
    </w:p>
    <w:p>
      <w:pPr>
        <w:spacing w:after="40"/>
        <w:jc w:val="center"/>
      </w:pPr>
      <w:r>
        <w:rPr>
          <w:rFonts w:ascii="Comic Sans MS" w:hAnsi="Comic Sans MS" w:cs="Comic Sans MS"/>
          <w:b/>
          <w:color w:val="FF0000"/>
          <w:sz w:val="60"/>
        </w:rPr>
        <w:t>System</w:t>
      </w:r>
    </w:p>
    <w:p>
      <w:pPr>
        <w:jc w:val="center"/>
      </w:pPr>
      <w:r>
        <w:rPr>
          <w:rFonts w:ascii="Comic Sans MS" w:hAnsi="Comic Sans MS" w:cs="Comic Sans MS"/>
          <w:b/>
          <w:color w:val="000000"/>
          <w:sz w:val="36"/>
        </w:rPr>
        <w:t>(MPT102T)</w:t>
      </w:r>
    </w:p>
    <w:p>
      <w:pPr>
        <w:jc w:val="center"/>
      </w:pPr>
      <w:r>
        <w:rPr>
          <w:rFonts w:ascii="Comic Sans MS" w:hAnsi="Comic Sans MS" w:cs="Comic Sans MS"/>
          <w:i/>
          <w:color w:val="595959"/>
          <w:sz w:val="28"/>
        </w:rPr>
        <w:t>M. Pharmacy – Pharmaceutical Technology – Semester I</w:t>
      </w:r>
    </w:p>
    <w:p/>
    <w:p/>
    <w:p/>
    <w:p/>
    <w:p/>
    <w:p/>
    <w:p>
      <w:pPr>
        <w:jc w:val="center"/>
      </w:pPr>
      <w:r>
        <w:rPr>
          <w:rFonts w:ascii="Comic Sans MS" w:hAnsi="Comic Sans MS" w:cs="Comic Sans MS"/>
          <w:b/>
          <w:sz w:val="32"/>
          <w:u w:val="single"/>
        </w:rPr>
        <w:t>Connect With Us</w:t>
      </w:r>
    </w:p>
    <w:p>
      <w:pPr>
        <w:jc w:val="center"/>
      </w:pPr>
      <w:r>
        <w:rPr>
          <w:rFonts w:ascii="Comic Sans MS" w:hAnsi="Comic Sans MS" w:cs="Comic Sans MS"/>
          <w:b/>
          <w:sz w:val="28"/>
        </w:rPr>
        <w:t xml:space="preserve">Website - </w:t>
      </w:r>
      <w:r>
        <w:rPr>
          <w:rFonts w:ascii="Comic Sans MS" w:hAnsi="Comic Sans MS" w:cs="Comic Sans MS"/>
          <w:color w:val="0563C1"/>
          <w:sz w:val="28"/>
        </w:rPr>
        <w:t>www.carewellpharmacy.in</w:t>
      </w:r>
    </w:p>
    <w:p>
      <w:pPr>
        <w:jc w:val="center"/>
      </w:pPr>
      <w:r>
        <w:rPr>
          <w:rFonts w:ascii="Comic Sans MS" w:hAnsi="Comic Sans MS" w:cs="Comic Sans MS"/>
          <w:b/>
          <w:sz w:val="28"/>
        </w:rPr>
        <w:t xml:space="preserve">Telegram - </w:t>
      </w:r>
      <w:r>
        <w:rPr>
          <w:rFonts w:ascii="Comic Sans MS" w:hAnsi="Comic Sans MS" w:cs="Comic Sans MS"/>
          <w:sz w:val="28"/>
        </w:rPr>
        <w:t>Carewell Pharmacy</w:t>
      </w:r>
    </w:p>
    <w:p>
      <w:r>
        <w:br w:type="page"/>
      </w:r>
    </w:p>
    <w:p>
      <w:pPr>
        <w:spacing w:before="200" w:after="100" w:line="276" w:lineRule="auto"/>
        <w:keepNext/>
      </w:pPr>
      <w:r>
        <w:rPr>
          <w:rFonts w:ascii="Comic Sans MS" w:hAnsi="Comic Sans MS" w:cs="Comic Sans MS"/>
          <w:b/>
          <w:color w:val="FF0000"/>
          <w:sz w:val="32"/>
        </w:rPr>
        <w:t>Syllabus &amp; Course Overview</w:t>
      </w:r>
    </w:p>
    <w:p>
      <w:pPr>
        <w:spacing w:before="140" w:after="60" w:line="276" w:lineRule="auto"/>
        <w:keepNext/>
      </w:pPr>
      <w:r>
        <w:rPr>
          <w:rFonts w:ascii="Comic Sans MS" w:hAnsi="Comic Sans MS" w:cs="Comic Sans MS"/>
          <w:b/>
          <w:color w:val="000000"/>
          <w:sz w:val="28"/>
        </w:rPr>
        <w:t>Scope</w:t>
      </w:r>
    </w:p>
    <w:p>
      <w:pPr>
        <w:spacing w:after="160"/>
        <w:jc w:val="both"/>
      </w:pPr>
      <w:r>
        <w:rPr>
          <w:rFonts w:ascii="Comic Sans MS" w:hAnsi="Comic Sans MS" w:cs="Comic Sans MS"/>
          <w:b w:val="0"/>
          <w:i w:val="0"/>
          <w:color w:val="000000"/>
          <w:sz w:val="28"/>
        </w:rPr>
        <w:t>This course is designed to impart knowledge on the area of advances in novel drug delivery systems. It builds on the fundamentals of physical pharmacy, biopharmaceutics and pharmaceutics and introduces the modern approaches by which the rate, time and site of drug release can be modulated to obtain a superior therapeutic outcome. The student is trained to appreciate why a conventional dosage form is often sub-optimal and how rational design of the delivery system can improve efficacy, safety and patient compliance.</w:t>
      </w:r>
    </w:p>
    <w:p>
      <w:pPr>
        <w:spacing w:before="140" w:after="60" w:line="276" w:lineRule="auto"/>
        <w:keepNext/>
      </w:pPr>
      <w:r>
        <w:rPr>
          <w:rFonts w:ascii="Comic Sans MS" w:hAnsi="Comic Sans MS" w:cs="Comic Sans MS"/>
          <w:b/>
          <w:color w:val="000000"/>
          <w:sz w:val="28"/>
        </w:rPr>
        <w:t>Objectives</w:t>
      </w:r>
    </w:p>
    <w:p>
      <w:pPr>
        <w:spacing w:after="160"/>
        <w:jc w:val="both"/>
      </w:pPr>
      <w:r>
        <w:rPr>
          <w:rFonts w:ascii="Comic Sans MS" w:hAnsi="Comic Sans MS" w:cs="Comic Sans MS"/>
          <w:b w:val="0"/>
          <w:i w:val="0"/>
          <w:color w:val="000000"/>
          <w:sz w:val="28"/>
        </w:rPr>
        <w:t>Upon completion of this course it is expected that the students will be able to understand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Recent innovations in conventional dosage forms – including site-specific delivery and time-release (temporal) modulation.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Preparation, evaluation and application of new drug delivery systems.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 criteria for selection of drugs and polymers for the development of a delivery system.</w:t>
      </w:r>
    </w:p>
    <w:p>
      <w:pPr>
        <w:spacing w:before="140" w:after="60" w:line="276" w:lineRule="auto"/>
        <w:keepNext/>
      </w:pPr>
      <w:r>
        <w:rPr>
          <w:rFonts w:ascii="Comic Sans MS" w:hAnsi="Comic Sans MS" w:cs="Comic Sans MS"/>
          <w:b/>
          <w:color w:val="000000"/>
          <w:sz w:val="28"/>
        </w:rPr>
        <w:t>Course Contents (Theory – 60 Hrs)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72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Unit</w:t>
            </w:r>
          </w:p>
        </w:tc>
        <w:tc>
          <w:tcPr>
            <w:tcW w:type="dxa" w:w="777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Topic</w:t>
            </w:r>
          </w:p>
        </w:tc>
        <w:tc>
          <w:tcPr>
            <w:tcW w:type="dxa" w:w="86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1"/>
              </w:rPr>
              <w:t>Hrs</w:t>
            </w:r>
          </w:p>
        </w:tc>
      </w:tr>
      <w:tr>
        <w:tc>
          <w:tcPr>
            <w:tcW w:type="dxa" w:w="7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1</w:t>
            </w:r>
          </w:p>
        </w:tc>
        <w:tc>
          <w:tcPr>
            <w:tcW w:type="dxa" w:w="77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Sustained Release (SR) &amp; Controlled Release (CR) Formulations – basic concepts, terminology, advantages/disadvantages, drug candidate selection, dosage calculations, physicochemical &amp; biological factors and approaches, mechanism of release, classification, design, fabrication, evaluation &amp; applications of oral CDDS.</w:t>
            </w:r>
          </w:p>
        </w:tc>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10</w:t>
            </w:r>
          </w:p>
        </w:tc>
      </w:tr>
      <w:tr>
        <w:tc>
          <w:tcPr>
            <w:tcW w:type="dxa" w:w="7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2</w:t>
            </w:r>
          </w:p>
        </w:tc>
        <w:tc>
          <w:tcPr>
            <w:tcW w:type="dxa" w:w="77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Oral Sustained Release DDS – physicochemical &amp; biological factors; dissolution-controlled, diffusion-controlled, bio-erodible, osmotically controlled, ion-exchange and mucoadhesive drug delivery systems.</w:t>
            </w:r>
          </w:p>
        </w:tc>
        <w:tc>
          <w:tcPr>
            <w:tcW w:type="dxa" w:w="8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5</w:t>
            </w:r>
          </w:p>
        </w:tc>
      </w:tr>
      <w:tr>
        <w:tc>
          <w:tcPr>
            <w:tcW w:type="dxa" w:w="7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3</w:t>
            </w:r>
          </w:p>
        </w:tc>
        <w:tc>
          <w:tcPr>
            <w:tcW w:type="dxa" w:w="77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Microencapsulation – definition, objectives, release &amp; stability kinetics, coating materials, methods of preparation, evaluation &amp; applications.</w:t>
            </w:r>
          </w:p>
        </w:tc>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5</w:t>
            </w:r>
          </w:p>
        </w:tc>
      </w:tr>
      <w:tr>
        <w:tc>
          <w:tcPr>
            <w:tcW w:type="dxa" w:w="7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4</w:t>
            </w:r>
          </w:p>
        </w:tc>
        <w:tc>
          <w:tcPr>
            <w:tcW w:type="dxa" w:w="77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Implants and Inserts – host–implant and implant–host reactions; subcutaneous, intramuscular, intra-ocular, intra-vaginal and intra-uterine systems.</w:t>
            </w:r>
          </w:p>
        </w:tc>
        <w:tc>
          <w:tcPr>
            <w:tcW w:type="dxa" w:w="8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15</w:t>
            </w:r>
          </w:p>
        </w:tc>
      </w:tr>
      <w:tr>
        <w:tc>
          <w:tcPr>
            <w:tcW w:type="dxa" w:w="7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5</w:t>
            </w:r>
          </w:p>
        </w:tc>
        <w:tc>
          <w:tcPr>
            <w:tcW w:type="dxa" w:w="77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Transdermal Drug Delivery Systems – skin permeation fundamentals, development approaches, kinetic evaluation, formulation design &amp; optimization; sonophoresis, iontophoresis and latest skin-delivery developments.</w:t>
            </w:r>
          </w:p>
        </w:tc>
        <w:tc>
          <w:tcPr>
            <w:tcW w:type="dxa" w:w="86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10</w:t>
            </w:r>
          </w:p>
        </w:tc>
      </w:tr>
      <w:tr>
        <w:tc>
          <w:tcPr>
            <w:tcW w:type="dxa" w:w="7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6</w:t>
            </w:r>
          </w:p>
        </w:tc>
        <w:tc>
          <w:tcPr>
            <w:tcW w:type="dxa" w:w="77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Personalized Medicine – introduction, definition, pharmacogenetics, categories of patients; customized DDS, bioelectronic medicines, 3D printing of pharmaceuticals and telepharmacy.</w:t>
            </w:r>
          </w:p>
        </w:tc>
        <w:tc>
          <w:tcPr>
            <w:tcW w:type="dxa" w:w="86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20"/>
              </w:rPr>
              <w:t>15</w:t>
            </w:r>
          </w:p>
        </w:tc>
      </w:tr>
    </w:tbl>
    <w:p>
      <w:pPr>
        <w:spacing w:after="40"/>
      </w:pPr>
    </w:p>
    <w:p>
      <w:pPr>
        <w:spacing w:before="140" w:after="60" w:line="276" w:lineRule="auto"/>
        <w:keepNext/>
      </w:pPr>
      <w:r>
        <w:rPr>
          <w:rFonts w:ascii="Comic Sans MS" w:hAnsi="Comic Sans MS" w:cs="Comic Sans MS"/>
          <w:b/>
          <w:color w:val="000000"/>
          <w:sz w:val="28"/>
        </w:rPr>
        <w:t>Recommended Books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Encyclopedia of Pharmaceutical Technology – J. Swarbrick &amp; J. C. Boylan.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Theory and Practice of Industrial Pharmacy – L. Lachman, H. Lieberman.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Modern Pharmaceutics – G. S. Banker &amp; C. T. Rhodes.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Controlled Drug Delivery : Fundamentals &amp; Applications – J. R. Robinson &amp; V. H. Lee.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Novel Drug Delivery Systems – Y. W. Chien.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Targeted &amp; Controlled Drug Delivery – S. P. Vyas &amp; R. K. Khar.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Advances in Controlled and Novel Drug Delivery – (Ed.) N. K. Jain.</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How to use these notes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Each unit contains detailed theory, labelled diagrams, worked examples, summary tables and highlighted boxes.</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 boxes </w:t>
            </w:r>
            <w:r>
              <w:rPr>
                <w:rFonts w:ascii="Comic Sans MS" w:hAnsi="Comic Sans MS" w:cs="Comic Sans MS"/>
                <w:b w:val="0"/>
                <w:i w:val="0"/>
                <w:color w:val="000000"/>
                <w:sz w:val="28"/>
              </w:rPr>
              <w:t>highlight high-yield points frequently asked in university theory papers and viva.</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list of important questions, a glossary and a consolidated Quick-Revision section are given at the end.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As the paper is theoretical, focus on definitions, classifications, mechanisms, labelled diagrams, merits/demerits and applications.</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Introduction to Novel Drug Delivery Systems</w:t>
      </w:r>
    </w:p>
    <w:p>
      <w:pPr>
        <w:spacing w:before="200" w:after="100" w:line="276" w:lineRule="auto"/>
        <w:keepNext/>
      </w:pPr>
      <w:r>
        <w:rPr>
          <w:rFonts w:ascii="Comic Sans MS" w:hAnsi="Comic Sans MS" w:cs="Comic Sans MS"/>
          <w:b/>
          <w:color w:val="FF0000"/>
          <w:sz w:val="32"/>
        </w:rPr>
        <w:t>I.1 The Need for Novel Drug Delivery</w:t>
      </w:r>
    </w:p>
    <w:p>
      <w:pPr>
        <w:spacing w:after="160"/>
        <w:jc w:val="both"/>
      </w:pPr>
      <w:r>
        <w:rPr>
          <w:rFonts w:ascii="Comic Sans MS" w:hAnsi="Comic Sans MS" w:cs="Comic Sans MS"/>
          <w:b w:val="0"/>
          <w:i w:val="0"/>
          <w:color w:val="000000"/>
          <w:sz w:val="28"/>
        </w:rPr>
        <w:t>A drug is of little value unless it is delivered to its site of action at the right concentration, for the right duration, with minimal exposure of other tissues. Conventional dosage forms release the whole dose promptly and rely on the body to distribute and eliminate it; this produces fluctuating plasma levels, frequent dosing, systemic exposure of non-target tissues and, for many modern drugs (poorly soluble, unstable or macromolecular), inadequate or unreliable delivery. Novel drug delivery systems (NDDS) were developed to overcome these limitations by controlling the rate (temporal control) and/or the place (spatial control) of drug release.</w:t>
      </w:r>
    </w:p>
    <w:p>
      <w:pPr>
        <w:spacing w:before="200" w:after="100" w:line="276" w:lineRule="auto"/>
        <w:keepNext/>
      </w:pPr>
      <w:r>
        <w:rPr>
          <w:rFonts w:ascii="Comic Sans MS" w:hAnsi="Comic Sans MS" w:cs="Comic Sans MS"/>
          <w:b/>
          <w:color w:val="FF0000"/>
          <w:sz w:val="32"/>
        </w:rPr>
        <w:t>I.2 Temporal and Spatial Control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Temporal (rate) control : </w:t>
      </w:r>
      <w:r>
        <w:rPr>
          <w:rFonts w:ascii="Comic Sans MS" w:hAnsi="Comic Sans MS" w:cs="Comic Sans MS"/>
          <w:b w:val="0"/>
          <w:i w:val="0"/>
          <w:color w:val="000000"/>
          <w:sz w:val="28"/>
        </w:rPr>
        <w:t>delivering the drug at a defined rate over a defined time – sustained, controlled, delayed, pulsatile and chronotherapeutic systems.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Spatial (site) control : </w:t>
      </w:r>
      <w:r>
        <w:rPr>
          <w:rFonts w:ascii="Comic Sans MS" w:hAnsi="Comic Sans MS" w:cs="Comic Sans MS"/>
          <w:b w:val="0"/>
          <w:i w:val="0"/>
          <w:color w:val="000000"/>
          <w:sz w:val="28"/>
        </w:rPr>
        <w:t>delivering the drug to a specific organ, tissue, cell or receptor – targeted and site-specific systems.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Combined control : </w:t>
      </w:r>
      <w:r>
        <w:rPr>
          <w:rFonts w:ascii="Comic Sans MS" w:hAnsi="Comic Sans MS" w:cs="Comic Sans MS"/>
          <w:b w:val="0"/>
          <w:i w:val="0"/>
          <w:color w:val="000000"/>
          <w:sz w:val="28"/>
        </w:rPr>
        <w:t>the most advanced systems control both rate and place simultaneously.</w:t>
      </w:r>
    </w:p>
    <w:p>
      <w:pPr>
        <w:spacing w:before="200" w:after="100" w:line="276" w:lineRule="auto"/>
        <w:keepNext/>
      </w:pPr>
      <w:r>
        <w:rPr>
          <w:rFonts w:ascii="Comic Sans MS" w:hAnsi="Comic Sans MS" w:cs="Comic Sans MS"/>
          <w:b/>
          <w:color w:val="FF0000"/>
          <w:sz w:val="32"/>
        </w:rPr>
        <w:t>I.3 Ideal Characteristics of a Drug Delivery System</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Deliver the drug at a controlled, predictable and reproducible rate.</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Maintain the therapeutic concentration for the desired duration with minimal fluctuation.</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Direct the drug to the target site and spare non-target tissues (where required).</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Be safe, biocompatible and free of toxic degradation products.</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Protect the drug from premature degradation.</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Improve patient compliance and convenience.</w:t>
      </w:r>
    </w:p>
    <w:p>
      <w:pPr>
        <w:spacing w:after="80"/>
        <w:ind w:left="576" w:hanging="403"/>
        <w:jc w:val="both"/>
      </w:pPr>
      <w:r>
        <w:rPr>
          <w:rFonts w:ascii="Comic Sans MS" w:hAnsi="Comic Sans MS" w:cs="Comic Sans MS"/>
          <w:b/>
          <w:sz w:val="28"/>
        </w:rPr>
        <w:t xml:space="preserve">7. </w:t>
      </w:r>
      <w:r>
        <w:rPr>
          <w:rFonts w:ascii="Comic Sans MS" w:hAnsi="Comic Sans MS" w:cs="Comic Sans MS"/>
          <w:color w:val="000000"/>
          <w:sz w:val="28"/>
        </w:rPr>
        <w:t>Be simple to manufacture, stable on storage and economical.</w:t>
      </w:r>
    </w:p>
    <w:p>
      <w:pPr>
        <w:spacing w:before="200" w:after="100" w:line="276" w:lineRule="auto"/>
        <w:keepNext/>
      </w:pPr>
      <w:r>
        <w:rPr>
          <w:rFonts w:ascii="Comic Sans MS" w:hAnsi="Comic Sans MS" w:cs="Comic Sans MS"/>
          <w:b/>
          <w:color w:val="FF0000"/>
          <w:sz w:val="32"/>
        </w:rPr>
        <w:t>I.4 Evolution / Generations of Drug Delivery</w:t>
      </w:r>
    </w:p>
    <w:p>
      <w:pPr>
        <w:spacing w:after="160"/>
        <w:jc w:val="both"/>
      </w:pPr>
      <w:r>
        <w:rPr>
          <w:rFonts w:ascii="Comic Sans MS" w:hAnsi="Comic Sans MS" w:cs="Comic Sans MS"/>
          <w:b w:val="0"/>
          <w:i w:val="0"/>
          <w:color w:val="000000"/>
          <w:sz w:val="28"/>
        </w:rPr>
        <w:t>The development of drug delivery is often described in generations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First generation (1950s–1980s) : </w:t>
      </w:r>
      <w:r>
        <w:rPr>
          <w:rFonts w:ascii="Comic Sans MS" w:hAnsi="Comic Sans MS" w:cs="Comic Sans MS"/>
          <w:b w:val="0"/>
          <w:i w:val="0"/>
          <w:color w:val="000000"/>
          <w:sz w:val="28"/>
        </w:rPr>
        <w:t>basic sustained- and controlled-release oral and transdermal systems; establishing the physicochemical principles of release.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Second generation (1980s–2010) : </w:t>
      </w:r>
      <w:r>
        <w:rPr>
          <w:rFonts w:ascii="Comic Sans MS" w:hAnsi="Comic Sans MS" w:cs="Comic Sans MS"/>
          <w:b w:val="0"/>
          <w:i w:val="0"/>
          <w:color w:val="000000"/>
          <w:sz w:val="28"/>
        </w:rPr>
        <w:t>smart / self-regulated systems, targeting, nanocarriers and delivery of peptides / proteins – many scientific successes but fewer clinical products because of biological barriers.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Third generation (2010–present) : </w:t>
      </w:r>
      <w:r>
        <w:rPr>
          <w:rFonts w:ascii="Comic Sans MS" w:hAnsi="Comic Sans MS" w:cs="Comic Sans MS"/>
          <w:b w:val="0"/>
          <w:i w:val="0"/>
          <w:color w:val="000000"/>
          <w:sz w:val="28"/>
        </w:rPr>
        <w:t>modulation of the biological environment, overcoming physiological barriers, personalized and 'smart' responsive delivery, and manufacturing advances such as 3D printing.</w:t>
      </w:r>
    </w:p>
    <w:p>
      <w:pPr>
        <w:spacing w:before="200" w:after="100" w:line="276" w:lineRule="auto"/>
        <w:keepNext/>
      </w:pPr>
      <w:r>
        <w:rPr>
          <w:rFonts w:ascii="Comic Sans MS" w:hAnsi="Comic Sans MS" w:cs="Comic Sans MS"/>
          <w:b/>
          <w:color w:val="FF0000"/>
          <w:sz w:val="32"/>
        </w:rPr>
        <w:t>I.5 Classification of Novel Delivery Systems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Basis</w:t>
            </w:r>
          </w:p>
        </w:tc>
        <w:tc>
          <w:tcPr>
            <w:tcW w:type="dxa" w:w="70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Types</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Rate of release</w:t>
            </w:r>
          </w:p>
        </w:tc>
        <w:tc>
          <w:tcPr>
            <w:tcW w:type="dxa" w:w="70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Immediate, sustained, controlled, delayed, pulsatile</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Route / site</w:t>
            </w:r>
          </w:p>
        </w:tc>
        <w:tc>
          <w:tcPr>
            <w:tcW w:type="dxa" w:w="70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Oral, transdermal, ocular, nasal, pulmonary, implantable, vaginal, uterine</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Mechanism</w:t>
            </w:r>
          </w:p>
        </w:tc>
        <w:tc>
          <w:tcPr>
            <w:tcW w:type="dxa" w:w="70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Diffusion, dissolution, osmotic, ion-exchange, erosion, swelling</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Carrier</w:t>
            </w:r>
          </w:p>
        </w:tc>
        <w:tc>
          <w:tcPr>
            <w:tcW w:type="dxa" w:w="70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Matrix / reservoir devices, microspheres, implants, patches, vesicles</w:t>
            </w:r>
          </w:p>
        </w:tc>
      </w:tr>
    </w:tbl>
    <w:p>
      <w:pPr>
        <w:spacing w:after="40"/>
      </w:pPr>
    </w:p>
    <w:p>
      <w:pPr>
        <w:spacing w:before="200" w:after="100" w:line="276" w:lineRule="auto"/>
        <w:keepNext/>
      </w:pPr>
      <w:r>
        <w:rPr>
          <w:rFonts w:ascii="Comic Sans MS" w:hAnsi="Comic Sans MS" w:cs="Comic Sans MS"/>
          <w:b/>
          <w:color w:val="FF0000"/>
          <w:sz w:val="32"/>
        </w:rPr>
        <w:t>I.6 Scope of this Course</w:t>
      </w:r>
    </w:p>
    <w:p>
      <w:pPr>
        <w:spacing w:after="160"/>
        <w:jc w:val="both"/>
      </w:pPr>
      <w:r>
        <w:rPr>
          <w:rFonts w:ascii="Comic Sans MS" w:hAnsi="Comic Sans MS" w:cs="Comic Sans MS"/>
          <w:b w:val="0"/>
          <w:i w:val="0"/>
          <w:color w:val="000000"/>
          <w:sz w:val="28"/>
        </w:rPr>
        <w:t>This course focuses on the systems specified in the syllabus : sustained and controlled release formulations and their oral mechanisms; microencapsulation; implants and inserts; transdermal systems; and the emerging field of personalized medicine. Throughout, emphasis is placed on the criteria for selecting suitable drugs and polymers, the mechanism of release, and the preparation, evaluation and application of each system.</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 – Sustained &amp; Controlled Release Formulations</w:t>
      </w:r>
    </w:p>
    <w:p>
      <w:pPr>
        <w:spacing w:before="200" w:after="100" w:line="276" w:lineRule="auto"/>
        <w:keepNext/>
      </w:pPr>
      <w:r>
        <w:rPr>
          <w:rFonts w:ascii="Comic Sans MS" w:hAnsi="Comic Sans MS" w:cs="Comic Sans MS"/>
          <w:b/>
          <w:color w:val="FF0000"/>
          <w:sz w:val="32"/>
        </w:rPr>
        <w:t>1.1 Introduction &amp; Basic Concepts</w:t>
      </w:r>
    </w:p>
    <w:p>
      <w:pPr>
        <w:spacing w:after="160"/>
        <w:jc w:val="both"/>
      </w:pPr>
      <w:r>
        <w:rPr>
          <w:rFonts w:ascii="Comic Sans MS" w:hAnsi="Comic Sans MS" w:cs="Comic Sans MS"/>
          <w:b w:val="0"/>
          <w:i w:val="0"/>
          <w:color w:val="000000"/>
          <w:sz w:val="28"/>
        </w:rPr>
        <w:t>The conventional (immediate-release) dosage form is designed to release the whole of its drug content promptly after administration so as to produce a rapid and complete systemic absorption. Although simple and inexpensive, such systems suffer from a characteristic 'peak-and-valley' plasma profile when the drug is given repeatedly. The plasma concentration rises above the minimum effective concentration (MEC), often overshooting the minimum toxic concentration (MTC), and then falls below the MEC before the next dose, so that the patient oscillates between periods of over-medication (toxicity) and under-medication (no effect). Frequent dosing also lowers patient compliance.</w:t>
      </w:r>
    </w:p>
    <w:p>
      <w:pPr>
        <w:spacing w:after="160"/>
        <w:jc w:val="both"/>
      </w:pPr>
      <w:r>
        <w:rPr>
          <w:rFonts w:ascii="Comic Sans MS" w:hAnsi="Comic Sans MS" w:cs="Comic Sans MS"/>
          <w:b w:val="0"/>
          <w:i w:val="0"/>
          <w:color w:val="000000"/>
          <w:sz w:val="28"/>
        </w:rPr>
        <w:t>A rate-controlled delivery system is designed to overcome these limitations by delivering the drug at a pre-determined rate, for a pre-determined period, and (in advanced systems) at a pre-determined site, so that the plasma concentration is maintained within the therapeutic window for a prolonged time from a single administration.</w:t>
      </w:r>
    </w:p>
    <w:p>
      <w:pPr>
        <w:spacing w:before="80" w:after="40"/>
        <w:jc w:val="center"/>
      </w:pPr>
      <w:r>
        <w:drawing>
          <wp:inline xmlns:a="http://schemas.openxmlformats.org/drawingml/2006/main" xmlns:pic="http://schemas.openxmlformats.org/drawingml/2006/picture">
            <wp:extent cx="4937760" cy="3158675"/>
            <wp:docPr id="1" name="Picture 1"/>
            <wp:cNvGraphicFramePr>
              <a:graphicFrameLocks noChangeAspect="1"/>
            </wp:cNvGraphicFramePr>
            <a:graphic>
              <a:graphicData uri="http://schemas.openxmlformats.org/drawingml/2006/picture">
                <pic:pic>
                  <pic:nvPicPr>
                    <pic:cNvPr id="0" name="plasma_profiles.png"/>
                    <pic:cNvPicPr/>
                  </pic:nvPicPr>
                  <pic:blipFill>
                    <a:blip r:embed="rId11"/>
                    <a:stretch>
                      <a:fillRect/>
                    </a:stretch>
                  </pic:blipFill>
                  <pic:spPr>
                    <a:xfrm>
                      <a:off x="0" y="0"/>
                      <a:ext cx="4937760" cy="3158675"/>
                    </a:xfrm>
                    <a:prstGeom prst="rect"/>
                  </pic:spPr>
                </pic:pic>
              </a:graphicData>
            </a:graphic>
          </wp:inline>
        </w:drawing>
      </w:r>
    </w:p>
    <w:p>
      <w:pPr>
        <w:spacing w:after="160" w:line="264" w:lineRule="auto"/>
        <w:jc w:val="center"/>
      </w:pPr>
      <w:r>
        <w:rPr>
          <w:rFonts w:ascii="Comic Sans MS" w:hAnsi="Comic Sans MS" w:cs="Comic Sans MS"/>
          <w:b/>
          <w:i/>
          <w:color w:val="595959"/>
          <w:sz w:val="22"/>
        </w:rPr>
        <w:t>Fig. 1 : Plasma drug concentration vs time for conventional, sustained and controlled release systems (MEC = minimum effective conc., MSC = maximum safe conc.)</w:t>
      </w:r>
    </w:p>
    <w:p>
      <w:pPr>
        <w:spacing w:before="140" w:after="60" w:line="276" w:lineRule="auto"/>
        <w:keepNext/>
      </w:pPr>
      <w:r>
        <w:rPr>
          <w:rFonts w:ascii="Comic Sans MS" w:hAnsi="Comic Sans MS" w:cs="Comic Sans MS"/>
          <w:b/>
          <w:color w:val="000000"/>
          <w:sz w:val="28"/>
        </w:rPr>
        <w:t>Therapeutic Window</w:t>
      </w:r>
    </w:p>
    <w:p>
      <w:pPr>
        <w:spacing w:after="160"/>
        <w:jc w:val="both"/>
      </w:pPr>
      <w:r>
        <w:rPr>
          <w:rFonts w:ascii="Comic Sans MS" w:hAnsi="Comic Sans MS" w:cs="Comic Sans MS"/>
          <w:b/>
          <w:i w:val="0"/>
          <w:color w:val="000000"/>
          <w:sz w:val="28"/>
        </w:rPr>
        <w:t xml:space="preserve">The therapeutic window (therapeutic range) </w:t>
      </w:r>
      <w:r>
        <w:rPr>
          <w:rFonts w:ascii="Comic Sans MS" w:hAnsi="Comic Sans MS" w:cs="Comic Sans MS"/>
          <w:b w:val="0"/>
          <w:i w:val="0"/>
          <w:color w:val="000000"/>
          <w:sz w:val="28"/>
        </w:rPr>
        <w:t xml:space="preserve">is the range of plasma drug concentration that lies between the </w:t>
      </w:r>
      <w:r>
        <w:rPr>
          <w:rFonts w:ascii="Comic Sans MS" w:hAnsi="Comic Sans MS" w:cs="Comic Sans MS"/>
          <w:b w:val="0"/>
          <w:i/>
          <w:color w:val="000000"/>
          <w:sz w:val="28"/>
        </w:rPr>
        <w:t xml:space="preserve">minimum effective concentration (MEC) </w:t>
      </w:r>
      <w:r>
        <w:rPr>
          <w:rFonts w:ascii="Comic Sans MS" w:hAnsi="Comic Sans MS" w:cs="Comic Sans MS"/>
          <w:b w:val="0"/>
          <w:i w:val="0"/>
          <w:color w:val="000000"/>
          <w:sz w:val="28"/>
        </w:rPr>
        <w:t xml:space="preserve">and the </w:t>
      </w:r>
      <w:r>
        <w:rPr>
          <w:rFonts w:ascii="Comic Sans MS" w:hAnsi="Comic Sans MS" w:cs="Comic Sans MS"/>
          <w:b w:val="0"/>
          <w:i/>
          <w:color w:val="000000"/>
          <w:sz w:val="28"/>
        </w:rPr>
        <w:t xml:space="preserve">maximum safe / toxic concentration (MSC / MTC). </w:t>
      </w:r>
      <w:r>
        <w:rPr>
          <w:rFonts w:ascii="Comic Sans MS" w:hAnsi="Comic Sans MS" w:cs="Comic Sans MS"/>
          <w:b w:val="0"/>
          <w:i w:val="0"/>
          <w:color w:val="000000"/>
          <w:sz w:val="28"/>
        </w:rPr>
        <w:t>An ideal delivery system keeps the plasma level within this band for the entire duration of therapy. The narrower the window, the greater the need for rate control.</w:t>
      </w:r>
    </w:p>
    <w:p>
      <w:pPr>
        <w:spacing w:before="140" w:after="60" w:line="276" w:lineRule="auto"/>
        <w:keepNext/>
      </w:pPr>
      <w:r>
        <w:rPr>
          <w:rFonts w:ascii="Comic Sans MS" w:hAnsi="Comic Sans MS" w:cs="Comic Sans MS"/>
          <w:b/>
          <w:color w:val="000000"/>
          <w:sz w:val="28"/>
        </w:rPr>
        <w:t>Rationale for Rate-Controlled Delivery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maintain a constant, therapeutically effective plasma level with minimum fluctuation.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reduce the frequency of administration (e.g., once or twice daily instead of every few hours).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reduce the total dose and dose-related side effects.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improve patient compliance and convenience.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deliver the drug to a specific site when required (spatial control).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 make the therapy more economical over the course of treatment.</w:t>
      </w:r>
    </w:p>
    <w:p>
      <w:pPr>
        <w:spacing w:before="200" w:after="100" w:line="276" w:lineRule="auto"/>
        <w:keepNext/>
      </w:pPr>
      <w:r>
        <w:rPr>
          <w:rFonts w:ascii="Comic Sans MS" w:hAnsi="Comic Sans MS" w:cs="Comic Sans MS"/>
          <w:b/>
          <w:color w:val="FF0000"/>
          <w:sz w:val="32"/>
        </w:rPr>
        <w:t>1.2 Terminology of Modified-Release Systems</w:t>
      </w:r>
    </w:p>
    <w:p>
      <w:pPr>
        <w:spacing w:after="160"/>
        <w:jc w:val="both"/>
      </w:pPr>
      <w:r>
        <w:rPr>
          <w:rFonts w:ascii="Comic Sans MS" w:hAnsi="Comic Sans MS" w:cs="Comic Sans MS"/>
          <w:b w:val="0"/>
          <w:i w:val="0"/>
          <w:color w:val="000000"/>
          <w:sz w:val="28"/>
        </w:rPr>
        <w:t>The term 'modified-release' is an umbrella term covering all dosage forms whose drug-release characteristics of time-course and/or location are chosen to accomplish therapeutic or convenience objectives not offered by conventional forms. The important sub-categories are defined below.</w:t>
      </w:r>
    </w:p>
    <w:p>
      <w:pPr>
        <w:spacing w:before="80" w:after="40"/>
        <w:jc w:val="center"/>
      </w:pPr>
      <w:r>
        <w:drawing>
          <wp:inline xmlns:a="http://schemas.openxmlformats.org/drawingml/2006/main" xmlns:pic="http://schemas.openxmlformats.org/drawingml/2006/picture">
            <wp:extent cx="4754880" cy="3066132"/>
            <wp:docPr id="2" name="Picture 2"/>
            <wp:cNvGraphicFramePr>
              <a:graphicFrameLocks noChangeAspect="1"/>
            </wp:cNvGraphicFramePr>
            <a:graphic>
              <a:graphicData uri="http://schemas.openxmlformats.org/drawingml/2006/picture">
                <pic:pic>
                  <pic:nvPicPr>
                    <pic:cNvPr id="0" name="release_terminology.png"/>
                    <pic:cNvPicPr/>
                  </pic:nvPicPr>
                  <pic:blipFill>
                    <a:blip r:embed="rId12"/>
                    <a:stretch>
                      <a:fillRect/>
                    </a:stretch>
                  </pic:blipFill>
                  <pic:spPr>
                    <a:xfrm>
                      <a:off x="0" y="0"/>
                      <a:ext cx="4754880" cy="3066132"/>
                    </a:xfrm>
                    <a:prstGeom prst="rect"/>
                  </pic:spPr>
                </pic:pic>
              </a:graphicData>
            </a:graphic>
          </wp:inline>
        </w:drawing>
      </w:r>
    </w:p>
    <w:p>
      <w:pPr>
        <w:spacing w:after="160" w:line="264" w:lineRule="auto"/>
        <w:jc w:val="center"/>
      </w:pPr>
      <w:r>
        <w:rPr>
          <w:rFonts w:ascii="Comic Sans MS" w:hAnsi="Comic Sans MS" w:cs="Comic Sans MS"/>
          <w:b/>
          <w:i/>
          <w:color w:val="595959"/>
          <w:sz w:val="22"/>
        </w:rPr>
        <w:t>Fig. 2 : Release profiles illustrating immediate, sustained, delayed and repeat-action systems</w:t>
      </w:r>
    </w:p>
    <w:p>
      <w:pPr>
        <w:spacing w:before="140" w:after="60" w:line="276" w:lineRule="auto"/>
        <w:keepNext/>
      </w:pPr>
      <w:r>
        <w:rPr>
          <w:rFonts w:ascii="Comic Sans MS" w:hAnsi="Comic Sans MS" w:cs="Comic Sans MS"/>
          <w:b/>
          <w:color w:val="000000"/>
          <w:sz w:val="28"/>
        </w:rPr>
        <w:t>Sustained-Release System</w:t>
      </w:r>
    </w:p>
    <w:p>
      <w:pPr>
        <w:spacing w:after="160"/>
        <w:jc w:val="both"/>
      </w:pPr>
      <w:r>
        <w:rPr>
          <w:rFonts w:ascii="Comic Sans MS" w:hAnsi="Comic Sans MS" w:cs="Comic Sans MS"/>
          <w:b w:val="0"/>
          <w:i w:val="0"/>
          <w:color w:val="000000"/>
          <w:sz w:val="28"/>
        </w:rPr>
        <w:t>A system that provides an initial dose sufficient to produce the therapeutic response promptly, followed by a gradual (slower) release of drug at a rate that will maintain the therapeutic level over an extended period. The release rate is slowed but is not necessarily constant – i.e., sustained release prolongs the duration of action but does not strictly control the plasma level. (Synonyms : sustained-action, prolonged-action, extended-release, retard.)</w:t>
      </w:r>
    </w:p>
    <w:p>
      <w:pPr>
        <w:spacing w:before="140" w:after="60" w:line="276" w:lineRule="auto"/>
        <w:keepNext/>
      </w:pPr>
      <w:r>
        <w:rPr>
          <w:rFonts w:ascii="Comic Sans MS" w:hAnsi="Comic Sans MS" w:cs="Comic Sans MS"/>
          <w:b/>
          <w:color w:val="000000"/>
          <w:sz w:val="28"/>
        </w:rPr>
        <w:t>Controlled-Release System</w:t>
      </w:r>
    </w:p>
    <w:p>
      <w:pPr>
        <w:spacing w:after="160"/>
        <w:jc w:val="both"/>
      </w:pPr>
      <w:r>
        <w:rPr>
          <w:rFonts w:ascii="Comic Sans MS" w:hAnsi="Comic Sans MS" w:cs="Comic Sans MS"/>
          <w:b w:val="0"/>
          <w:i w:val="0"/>
          <w:color w:val="000000"/>
          <w:sz w:val="28"/>
        </w:rPr>
        <w:t>A system that releases the drug at a pre-determined, usually constant (zero-order) rate and, ideally, maintains a constant plasma or tissue concentration for a defined period. Controlled release implies a higher degree of control over the temporal and sometimes spatial delivery than sustained release; it seeks to reduce the plasma-level fluctuation to near zero.</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SR vs CR – the key distinction</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Sustained release </w:t>
            </w:r>
            <w:r>
              <w:rPr>
                <w:rFonts w:ascii="Comic Sans MS" w:hAnsi="Comic Sans MS" w:cs="Comic Sans MS"/>
                <w:b w:val="0"/>
                <w:i w:val="0"/>
                <w:color w:val="000000"/>
                <w:sz w:val="28"/>
              </w:rPr>
              <w:t>– only prolongs the duration of action; release rate declines with time (usually first-order / Higuchi); some fluctuation persists.</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Controlled release </w:t>
            </w:r>
            <w:r>
              <w:rPr>
                <w:rFonts w:ascii="Comic Sans MS" w:hAnsi="Comic Sans MS" w:cs="Comic Sans MS"/>
                <w:b w:val="0"/>
                <w:i w:val="0"/>
                <w:color w:val="000000"/>
                <w:sz w:val="28"/>
              </w:rPr>
              <w:t>– maintains a constant drug level by releasing at a constant (zero-order) rate; predictable and reproducible; little or no fluctuation.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Thus every CR system is sustained, but not every SR system is truly controlled.</w:t>
            </w:r>
          </w:p>
        </w:tc>
      </w:tr>
    </w:tbl>
    <w:p>
      <w:pPr>
        <w:spacing w:after="40"/>
      </w:pPr>
    </w:p>
    <w:p>
      <w:pPr>
        <w:spacing w:before="140" w:after="60" w:line="276" w:lineRule="auto"/>
        <w:keepNext/>
      </w:pPr>
      <w:r>
        <w:rPr>
          <w:rFonts w:ascii="Comic Sans MS" w:hAnsi="Comic Sans MS" w:cs="Comic Sans MS"/>
          <w:b/>
          <w:color w:val="000000"/>
          <w:sz w:val="28"/>
        </w:rPr>
        <w:t>Other Terms</w:t>
      </w:r>
    </w:p>
    <w:p>
      <w:pPr>
        <w:spacing w:after="160"/>
        <w:jc w:val="both"/>
      </w:pPr>
      <w:r>
        <w:rPr>
          <w:rFonts w:ascii="Comic Sans MS" w:hAnsi="Comic Sans MS" w:cs="Comic Sans MS"/>
          <w:b/>
          <w:i w:val="0"/>
          <w:color w:val="000000"/>
          <w:sz w:val="28"/>
        </w:rPr>
        <w:t xml:space="preserve">Delayed-release system : </w:t>
      </w:r>
      <w:r>
        <w:rPr>
          <w:rFonts w:ascii="Comic Sans MS" w:hAnsi="Comic Sans MS" w:cs="Comic Sans MS"/>
          <w:b w:val="0"/>
          <w:i w:val="0"/>
          <w:color w:val="000000"/>
          <w:sz w:val="28"/>
        </w:rPr>
        <w:t>releases the drug at a time other than promptly after administration, e.g., enteric-coated tablets that release drug only after they leave the stomach. The total amount is released but at a later time; the rate is not necessarily slowed.</w:t>
      </w:r>
    </w:p>
    <w:p>
      <w:pPr>
        <w:spacing w:after="160"/>
        <w:jc w:val="both"/>
      </w:pPr>
      <w:r>
        <w:rPr>
          <w:rFonts w:ascii="Comic Sans MS" w:hAnsi="Comic Sans MS" w:cs="Comic Sans MS"/>
          <w:b/>
          <w:i w:val="0"/>
          <w:color w:val="000000"/>
          <w:sz w:val="28"/>
        </w:rPr>
        <w:t xml:space="preserve">Repeat-action system : </w:t>
      </w:r>
      <w:r>
        <w:rPr>
          <w:rFonts w:ascii="Comic Sans MS" w:hAnsi="Comic Sans MS" w:cs="Comic Sans MS"/>
          <w:b w:val="0"/>
          <w:i w:val="0"/>
          <w:color w:val="000000"/>
          <w:sz w:val="28"/>
        </w:rPr>
        <w:t>releases one dose immediately and a second (or subsequent) equal dose after a lag period, mimicking repeated administration; typically a coated inner core within an immediate-release outer layer.</w:t>
      </w:r>
    </w:p>
    <w:p>
      <w:pPr>
        <w:spacing w:after="160"/>
        <w:jc w:val="both"/>
      </w:pPr>
      <w:r>
        <w:rPr>
          <w:rFonts w:ascii="Comic Sans MS" w:hAnsi="Comic Sans MS" w:cs="Comic Sans MS"/>
          <w:b/>
          <w:i w:val="0"/>
          <w:color w:val="000000"/>
          <w:sz w:val="28"/>
        </w:rPr>
        <w:t xml:space="preserve">Site-specific / targeted system : </w:t>
      </w:r>
      <w:r>
        <w:rPr>
          <w:rFonts w:ascii="Comic Sans MS" w:hAnsi="Comic Sans MS" w:cs="Comic Sans MS"/>
          <w:b w:val="0"/>
          <w:i w:val="0"/>
          <w:color w:val="000000"/>
          <w:sz w:val="28"/>
        </w:rPr>
        <w:t>delivers the drug to a particular organ, tissue or cell (spatial placement of control) – e.g., colon-targeted, hepatic or tumour-targeted systems.</w:t>
      </w:r>
    </w:p>
    <w:p>
      <w:pPr>
        <w:spacing w:after="160"/>
        <w:jc w:val="both"/>
      </w:pPr>
      <w:r>
        <w:rPr>
          <w:rFonts w:ascii="Comic Sans MS" w:hAnsi="Comic Sans MS" w:cs="Comic Sans MS"/>
          <w:b/>
          <w:i w:val="0"/>
          <w:color w:val="000000"/>
          <w:sz w:val="28"/>
        </w:rPr>
        <w:t xml:space="preserve">Receptor targeting : </w:t>
      </w:r>
      <w:r>
        <w:rPr>
          <w:rFonts w:ascii="Comic Sans MS" w:hAnsi="Comic Sans MS" w:cs="Comic Sans MS"/>
          <w:b w:val="0"/>
          <w:i w:val="0"/>
          <w:color w:val="000000"/>
          <w:sz w:val="28"/>
        </w:rPr>
        <w:t>delivery directed to a particular receptor for a drug within an organ or tissue – the ultimate refinement of site-specific delivery.</w:t>
      </w:r>
    </w:p>
    <w:p>
      <w:pPr>
        <w:spacing w:after="160"/>
        <w:jc w:val="both"/>
      </w:pPr>
      <w:r>
        <w:rPr>
          <w:rFonts w:ascii="Comic Sans MS" w:hAnsi="Comic Sans MS" w:cs="Comic Sans MS"/>
          <w:b/>
          <w:i w:val="0"/>
          <w:color w:val="000000"/>
          <w:sz w:val="28"/>
        </w:rPr>
        <w:t xml:space="preserve">Extended-release : </w:t>
      </w:r>
      <w:r>
        <w:rPr>
          <w:rFonts w:ascii="Comic Sans MS" w:hAnsi="Comic Sans MS" w:cs="Comic Sans MS"/>
          <w:b w:val="0"/>
          <w:i w:val="0"/>
          <w:color w:val="000000"/>
          <w:sz w:val="28"/>
        </w:rPr>
        <w:t>an FDA/USP term encompassing both sustained- and controlled-release products that allow at least a two-fold reduction in dosing frequency compared with the conventional form.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Term</w:t>
            </w:r>
          </w:p>
        </w:tc>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Temporal control</w:t>
            </w:r>
          </w:p>
        </w:tc>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Spatial (site) control</w:t>
            </w:r>
          </w:p>
        </w:tc>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Example</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Immediate release</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None (prompt)</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None</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Conventional tablet</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Sustained release</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Prolonged, rate declines</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None</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Matrix retard tablet</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Controlled release</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Constant (zero-order)</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Sometimes</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Osmotic pump (OROS)</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Delayed release</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Time-shifted</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GI region</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Enteric-coated tablet</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Repeat action</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Pulsatile (2 doses)</w:t>
            </w:r>
          </w:p>
        </w:tc>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None</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Two-layer coated tablet</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Site specific</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Optional</w:t>
            </w:r>
          </w:p>
        </w:tc>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Organ / tissue</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Colon-targeted capsule</w:t>
            </w:r>
          </w:p>
        </w:tc>
      </w:tr>
    </w:tbl>
    <w:p>
      <w:pPr>
        <w:spacing w:after="40"/>
      </w:pPr>
    </w:p>
    <w:p>
      <w:pPr>
        <w:spacing w:before="200" w:after="100" w:line="276" w:lineRule="auto"/>
        <w:keepNext/>
      </w:pPr>
      <w:r>
        <w:rPr>
          <w:rFonts w:ascii="Comic Sans MS" w:hAnsi="Comic Sans MS" w:cs="Comic Sans MS"/>
          <w:b/>
          <w:color w:val="FF0000"/>
          <w:sz w:val="32"/>
        </w:rPr>
        <w:t>1.3 Advantages &amp; Disadvantages of SR / CR Systems</w:t>
      </w:r>
    </w:p>
    <w:p>
      <w:pPr>
        <w:spacing w:before="140" w:after="60" w:line="276" w:lineRule="auto"/>
        <w:keepNext/>
      </w:pPr>
      <w:r>
        <w:rPr>
          <w:rFonts w:ascii="Comic Sans MS" w:hAnsi="Comic Sans MS" w:cs="Comic Sans MS"/>
          <w:b/>
          <w:color w:val="000000"/>
          <w:sz w:val="28"/>
        </w:rPr>
        <w:t>Advantages</w:t>
      </w:r>
    </w:p>
    <w:p>
      <w:pPr>
        <w:spacing w:after="80"/>
        <w:ind w:left="576" w:hanging="403"/>
        <w:jc w:val="both"/>
      </w:pPr>
      <w:r>
        <w:rPr>
          <w:rFonts w:ascii="Comic Sans MS" w:hAnsi="Comic Sans MS" w:cs="Comic Sans MS"/>
          <w:b/>
          <w:sz w:val="28"/>
        </w:rPr>
        <w:t xml:space="preserve">1. </w:t>
      </w:r>
      <w:r>
        <w:rPr>
          <w:rFonts w:ascii="Comic Sans MS" w:hAnsi="Comic Sans MS" w:cs="Comic Sans MS"/>
          <w:b/>
          <w:i w:val="0"/>
          <w:color w:val="000000"/>
          <w:sz w:val="28"/>
        </w:rPr>
        <w:t xml:space="preserve">Improved patient compliance </w:t>
      </w:r>
      <w:r>
        <w:rPr>
          <w:rFonts w:ascii="Comic Sans MS" w:hAnsi="Comic Sans MS" w:cs="Comic Sans MS"/>
          <w:b w:val="0"/>
          <w:i w:val="0"/>
          <w:color w:val="000000"/>
          <w:sz w:val="28"/>
        </w:rPr>
        <w:t>due to reduced frequency of dosing.</w:t>
      </w:r>
    </w:p>
    <w:p>
      <w:pPr>
        <w:spacing w:after="80"/>
        <w:ind w:left="576" w:hanging="403"/>
        <w:jc w:val="both"/>
      </w:pPr>
      <w:r>
        <w:rPr>
          <w:rFonts w:ascii="Comic Sans MS" w:hAnsi="Comic Sans MS" w:cs="Comic Sans MS"/>
          <w:b/>
          <w:sz w:val="28"/>
        </w:rPr>
        <w:t xml:space="preserve">2. </w:t>
      </w:r>
      <w:r>
        <w:rPr>
          <w:rFonts w:ascii="Comic Sans MS" w:hAnsi="Comic Sans MS" w:cs="Comic Sans MS"/>
          <w:b/>
          <w:i w:val="0"/>
          <w:color w:val="000000"/>
          <w:sz w:val="28"/>
        </w:rPr>
        <w:t xml:space="preserve">Reduced plasma-level fluctuation </w:t>
      </w:r>
      <w:r>
        <w:rPr>
          <w:rFonts w:ascii="Comic Sans MS" w:hAnsi="Comic Sans MS" w:cs="Comic Sans MS"/>
          <w:b w:val="0"/>
          <w:i w:val="0"/>
          <w:color w:val="000000"/>
          <w:sz w:val="28"/>
        </w:rPr>
        <w:t>– a more uniform effect and fewer concentration-dependent adverse effects.</w:t>
      </w:r>
    </w:p>
    <w:p>
      <w:pPr>
        <w:spacing w:after="80"/>
        <w:ind w:left="576" w:hanging="403"/>
        <w:jc w:val="both"/>
      </w:pPr>
      <w:r>
        <w:rPr>
          <w:rFonts w:ascii="Comic Sans MS" w:hAnsi="Comic Sans MS" w:cs="Comic Sans MS"/>
          <w:b/>
          <w:sz w:val="28"/>
        </w:rPr>
        <w:t xml:space="preserve">3. </w:t>
      </w:r>
      <w:r>
        <w:rPr>
          <w:rFonts w:ascii="Comic Sans MS" w:hAnsi="Comic Sans MS" w:cs="Comic Sans MS"/>
          <w:b/>
          <w:i w:val="0"/>
          <w:color w:val="000000"/>
          <w:sz w:val="28"/>
        </w:rPr>
        <w:t xml:space="preserve">Reduction in total dose </w:t>
      </w:r>
      <w:r>
        <w:rPr>
          <w:rFonts w:ascii="Comic Sans MS" w:hAnsi="Comic Sans MS" w:cs="Comic Sans MS"/>
          <w:b w:val="0"/>
          <w:i w:val="0"/>
          <w:color w:val="000000"/>
          <w:sz w:val="28"/>
        </w:rPr>
        <w:t>of drug used over the course of therapy in many cases.</w:t>
      </w:r>
    </w:p>
    <w:p>
      <w:pPr>
        <w:spacing w:after="80"/>
        <w:ind w:left="576" w:hanging="403"/>
        <w:jc w:val="both"/>
      </w:pPr>
      <w:r>
        <w:rPr>
          <w:rFonts w:ascii="Comic Sans MS" w:hAnsi="Comic Sans MS" w:cs="Comic Sans MS"/>
          <w:b/>
          <w:sz w:val="28"/>
        </w:rPr>
        <w:t xml:space="preserve">4. </w:t>
      </w:r>
      <w:r>
        <w:rPr>
          <w:rFonts w:ascii="Comic Sans MS" w:hAnsi="Comic Sans MS" w:cs="Comic Sans MS"/>
          <w:b/>
          <w:i w:val="0"/>
          <w:color w:val="000000"/>
          <w:sz w:val="28"/>
        </w:rPr>
        <w:t xml:space="preserve">Reduced night-time dosing </w:t>
      </w:r>
      <w:r>
        <w:rPr>
          <w:rFonts w:ascii="Comic Sans MS" w:hAnsi="Comic Sans MS" w:cs="Comic Sans MS"/>
          <w:b w:val="0"/>
          <w:i w:val="0"/>
          <w:color w:val="000000"/>
          <w:sz w:val="28"/>
        </w:rPr>
        <w:t>and uninterrupted sleep for the patient.</w:t>
      </w:r>
    </w:p>
    <w:p>
      <w:pPr>
        <w:spacing w:after="80"/>
        <w:ind w:left="576" w:hanging="403"/>
        <w:jc w:val="both"/>
      </w:pPr>
      <w:r>
        <w:rPr>
          <w:rFonts w:ascii="Comic Sans MS" w:hAnsi="Comic Sans MS" w:cs="Comic Sans MS"/>
          <w:b/>
          <w:sz w:val="28"/>
        </w:rPr>
        <w:t xml:space="preserve">5. </w:t>
      </w:r>
      <w:r>
        <w:rPr>
          <w:rFonts w:ascii="Comic Sans MS" w:hAnsi="Comic Sans MS" w:cs="Comic Sans MS"/>
          <w:b/>
          <w:i w:val="0"/>
          <w:color w:val="000000"/>
          <w:sz w:val="28"/>
        </w:rPr>
        <w:t xml:space="preserve">Reduction of drug accumulation </w:t>
      </w:r>
      <w:r>
        <w:rPr>
          <w:rFonts w:ascii="Comic Sans MS" w:hAnsi="Comic Sans MS" w:cs="Comic Sans MS"/>
          <w:b w:val="0"/>
          <w:i w:val="0"/>
          <w:color w:val="000000"/>
          <w:sz w:val="28"/>
        </w:rPr>
        <w:t>with chronic therapy.</w:t>
      </w:r>
    </w:p>
    <w:p>
      <w:pPr>
        <w:spacing w:after="80"/>
        <w:ind w:left="576" w:hanging="403"/>
        <w:jc w:val="both"/>
      </w:pPr>
      <w:r>
        <w:rPr>
          <w:rFonts w:ascii="Comic Sans MS" w:hAnsi="Comic Sans MS" w:cs="Comic Sans MS"/>
          <w:b/>
          <w:sz w:val="28"/>
        </w:rPr>
        <w:t xml:space="preserve">6. </w:t>
      </w:r>
      <w:r>
        <w:rPr>
          <w:rFonts w:ascii="Comic Sans MS" w:hAnsi="Comic Sans MS" w:cs="Comic Sans MS"/>
          <w:b/>
          <w:i w:val="0"/>
          <w:color w:val="000000"/>
          <w:sz w:val="28"/>
        </w:rPr>
        <w:t xml:space="preserve">Improved efficiency of treatment </w:t>
      </w:r>
      <w:r>
        <w:rPr>
          <w:rFonts w:ascii="Comic Sans MS" w:hAnsi="Comic Sans MS" w:cs="Comic Sans MS"/>
          <w:b w:val="0"/>
          <w:i w:val="0"/>
          <w:color w:val="000000"/>
          <w:sz w:val="28"/>
        </w:rPr>
        <w:t>– better control of the condition with a smoother response.</w:t>
      </w:r>
    </w:p>
    <w:p>
      <w:pPr>
        <w:spacing w:after="80"/>
        <w:ind w:left="576" w:hanging="403"/>
        <w:jc w:val="both"/>
      </w:pPr>
      <w:r>
        <w:rPr>
          <w:rFonts w:ascii="Comic Sans MS" w:hAnsi="Comic Sans MS" w:cs="Comic Sans MS"/>
          <w:b/>
          <w:sz w:val="28"/>
        </w:rPr>
        <w:t xml:space="preserve">7. </w:t>
      </w:r>
      <w:r>
        <w:rPr>
          <w:rFonts w:ascii="Comic Sans MS" w:hAnsi="Comic Sans MS" w:cs="Comic Sans MS"/>
          <w:b/>
          <w:i w:val="0"/>
          <w:color w:val="000000"/>
          <w:sz w:val="28"/>
        </w:rPr>
        <w:t xml:space="preserve">Economy </w:t>
      </w:r>
      <w:r>
        <w:rPr>
          <w:rFonts w:ascii="Comic Sans MS" w:hAnsi="Comic Sans MS" w:cs="Comic Sans MS"/>
          <w:b w:val="0"/>
          <w:i w:val="0"/>
          <w:color w:val="000000"/>
          <w:sz w:val="28"/>
        </w:rPr>
        <w:t>– although unit cost is higher, the overall cost of therapy may be lower.</w:t>
      </w:r>
    </w:p>
    <w:p>
      <w:pPr>
        <w:spacing w:before="140" w:after="60" w:line="276" w:lineRule="auto"/>
        <w:keepNext/>
      </w:pPr>
      <w:r>
        <w:rPr>
          <w:rFonts w:ascii="Comic Sans MS" w:hAnsi="Comic Sans MS" w:cs="Comic Sans MS"/>
          <w:b/>
          <w:color w:val="000000"/>
          <w:sz w:val="28"/>
        </w:rPr>
        <w:t>Disadvantages</w:t>
      </w:r>
    </w:p>
    <w:p>
      <w:pPr>
        <w:spacing w:after="80"/>
        <w:ind w:left="576" w:hanging="403"/>
        <w:jc w:val="both"/>
      </w:pPr>
      <w:r>
        <w:rPr>
          <w:rFonts w:ascii="Comic Sans MS" w:hAnsi="Comic Sans MS" w:cs="Comic Sans MS"/>
          <w:b/>
          <w:sz w:val="28"/>
        </w:rPr>
        <w:t xml:space="preserve">1. </w:t>
      </w:r>
      <w:r>
        <w:rPr>
          <w:rFonts w:ascii="Comic Sans MS" w:hAnsi="Comic Sans MS" w:cs="Comic Sans MS"/>
          <w:b/>
          <w:i w:val="0"/>
          <w:color w:val="000000"/>
          <w:sz w:val="28"/>
        </w:rPr>
        <w:t xml:space="preserve">Dose dumping </w:t>
      </w:r>
      <w:r>
        <w:rPr>
          <w:rFonts w:ascii="Comic Sans MS" w:hAnsi="Comic Sans MS" w:cs="Comic Sans MS"/>
          <w:b w:val="0"/>
          <w:i w:val="0"/>
          <w:color w:val="000000"/>
          <w:sz w:val="28"/>
        </w:rPr>
        <w:t>– accidental, rapid release of the entire dose can cause toxicity if the system fails.</w:t>
      </w:r>
    </w:p>
    <w:p>
      <w:pPr>
        <w:spacing w:after="80"/>
        <w:ind w:left="576" w:hanging="403"/>
        <w:jc w:val="both"/>
      </w:pPr>
      <w:r>
        <w:rPr>
          <w:rFonts w:ascii="Comic Sans MS" w:hAnsi="Comic Sans MS" w:cs="Comic Sans MS"/>
          <w:b/>
          <w:sz w:val="28"/>
        </w:rPr>
        <w:t xml:space="preserve">2. </w:t>
      </w:r>
      <w:r>
        <w:rPr>
          <w:rFonts w:ascii="Comic Sans MS" w:hAnsi="Comic Sans MS" w:cs="Comic Sans MS"/>
          <w:b/>
          <w:i w:val="0"/>
          <w:color w:val="000000"/>
          <w:sz w:val="28"/>
        </w:rPr>
        <w:t xml:space="preserve">Poor in-vivo / in-vitro correlation </w:t>
      </w:r>
      <w:r>
        <w:rPr>
          <w:rFonts w:ascii="Comic Sans MS" w:hAnsi="Comic Sans MS" w:cs="Comic Sans MS"/>
          <w:b w:val="0"/>
          <w:i w:val="0"/>
          <w:color w:val="000000"/>
          <w:sz w:val="28"/>
        </w:rPr>
        <w:t>in some cases.</w:t>
      </w:r>
    </w:p>
    <w:p>
      <w:pPr>
        <w:spacing w:after="80"/>
        <w:ind w:left="576" w:hanging="403"/>
        <w:jc w:val="both"/>
      </w:pPr>
      <w:r>
        <w:rPr>
          <w:rFonts w:ascii="Comic Sans MS" w:hAnsi="Comic Sans MS" w:cs="Comic Sans MS"/>
          <w:b/>
          <w:sz w:val="28"/>
        </w:rPr>
        <w:t xml:space="preserve">3. </w:t>
      </w:r>
      <w:r>
        <w:rPr>
          <w:rFonts w:ascii="Comic Sans MS" w:hAnsi="Comic Sans MS" w:cs="Comic Sans MS"/>
          <w:b/>
          <w:i w:val="0"/>
          <w:color w:val="000000"/>
          <w:sz w:val="28"/>
        </w:rPr>
        <w:t xml:space="preserve">Reduced ability to adjust the dose </w:t>
      </w:r>
      <w:r>
        <w:rPr>
          <w:rFonts w:ascii="Comic Sans MS" w:hAnsi="Comic Sans MS" w:cs="Comic Sans MS"/>
          <w:b w:val="0"/>
          <w:i w:val="0"/>
          <w:color w:val="000000"/>
          <w:sz w:val="28"/>
        </w:rPr>
        <w:t>or to promptly terminate therapy (e.g., in adverse reactions the dose cannot be quickly withdrawn).</w:t>
      </w:r>
    </w:p>
    <w:p>
      <w:pPr>
        <w:spacing w:after="80"/>
        <w:ind w:left="576" w:hanging="403"/>
        <w:jc w:val="both"/>
      </w:pPr>
      <w:r>
        <w:rPr>
          <w:rFonts w:ascii="Comic Sans MS" w:hAnsi="Comic Sans MS" w:cs="Comic Sans MS"/>
          <w:b/>
          <w:sz w:val="28"/>
        </w:rPr>
        <w:t xml:space="preserve">4. </w:t>
      </w:r>
      <w:r>
        <w:rPr>
          <w:rFonts w:ascii="Comic Sans MS" w:hAnsi="Comic Sans MS" w:cs="Comic Sans MS"/>
          <w:b/>
          <w:i w:val="0"/>
          <w:color w:val="000000"/>
          <w:sz w:val="28"/>
        </w:rPr>
        <w:t xml:space="preserve">Higher cost </w:t>
      </w:r>
      <w:r>
        <w:rPr>
          <w:rFonts w:ascii="Comic Sans MS" w:hAnsi="Comic Sans MS" w:cs="Comic Sans MS"/>
          <w:b w:val="0"/>
          <w:i w:val="0"/>
          <w:color w:val="000000"/>
          <w:sz w:val="28"/>
        </w:rPr>
        <w:t>of manufacture and sophisticated technology required.</w:t>
      </w:r>
    </w:p>
    <w:p>
      <w:pPr>
        <w:spacing w:after="80"/>
        <w:ind w:left="576" w:hanging="403"/>
        <w:jc w:val="both"/>
      </w:pPr>
      <w:r>
        <w:rPr>
          <w:rFonts w:ascii="Comic Sans MS" w:hAnsi="Comic Sans MS" w:cs="Comic Sans MS"/>
          <w:b/>
          <w:sz w:val="28"/>
        </w:rPr>
        <w:t xml:space="preserve">5. </w:t>
      </w:r>
      <w:r>
        <w:rPr>
          <w:rFonts w:ascii="Comic Sans MS" w:hAnsi="Comic Sans MS" w:cs="Comic Sans MS"/>
          <w:b/>
          <w:i w:val="0"/>
          <w:color w:val="000000"/>
          <w:sz w:val="28"/>
        </w:rPr>
        <w:t xml:space="preserve">First-pass metabolism </w:t>
      </w:r>
      <w:r>
        <w:rPr>
          <w:rFonts w:ascii="Comic Sans MS" w:hAnsi="Comic Sans MS" w:cs="Comic Sans MS"/>
          <w:b w:val="0"/>
          <w:i w:val="0"/>
          <w:color w:val="000000"/>
          <w:sz w:val="28"/>
        </w:rPr>
        <w:t>may reduce bioavailability of some drugs delivered slowly.</w:t>
      </w:r>
    </w:p>
    <w:p>
      <w:pPr>
        <w:spacing w:after="80"/>
        <w:ind w:left="576" w:hanging="403"/>
        <w:jc w:val="both"/>
      </w:pPr>
      <w:r>
        <w:rPr>
          <w:rFonts w:ascii="Comic Sans MS" w:hAnsi="Comic Sans MS" w:cs="Comic Sans MS"/>
          <w:b/>
          <w:sz w:val="28"/>
        </w:rPr>
        <w:t xml:space="preserve">6. </w:t>
      </w:r>
      <w:r>
        <w:rPr>
          <w:rFonts w:ascii="Comic Sans MS" w:hAnsi="Comic Sans MS" w:cs="Comic Sans MS"/>
          <w:b/>
          <w:i w:val="0"/>
          <w:color w:val="000000"/>
          <w:sz w:val="28"/>
        </w:rPr>
        <w:t xml:space="preserve">Increased potential for variability </w:t>
      </w:r>
      <w:r>
        <w:rPr>
          <w:rFonts w:ascii="Comic Sans MS" w:hAnsi="Comic Sans MS" w:cs="Comic Sans MS"/>
          <w:b w:val="0"/>
          <w:i w:val="0"/>
          <w:color w:val="000000"/>
          <w:sz w:val="28"/>
        </w:rPr>
        <w:t>due to GI transit, food and disease.</w:t>
      </w:r>
    </w:p>
    <w:p>
      <w:pPr>
        <w:spacing w:after="80"/>
        <w:ind w:left="576" w:hanging="403"/>
        <w:jc w:val="both"/>
      </w:pPr>
      <w:r>
        <w:rPr>
          <w:rFonts w:ascii="Comic Sans MS" w:hAnsi="Comic Sans MS" w:cs="Comic Sans MS"/>
          <w:b/>
          <w:sz w:val="28"/>
        </w:rPr>
        <w:t xml:space="preserve">7. </w:t>
      </w:r>
      <w:r>
        <w:rPr>
          <w:rFonts w:ascii="Comic Sans MS" w:hAnsi="Comic Sans MS" w:cs="Comic Sans MS"/>
          <w:b/>
          <w:i w:val="0"/>
          <w:color w:val="000000"/>
          <w:sz w:val="28"/>
        </w:rPr>
        <w:t xml:space="preserve">Not suitable for all drugs </w:t>
      </w:r>
      <w:r>
        <w:rPr>
          <w:rFonts w:ascii="Comic Sans MS" w:hAnsi="Comic Sans MS" w:cs="Comic Sans MS"/>
          <w:b w:val="0"/>
          <w:i w:val="0"/>
          <w:color w:val="000000"/>
          <w:sz w:val="28"/>
        </w:rPr>
        <w:t>– the drug and dose must satisfy specific criteria (see below).</w:t>
      </w:r>
    </w:p>
    <w:p>
      <w:pPr>
        <w:spacing w:before="200" w:after="100" w:line="276" w:lineRule="auto"/>
        <w:keepNext/>
      </w:pPr>
      <w:r>
        <w:rPr>
          <w:rFonts w:ascii="Comic Sans MS" w:hAnsi="Comic Sans MS" w:cs="Comic Sans MS"/>
          <w:b/>
          <w:color w:val="FF0000"/>
          <w:sz w:val="32"/>
        </w:rPr>
        <w:t>1.4 Drug Candidate Selection for SR / CR Dosage Forms</w:t>
      </w:r>
    </w:p>
    <w:p>
      <w:pPr>
        <w:spacing w:after="160"/>
        <w:jc w:val="both"/>
      </w:pPr>
      <w:r>
        <w:rPr>
          <w:rFonts w:ascii="Comic Sans MS" w:hAnsi="Comic Sans MS" w:cs="Comic Sans MS"/>
          <w:b w:val="0"/>
          <w:i w:val="0"/>
          <w:color w:val="000000"/>
          <w:sz w:val="28"/>
        </w:rPr>
        <w:t>Not every drug is a suitable candidate for a rate-controlled system. The selection is governed by the physicochemical, pharmacokinetic and pharmacodynamic properties of the drug. The following are the desirable and the disqualifying characteristics.</w:t>
      </w:r>
    </w:p>
    <w:p>
      <w:pPr>
        <w:spacing w:before="140" w:after="60" w:line="276" w:lineRule="auto"/>
        <w:keepNext/>
      </w:pPr>
      <w:r>
        <w:rPr>
          <w:rFonts w:ascii="Comic Sans MS" w:hAnsi="Comic Sans MS" w:cs="Comic Sans MS"/>
          <w:b/>
          <w:color w:val="000000"/>
          <w:sz w:val="28"/>
        </w:rPr>
        <w:t>Physicochemical Factors influencing the design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Aqueous solubility &amp; pH-dependent solubility : </w:t>
      </w:r>
      <w:r>
        <w:rPr>
          <w:rFonts w:ascii="Comic Sans MS" w:hAnsi="Comic Sans MS" w:cs="Comic Sans MS"/>
          <w:b w:val="0"/>
          <w:i w:val="0"/>
          <w:color w:val="000000"/>
          <w:sz w:val="28"/>
        </w:rPr>
        <w:t>very poorly soluble drugs (&lt; 0.01 mg/mL) are difficult to sustain because dissolution itself is rate-limiting; highly soluble drugs are hard to retard. An intermediate solubility is ideal.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Partition coefficient (log P) : </w:t>
      </w:r>
      <w:r>
        <w:rPr>
          <w:rFonts w:ascii="Comic Sans MS" w:hAnsi="Comic Sans MS" w:cs="Comic Sans MS"/>
          <w:b w:val="0"/>
          <w:i w:val="0"/>
          <w:color w:val="000000"/>
          <w:sz w:val="28"/>
        </w:rPr>
        <w:t>governs the ability to cross biological membranes; extremely high or low log P values are unfavourable. A balanced lipophilicity is required for both membrane transport and release control.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Drug stability : </w:t>
      </w:r>
      <w:r>
        <w:rPr>
          <w:rFonts w:ascii="Comic Sans MS" w:hAnsi="Comic Sans MS" w:cs="Comic Sans MS"/>
          <w:b w:val="0"/>
          <w:i w:val="0"/>
          <w:color w:val="000000"/>
          <w:sz w:val="28"/>
        </w:rPr>
        <w:t>drugs unstable in the environment of a particular GI segment are poor candidates for that region; e.g., drugs degraded in the small intestine benefit from rapid-release forms.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Molecular size &amp; diffusivity : </w:t>
      </w:r>
      <w:r>
        <w:rPr>
          <w:rFonts w:ascii="Comic Sans MS" w:hAnsi="Comic Sans MS" w:cs="Comic Sans MS"/>
          <w:b w:val="0"/>
          <w:i w:val="0"/>
          <w:color w:val="000000"/>
          <w:sz w:val="28"/>
        </w:rPr>
        <w:t>large molecules (&gt; 500 Da onwards) diffuse slowly through polymeric membranes / matrices; the diffusion coefficient falls with increasing molecular size.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Protein binding : </w:t>
      </w:r>
      <w:r>
        <w:rPr>
          <w:rFonts w:ascii="Comic Sans MS" w:hAnsi="Comic Sans MS" w:cs="Comic Sans MS"/>
          <w:b w:val="0"/>
          <w:i w:val="0"/>
          <w:color w:val="000000"/>
          <w:sz w:val="28"/>
        </w:rPr>
        <w:t>highly protein-bound drugs already have a prolonged biological half-life and may not need sustaining.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pKa &amp; degree of ionisation : </w:t>
      </w:r>
      <w:r>
        <w:rPr>
          <w:rFonts w:ascii="Comic Sans MS" w:hAnsi="Comic Sans MS" w:cs="Comic Sans MS"/>
          <w:b w:val="0"/>
          <w:i w:val="0"/>
          <w:color w:val="000000"/>
          <w:sz w:val="28"/>
        </w:rPr>
        <w:t>since only the unionised form permeates, the pKa relative to the pH of the absorption site is important.</w:t>
      </w:r>
    </w:p>
    <w:p>
      <w:pPr>
        <w:spacing w:before="140" w:after="60" w:line="276" w:lineRule="auto"/>
        <w:keepNext/>
      </w:pPr>
      <w:r>
        <w:rPr>
          <w:rFonts w:ascii="Comic Sans MS" w:hAnsi="Comic Sans MS" w:cs="Comic Sans MS"/>
          <w:b/>
          <w:color w:val="000000"/>
          <w:sz w:val="28"/>
        </w:rPr>
        <w:t>Biological (Pharmacokinetic / Pharmacodynamic) Factors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Biological half-life (t½) : </w:t>
      </w:r>
      <w:r>
        <w:rPr>
          <w:rFonts w:ascii="Comic Sans MS" w:hAnsi="Comic Sans MS" w:cs="Comic Sans MS"/>
          <w:b w:val="0"/>
          <w:i w:val="0"/>
          <w:color w:val="000000"/>
          <w:sz w:val="28"/>
        </w:rPr>
        <w:t>the ideal candidate has t½ of about 2–8 h. Drugs with very short t½ (&lt; 1 h) need an impractically large dose; drugs with long t½ (&gt; 8 h, e.g., digoxin, warfarin) are inherently sustained and need no formulation aid.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Absorption rate &amp; window : </w:t>
      </w:r>
      <w:r>
        <w:rPr>
          <w:rFonts w:ascii="Comic Sans MS" w:hAnsi="Comic Sans MS" w:cs="Comic Sans MS"/>
          <w:b w:val="0"/>
          <w:i w:val="0"/>
          <w:color w:val="000000"/>
          <w:sz w:val="28"/>
        </w:rPr>
        <w:t>the drug should be well and uniformly absorbed throughout the GI tract. Drugs with a narrow 'absorption window' (absorbed only from the upper GI, e.g., riboflavin, iron) are poor candidates unless gastro-retentive.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Rate of metabolism : </w:t>
      </w:r>
      <w:r>
        <w:rPr>
          <w:rFonts w:ascii="Comic Sans MS" w:hAnsi="Comic Sans MS" w:cs="Comic Sans MS"/>
          <w:b w:val="0"/>
          <w:i w:val="0"/>
          <w:color w:val="000000"/>
          <w:sz w:val="28"/>
        </w:rPr>
        <w:t>drugs extensively metabolised or that induce/inhibit enzymes may show non-linear kinetics and are difficult to formulate.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Dosing size (dose) : </w:t>
      </w:r>
      <w:r>
        <w:rPr>
          <w:rFonts w:ascii="Comic Sans MS" w:hAnsi="Comic Sans MS" w:cs="Comic Sans MS"/>
          <w:b w:val="0"/>
          <w:i w:val="0"/>
          <w:color w:val="000000"/>
          <w:sz w:val="28"/>
        </w:rPr>
        <w:t>a single dose &gt; 0.5–1.0 g leads to an unacceptably large SR unit.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Therapeutic index : </w:t>
      </w:r>
      <w:r>
        <w:rPr>
          <w:rFonts w:ascii="Comic Sans MS" w:hAnsi="Comic Sans MS" w:cs="Comic Sans MS"/>
          <w:b w:val="0"/>
          <w:i w:val="0"/>
          <w:color w:val="000000"/>
          <w:sz w:val="28"/>
        </w:rPr>
        <w:t>drugs with a narrow therapeutic index require precise rate control; dose dumping would be dangerous.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Margin of safety &amp; MEC/MTC : </w:t>
      </w:r>
      <w:r>
        <w:rPr>
          <w:rFonts w:ascii="Comic Sans MS" w:hAnsi="Comic Sans MS" w:cs="Comic Sans MS"/>
          <w:b w:val="0"/>
          <w:i w:val="0"/>
          <w:color w:val="000000"/>
          <w:sz w:val="28"/>
        </w:rPr>
        <w:t>a well-defined and reasonably wide therapeutic window is desirable.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Ideal characteristics of a drug for SR/CR</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Molecular weight &lt; 500 Da; moderate aqueous solubility (not &lt; 0.1 mg/mL).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Biological half-life between 2 and 8 h.</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Uniform absorption from the whole GI tract; good stability in GI fluids.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Dose &lt; 0.5 g; wide therapeutic index; first-order (linear) pharmacokinetics.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Neither very high nor very low apparent partition coefficient.</w:t>
            </w:r>
          </w:p>
        </w:tc>
      </w:tr>
    </w:tbl>
    <w:p>
      <w:pPr>
        <w:spacing w:after="40"/>
      </w:pPr>
    </w:p>
    <w:p>
      <w:pPr>
        <w:spacing w:before="140" w:after="60" w:line="276" w:lineRule="auto"/>
        <w:keepNext/>
      </w:pPr>
      <w:r>
        <w:rPr>
          <w:rFonts w:ascii="Comic Sans MS" w:hAnsi="Comic Sans MS" w:cs="Comic Sans MS"/>
          <w:b/>
          <w:color w:val="000000"/>
          <w:sz w:val="28"/>
        </w:rPr>
        <w:t>Drugs unsuitable for SR / CR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Drugs with very short or very long half-life.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Drugs requiring large doses (&gt; 1 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Drugs with narrow absorption window / poor absorption in the lower GI.</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Drugs whose action is intended to be prompt and short (e.g., analgesics for acute pain in some cases).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Drugs with low therapeutic index (unless very precise control is guaranteed).</w:t>
      </w:r>
    </w:p>
    <w:p>
      <w:pPr>
        <w:spacing w:before="200" w:after="100" w:line="276" w:lineRule="auto"/>
        <w:keepNext/>
      </w:pPr>
      <w:r>
        <w:rPr>
          <w:rFonts w:ascii="Comic Sans MS" w:hAnsi="Comic Sans MS" w:cs="Comic Sans MS"/>
          <w:b/>
          <w:color w:val="FF0000"/>
          <w:sz w:val="32"/>
        </w:rPr>
        <w:t>1.5 Dosage Calculations for SR / CR Systems</w:t>
      </w:r>
    </w:p>
    <w:p>
      <w:pPr>
        <w:spacing w:after="160"/>
        <w:jc w:val="both"/>
      </w:pPr>
      <w:r>
        <w:rPr>
          <w:rFonts w:ascii="Comic Sans MS" w:hAnsi="Comic Sans MS" w:cs="Comic Sans MS"/>
          <w:b w:val="0"/>
          <w:i w:val="0"/>
          <w:color w:val="000000"/>
          <w:sz w:val="28"/>
        </w:rPr>
        <w:t>A sustained-release product usually contains two portions of drug : an immediate-release (loading / initial) dose D₀ that promptly raises the plasma level to the therapeutic value, and a maintenance (sustaining) dose Dₘ that is released slowly to compensate for elimination. The total dose is the sum of the two.</w:t>
      </w:r>
    </w:p>
    <w:p>
      <w:pPr>
        <w:spacing w:before="140" w:after="60" w:line="276" w:lineRule="auto"/>
        <w:keepNext/>
      </w:pPr>
      <w:r>
        <w:rPr>
          <w:rFonts w:ascii="Comic Sans MS" w:hAnsi="Comic Sans MS" w:cs="Comic Sans MS"/>
          <w:b/>
          <w:color w:val="000000"/>
          <w:sz w:val="28"/>
        </w:rPr>
        <w:t>Maintenance dose and release rate</w:t>
      </w:r>
    </w:p>
    <w:p>
      <w:pPr>
        <w:spacing w:after="160"/>
        <w:jc w:val="both"/>
      </w:pPr>
      <w:r>
        <w:rPr>
          <w:rFonts w:ascii="Comic Sans MS" w:hAnsi="Comic Sans MS" w:cs="Comic Sans MS"/>
          <w:b w:val="0"/>
          <w:i w:val="0"/>
          <w:color w:val="000000"/>
          <w:sz w:val="28"/>
        </w:rPr>
        <w:t>For a system that is to deliver drug at a zero-order rate equal to the rate of elimination, the desired release rate (Kᵣ₀) is :</w:t>
      </w:r>
    </w:p>
    <w:p>
      <w:pPr>
        <w:spacing w:before="40" w:after="120"/>
        <w:jc w:val="center"/>
      </w:pPr>
      <w:r>
        <w:rPr>
          <w:rFonts w:ascii="Comic Sans MS" w:hAnsi="Comic Sans MS" w:cs="Comic Sans MS"/>
          <w:b/>
          <w:color w:val="6A1B9A"/>
          <w:sz w:val="28"/>
        </w:rPr>
        <w:t>Kᵣ₀ = Rate of elimination = Cₚ × CL = Cₚ × kₑ × Vd</w:t>
      </w:r>
    </w:p>
    <w:p>
      <w:pPr>
        <w:spacing w:after="160"/>
        <w:jc w:val="both"/>
      </w:pPr>
      <w:r>
        <w:rPr>
          <w:rFonts w:ascii="Comic Sans MS" w:hAnsi="Comic Sans MS" w:cs="Comic Sans MS"/>
          <w:b w:val="0"/>
          <w:i w:val="0"/>
          <w:color w:val="000000"/>
          <w:sz w:val="28"/>
        </w:rPr>
        <w:t>where Cₚ is the desired steady-state plasma concentration, CL is the total body clearance, kₑ is the first-order elimination rate constant and Vd is the volume of distribution.</w:t>
      </w:r>
    </w:p>
    <w:p>
      <w:pPr>
        <w:spacing w:after="160"/>
        <w:jc w:val="both"/>
      </w:pPr>
      <w:r>
        <w:rPr>
          <w:rFonts w:ascii="Comic Sans MS" w:hAnsi="Comic Sans MS" w:cs="Comic Sans MS"/>
          <w:b w:val="0"/>
          <w:i w:val="0"/>
          <w:color w:val="000000"/>
          <w:sz w:val="28"/>
        </w:rPr>
        <w:t>The total maintenance dose to sustain the level for a time Tᵈ is :</w:t>
      </w:r>
    </w:p>
    <w:p>
      <w:pPr>
        <w:spacing w:before="40" w:after="120"/>
        <w:jc w:val="center"/>
      </w:pPr>
      <w:r>
        <w:rPr>
          <w:rFonts w:ascii="Comic Sans MS" w:hAnsi="Comic Sans MS" w:cs="Comic Sans MS"/>
          <w:b/>
          <w:color w:val="6A1B9A"/>
          <w:sz w:val="28"/>
        </w:rPr>
        <w:t>Dₘ = Kᵣ₀ × Tᵈ = Cₚ × kₑ × Vd × Tᵈ</w:t>
      </w:r>
    </w:p>
    <w:p>
      <w:pPr>
        <w:spacing w:before="140" w:after="60" w:line="276" w:lineRule="auto"/>
        <w:keepNext/>
      </w:pPr>
      <w:r>
        <w:rPr>
          <w:rFonts w:ascii="Comic Sans MS" w:hAnsi="Comic Sans MS" w:cs="Comic Sans MS"/>
          <w:b/>
          <w:color w:val="000000"/>
          <w:sz w:val="28"/>
        </w:rPr>
        <w:t>Loading (initial) dose</w:t>
      </w:r>
    </w:p>
    <w:p>
      <w:pPr>
        <w:spacing w:after="160"/>
        <w:jc w:val="both"/>
      </w:pPr>
      <w:r>
        <w:rPr>
          <w:rFonts w:ascii="Comic Sans MS" w:hAnsi="Comic Sans MS" w:cs="Comic Sans MS"/>
          <w:b w:val="0"/>
          <w:i w:val="0"/>
          <w:color w:val="000000"/>
          <w:sz w:val="28"/>
        </w:rPr>
        <w:t>The loading dose that immediately establishes the therapeutic level is :</w:t>
      </w:r>
    </w:p>
    <w:p>
      <w:pPr>
        <w:spacing w:before="40" w:after="120"/>
        <w:jc w:val="center"/>
      </w:pPr>
      <w:r>
        <w:rPr>
          <w:rFonts w:ascii="Comic Sans MS" w:hAnsi="Comic Sans MS" w:cs="Comic Sans MS"/>
          <w:b/>
          <w:color w:val="6A1B9A"/>
          <w:sz w:val="28"/>
        </w:rPr>
        <w:t>D₀ = Cₚ × Vd   (for i.v.) ;   D₀ = Cₚ × Vd / F   (for oral, F = bioavailability)</w:t>
      </w:r>
    </w:p>
    <w:p>
      <w:pPr>
        <w:spacing w:after="160"/>
        <w:jc w:val="both"/>
      </w:pPr>
      <w:r>
        <w:rPr>
          <w:rFonts w:ascii="Comic Sans MS" w:hAnsi="Comic Sans MS" w:cs="Comic Sans MS"/>
          <w:b w:val="0"/>
          <w:i w:val="0"/>
          <w:color w:val="000000"/>
          <w:sz w:val="28"/>
        </w:rPr>
        <w:t>When the maintenance system begins releasing drug immediately, a correction is applied because some maintenance drug is released during the time the loading dose is still effective :</w:t>
      </w:r>
    </w:p>
    <w:p>
      <w:pPr>
        <w:spacing w:before="40" w:after="120"/>
        <w:jc w:val="center"/>
      </w:pPr>
      <w:r>
        <w:rPr>
          <w:rFonts w:ascii="Comic Sans MS" w:hAnsi="Comic Sans MS" w:cs="Comic Sans MS"/>
          <w:b/>
          <w:color w:val="6A1B9A"/>
          <w:sz w:val="28"/>
        </w:rPr>
        <w:t>D₀ (corrected) = D₀ – (Kᵣ₀ × Tₚ)</w:t>
      </w:r>
    </w:p>
    <w:p>
      <w:pPr>
        <w:spacing w:after="160"/>
        <w:jc w:val="both"/>
      </w:pPr>
      <w:r>
        <w:rPr>
          <w:rFonts w:ascii="Comic Sans MS" w:hAnsi="Comic Sans MS" w:cs="Comic Sans MS"/>
          <w:b w:val="0"/>
          <w:i w:val="0"/>
          <w:color w:val="000000"/>
          <w:sz w:val="28"/>
        </w:rPr>
        <w:t>where Tₚ is the time to reach peak concentration from the immediate-release portion.</w:t>
      </w:r>
    </w:p>
    <w:p>
      <w:pPr>
        <w:spacing w:after="160"/>
        <w:jc w:val="both"/>
      </w:pPr>
      <w:r>
        <w:rPr>
          <w:rFonts w:ascii="Comic Sans MS" w:hAnsi="Comic Sans MS" w:cs="Comic Sans MS"/>
          <w:b w:val="0"/>
          <w:i w:val="0"/>
          <w:color w:val="000000"/>
          <w:sz w:val="28"/>
        </w:rPr>
        <w:t>Total dose  W = D₀ + Dₘ = D₀ + Kᵣ₀ × Tᵈ.</w:t>
      </w:r>
    </w:p>
    <w:p>
      <w:pPr>
        <w:spacing w:before="140" w:after="60" w:line="276" w:lineRule="auto"/>
        <w:keepNext/>
      </w:pPr>
      <w:r>
        <w:rPr>
          <w:rFonts w:ascii="Comic Sans MS" w:hAnsi="Comic Sans MS" w:cs="Comic Sans MS"/>
          <w:b/>
          <w:color w:val="000000"/>
          <w:sz w:val="28"/>
        </w:rPr>
        <w:t>Worked Example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Numerical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drug has t½ = 4 h, Vd = 20 L and desired Cₚ = 10 mg/L. Design a 12-h SR dose (assume F = 1).</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Step 1 – kₑ : </w:t>
            </w:r>
            <w:r>
              <w:rPr>
                <w:rFonts w:ascii="Comic Sans MS" w:hAnsi="Comic Sans MS" w:cs="Comic Sans MS"/>
                <w:b w:val="0"/>
                <w:i w:val="0"/>
                <w:color w:val="000000"/>
                <w:sz w:val="28"/>
              </w:rPr>
              <w:t>kₑ = 0.693 / 4 = 0.173 h⁻¹.</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Step 2 – Loading dose : </w:t>
            </w:r>
            <w:r>
              <w:rPr>
                <w:rFonts w:ascii="Comic Sans MS" w:hAnsi="Comic Sans MS" w:cs="Comic Sans MS"/>
                <w:b w:val="0"/>
                <w:i w:val="0"/>
                <w:color w:val="000000"/>
                <w:sz w:val="28"/>
              </w:rPr>
              <w:t>D₀ = Cₚ × Vd = 10 × 20 = 200 mg.</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Step 3 – Release rate : </w:t>
            </w:r>
            <w:r>
              <w:rPr>
                <w:rFonts w:ascii="Comic Sans MS" w:hAnsi="Comic Sans MS" w:cs="Comic Sans MS"/>
                <w:b w:val="0"/>
                <w:i w:val="0"/>
                <w:color w:val="000000"/>
                <w:sz w:val="28"/>
              </w:rPr>
              <w:t>Kᵣ₀ = Cₚ × kₑ × Vd = 10 × 0.173 × 20 = 34.6 mg/h.</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Step 4 – Maintenance dose (for 12 h) : </w:t>
            </w:r>
            <w:r>
              <w:rPr>
                <w:rFonts w:ascii="Comic Sans MS" w:hAnsi="Comic Sans MS" w:cs="Comic Sans MS"/>
                <w:b w:val="0"/>
                <w:i w:val="0"/>
                <w:color w:val="000000"/>
                <w:sz w:val="28"/>
              </w:rPr>
              <w:t>Dₘ = 34.6 × 12 = 415 mg.</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Total dose : </w:t>
            </w:r>
            <w:r>
              <w:rPr>
                <w:rFonts w:ascii="Comic Sans MS" w:hAnsi="Comic Sans MS" w:cs="Comic Sans MS"/>
                <w:b w:val="0"/>
                <w:i w:val="0"/>
                <w:color w:val="000000"/>
                <w:sz w:val="28"/>
              </w:rPr>
              <w:t>W = 200 + 415 = 615 mg.</w:t>
            </w:r>
          </w:p>
        </w:tc>
      </w:tr>
    </w:tbl>
    <w:p>
      <w:pPr>
        <w:spacing w:after="40"/>
      </w:pPr>
    </w:p>
    <w:p>
      <w:pPr>
        <w:spacing w:before="200" w:after="100" w:line="276" w:lineRule="auto"/>
        <w:keepNext/>
      </w:pPr>
      <w:r>
        <w:rPr>
          <w:rFonts w:ascii="Comic Sans MS" w:hAnsi="Comic Sans MS" w:cs="Comic Sans MS"/>
          <w:b/>
          <w:color w:val="FF0000"/>
          <w:sz w:val="32"/>
        </w:rPr>
        <w:t>1.6 Physicochemical &amp; Biological Approaches to SR / CR</w:t>
      </w:r>
    </w:p>
    <w:p>
      <w:pPr>
        <w:spacing w:after="160"/>
        <w:jc w:val="both"/>
      </w:pPr>
      <w:r>
        <w:rPr>
          <w:rFonts w:ascii="Comic Sans MS" w:hAnsi="Comic Sans MS" w:cs="Comic Sans MS"/>
          <w:b w:val="0"/>
          <w:i w:val="0"/>
          <w:color w:val="000000"/>
          <w:sz w:val="28"/>
        </w:rPr>
        <w:t>Rate control can be achieved by chemical modification of the drug molecule, by physical / formulation approaches, or by exploiting biological handling of the drug. The main strategies are summarised below.</w:t>
      </w:r>
    </w:p>
    <w:p>
      <w:pPr>
        <w:spacing w:before="140" w:after="60" w:line="276" w:lineRule="auto"/>
        <w:keepNext/>
      </w:pPr>
      <w:r>
        <w:rPr>
          <w:rFonts w:ascii="Comic Sans MS" w:hAnsi="Comic Sans MS" w:cs="Comic Sans MS"/>
          <w:b/>
          <w:color w:val="000000"/>
          <w:sz w:val="28"/>
        </w:rPr>
        <w:t>Physicochemical Approaches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Prodrugs : </w:t>
      </w:r>
      <w:r>
        <w:rPr>
          <w:rFonts w:ascii="Comic Sans MS" w:hAnsi="Comic Sans MS" w:cs="Comic Sans MS"/>
          <w:b w:val="0"/>
          <w:i w:val="0"/>
          <w:color w:val="000000"/>
          <w:sz w:val="28"/>
        </w:rPr>
        <w:t>a bio-reversible derivative that regenerates the active drug slowly, prolonging action (e.g., depot esters).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Salt / complex formation : </w:t>
      </w:r>
      <w:r>
        <w:rPr>
          <w:rFonts w:ascii="Comic Sans MS" w:hAnsi="Comic Sans MS" w:cs="Comic Sans MS"/>
          <w:b w:val="0"/>
          <w:i w:val="0"/>
          <w:color w:val="000000"/>
          <w:sz w:val="28"/>
        </w:rPr>
        <w:t>poorly soluble salts, resonates or complexes release the drug slowly (e.g., penicillin G procaine, drug–tannate complexes).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Adjustment of particle size / polymorph : </w:t>
      </w:r>
      <w:r>
        <w:rPr>
          <w:rFonts w:ascii="Comic Sans MS" w:hAnsi="Comic Sans MS" w:cs="Comic Sans MS"/>
          <w:b w:val="0"/>
          <w:i w:val="0"/>
          <w:color w:val="000000"/>
          <w:sz w:val="28"/>
        </w:rPr>
        <w:t>larger particles or a less soluble polymorph dissolve more slowly.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Coating : </w:t>
      </w:r>
      <w:r>
        <w:rPr>
          <w:rFonts w:ascii="Comic Sans MS" w:hAnsi="Comic Sans MS" w:cs="Comic Sans MS"/>
          <w:b w:val="0"/>
          <w:i w:val="0"/>
          <w:color w:val="000000"/>
          <w:sz w:val="28"/>
        </w:rPr>
        <w:t>film or micro-encapsulation with polymers of controlled permeability.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Embedding in a matrix : </w:t>
      </w:r>
      <w:r>
        <w:rPr>
          <w:rFonts w:ascii="Comic Sans MS" w:hAnsi="Comic Sans MS" w:cs="Comic Sans MS"/>
          <w:b w:val="0"/>
          <w:i w:val="0"/>
          <w:color w:val="000000"/>
          <w:sz w:val="28"/>
        </w:rPr>
        <w:t>wax, hydrophilic or plastic matrices retard diffusion / dissolution.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Osmotic control : </w:t>
      </w:r>
      <w:r>
        <w:rPr>
          <w:rFonts w:ascii="Comic Sans MS" w:hAnsi="Comic Sans MS" w:cs="Comic Sans MS"/>
          <w:b w:val="0"/>
          <w:i w:val="0"/>
          <w:color w:val="000000"/>
          <w:sz w:val="28"/>
        </w:rPr>
        <w:t>water influx through a semipermeable membrane pumps out drug solution at a constant rate.</w:t>
      </w:r>
    </w:p>
    <w:p>
      <w:pPr>
        <w:spacing w:before="140" w:after="60" w:line="276" w:lineRule="auto"/>
        <w:keepNext/>
      </w:pPr>
      <w:r>
        <w:rPr>
          <w:rFonts w:ascii="Comic Sans MS" w:hAnsi="Comic Sans MS" w:cs="Comic Sans MS"/>
          <w:b/>
          <w:color w:val="000000"/>
          <w:sz w:val="28"/>
        </w:rPr>
        <w:t>Biological Approaches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Modifying the molecule for slower metabolism </w:t>
      </w:r>
      <w:r>
        <w:rPr>
          <w:rFonts w:ascii="Comic Sans MS" w:hAnsi="Comic Sans MS" w:cs="Comic Sans MS"/>
          <w:b w:val="0"/>
          <w:i w:val="0"/>
          <w:color w:val="000000"/>
          <w:sz w:val="28"/>
        </w:rPr>
        <w:t>or slower renal clearance.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Co-administration of an adjuvant </w:t>
      </w:r>
      <w:r>
        <w:rPr>
          <w:rFonts w:ascii="Comic Sans MS" w:hAnsi="Comic Sans MS" w:cs="Comic Sans MS"/>
          <w:b w:val="0"/>
          <w:i w:val="0"/>
          <w:color w:val="000000"/>
          <w:sz w:val="28"/>
        </w:rPr>
        <w:t>that slows absorption or metabolism (e.g., a vasoconstrictor with a local anaesthetic; a metabolism inhibitor).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Altering the route </w:t>
      </w:r>
      <w:r>
        <w:rPr>
          <w:rFonts w:ascii="Comic Sans MS" w:hAnsi="Comic Sans MS" w:cs="Comic Sans MS"/>
          <w:b w:val="0"/>
          <w:i w:val="0"/>
          <w:color w:val="000000"/>
          <w:sz w:val="28"/>
        </w:rPr>
        <w:t>to a depot site (i.m., s.c.) to obtain slow absorption.</w:t>
      </w:r>
    </w:p>
    <w:p>
      <w:pPr>
        <w:spacing w:before="140" w:after="60" w:line="276" w:lineRule="auto"/>
        <w:keepNext/>
      </w:pPr>
      <w:r>
        <w:rPr>
          <w:rFonts w:ascii="Comic Sans MS" w:hAnsi="Comic Sans MS" w:cs="Comic Sans MS"/>
          <w:b/>
          <w:color w:val="000000"/>
          <w:sz w:val="28"/>
        </w:rPr>
        <w:t>Mechanisms of Drug Delivery / Release from SR-CR Systems</w:t>
      </w:r>
    </w:p>
    <w:p>
      <w:pPr>
        <w:spacing w:after="160"/>
        <w:jc w:val="both"/>
      </w:pPr>
      <w:r>
        <w:rPr>
          <w:rFonts w:ascii="Comic Sans MS" w:hAnsi="Comic Sans MS" w:cs="Comic Sans MS"/>
          <w:b w:val="0"/>
          <w:i w:val="0"/>
          <w:color w:val="000000"/>
          <w:sz w:val="28"/>
        </w:rPr>
        <w:t>The rate-limiting step in a SR/CR system may be diffusion, dissolution, osmosis, ion-exchange or erosion. These are treated in detail in Unit II. In brief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Diffusion-controlled : </w:t>
      </w:r>
      <w:r>
        <w:rPr>
          <w:rFonts w:ascii="Comic Sans MS" w:hAnsi="Comic Sans MS" w:cs="Comic Sans MS"/>
          <w:b w:val="0"/>
          <w:i w:val="0"/>
          <w:color w:val="000000"/>
          <w:sz w:val="28"/>
        </w:rPr>
        <w:t>drug diffuses through a polymer membrane (reservoir) or matrix (monolithic).</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Dissolution-controlled : </w:t>
      </w:r>
      <w:r>
        <w:rPr>
          <w:rFonts w:ascii="Comic Sans MS" w:hAnsi="Comic Sans MS" w:cs="Comic Sans MS"/>
          <w:b w:val="0"/>
          <w:i w:val="0"/>
          <w:color w:val="000000"/>
          <w:sz w:val="28"/>
        </w:rPr>
        <w:t>a slowly dissolving coat or matrix controls the rate at which drug becomes available.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Osmotically controlled : </w:t>
      </w:r>
      <w:r>
        <w:rPr>
          <w:rFonts w:ascii="Comic Sans MS" w:hAnsi="Comic Sans MS" w:cs="Comic Sans MS"/>
          <w:b w:val="0"/>
          <w:i w:val="0"/>
          <w:color w:val="000000"/>
          <w:sz w:val="28"/>
        </w:rPr>
        <w:t>osmotic pressure drives constant delivery.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Ion-exchange controlled : </w:t>
      </w:r>
      <w:r>
        <w:rPr>
          <w:rFonts w:ascii="Comic Sans MS" w:hAnsi="Comic Sans MS" w:cs="Comic Sans MS"/>
          <w:b w:val="0"/>
          <w:i w:val="0"/>
          <w:color w:val="000000"/>
          <w:sz w:val="28"/>
        </w:rPr>
        <w:t>drug bound to a resin is released by exchange with GI 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Erosion / bioerosion-controlled : </w:t>
      </w:r>
      <w:r>
        <w:rPr>
          <w:rFonts w:ascii="Comic Sans MS" w:hAnsi="Comic Sans MS" w:cs="Comic Sans MS"/>
          <w:b w:val="0"/>
          <w:i w:val="0"/>
          <w:color w:val="000000"/>
          <w:sz w:val="28"/>
        </w:rPr>
        <w:t>release accompanies gradual erosion of a biodegradable matrix.</w:t>
      </w:r>
    </w:p>
    <w:p>
      <w:pPr>
        <w:spacing w:before="200" w:after="100" w:line="276" w:lineRule="auto"/>
        <w:keepNext/>
      </w:pPr>
      <w:r>
        <w:rPr>
          <w:rFonts w:ascii="Comic Sans MS" w:hAnsi="Comic Sans MS" w:cs="Comic Sans MS"/>
          <w:b/>
          <w:color w:val="FF0000"/>
          <w:sz w:val="32"/>
        </w:rPr>
        <w:t>1.7 Classification of Oral Controlled Drug Delivery Systems</w:t>
      </w:r>
    </w:p>
    <w:p>
      <w:pPr>
        <w:spacing w:before="80" w:after="40"/>
        <w:jc w:val="center"/>
      </w:pPr>
      <w:r>
        <w:drawing>
          <wp:inline xmlns:a="http://schemas.openxmlformats.org/drawingml/2006/main" xmlns:pic="http://schemas.openxmlformats.org/drawingml/2006/picture">
            <wp:extent cx="5120640" cy="3325892"/>
            <wp:docPr id="3" name="Picture 3"/>
            <wp:cNvGraphicFramePr>
              <a:graphicFrameLocks noChangeAspect="1"/>
            </wp:cNvGraphicFramePr>
            <a:graphic>
              <a:graphicData uri="http://schemas.openxmlformats.org/drawingml/2006/picture">
                <pic:pic>
                  <pic:nvPicPr>
                    <pic:cNvPr id="0" name="cdds_classification.png"/>
                    <pic:cNvPicPr/>
                  </pic:nvPicPr>
                  <pic:blipFill>
                    <a:blip r:embed="rId13"/>
                    <a:stretch>
                      <a:fillRect/>
                    </a:stretch>
                  </pic:blipFill>
                  <pic:spPr>
                    <a:xfrm>
                      <a:off x="0" y="0"/>
                      <a:ext cx="5120640" cy="3325892"/>
                    </a:xfrm>
                    <a:prstGeom prst="rect"/>
                  </pic:spPr>
                </pic:pic>
              </a:graphicData>
            </a:graphic>
          </wp:inline>
        </w:drawing>
      </w:r>
    </w:p>
    <w:p>
      <w:pPr>
        <w:spacing w:after="160" w:line="264" w:lineRule="auto"/>
        <w:jc w:val="center"/>
      </w:pPr>
      <w:r>
        <w:rPr>
          <w:rFonts w:ascii="Comic Sans MS" w:hAnsi="Comic Sans MS" w:cs="Comic Sans MS"/>
          <w:b/>
          <w:i/>
          <w:color w:val="595959"/>
          <w:sz w:val="22"/>
        </w:rPr>
        <w:t>Fig. 3 : Classification of oral controlled drug delivery systems</w:t>
      </w:r>
    </w:p>
    <w:p>
      <w:pPr>
        <w:spacing w:after="160"/>
        <w:jc w:val="both"/>
      </w:pPr>
      <w:r>
        <w:rPr>
          <w:rFonts w:ascii="Comic Sans MS" w:hAnsi="Comic Sans MS" w:cs="Comic Sans MS"/>
          <w:b w:val="0"/>
          <w:i w:val="0"/>
          <w:color w:val="000000"/>
          <w:sz w:val="28"/>
        </w:rPr>
        <w:t>Oral CDDS may be broadly classified according to the rate-controlling mechanism into the following groups :</w:t>
      </w:r>
    </w:p>
    <w:p>
      <w:pPr>
        <w:spacing w:after="80"/>
        <w:ind w:left="576" w:hanging="403"/>
        <w:jc w:val="both"/>
      </w:pPr>
      <w:r>
        <w:rPr>
          <w:rFonts w:ascii="Comic Sans MS" w:hAnsi="Comic Sans MS" w:cs="Comic Sans MS"/>
          <w:b/>
          <w:sz w:val="28"/>
        </w:rPr>
        <w:t xml:space="preserve">1. </w:t>
      </w:r>
      <w:r>
        <w:rPr>
          <w:rFonts w:ascii="Comic Sans MS" w:hAnsi="Comic Sans MS" w:cs="Comic Sans MS"/>
          <w:b/>
          <w:i w:val="0"/>
          <w:color w:val="000000"/>
          <w:sz w:val="28"/>
        </w:rPr>
        <w:t xml:space="preserve">Diffusion-controlled systems </w:t>
      </w:r>
      <w:r>
        <w:rPr>
          <w:rFonts w:ascii="Comic Sans MS" w:hAnsi="Comic Sans MS" w:cs="Comic Sans MS"/>
          <w:b w:val="0"/>
          <w:i w:val="0"/>
          <w:color w:val="000000"/>
          <w:sz w:val="28"/>
        </w:rPr>
        <w:t>– reservoir (membrane) and matrix (monolithic) devices.</w:t>
      </w:r>
    </w:p>
    <w:p>
      <w:pPr>
        <w:spacing w:after="80"/>
        <w:ind w:left="576" w:hanging="403"/>
        <w:jc w:val="both"/>
      </w:pPr>
      <w:r>
        <w:rPr>
          <w:rFonts w:ascii="Comic Sans MS" w:hAnsi="Comic Sans MS" w:cs="Comic Sans MS"/>
          <w:b/>
          <w:sz w:val="28"/>
        </w:rPr>
        <w:t xml:space="preserve">2. </w:t>
      </w:r>
      <w:r>
        <w:rPr>
          <w:rFonts w:ascii="Comic Sans MS" w:hAnsi="Comic Sans MS" w:cs="Comic Sans MS"/>
          <w:b/>
          <w:i w:val="0"/>
          <w:color w:val="000000"/>
          <w:sz w:val="28"/>
        </w:rPr>
        <w:t xml:space="preserve">Dissolution-controlled systems </w:t>
      </w:r>
      <w:r>
        <w:rPr>
          <w:rFonts w:ascii="Comic Sans MS" w:hAnsi="Comic Sans MS" w:cs="Comic Sans MS"/>
          <w:b w:val="0"/>
          <w:i w:val="0"/>
          <w:color w:val="000000"/>
          <w:sz w:val="28"/>
        </w:rPr>
        <w:t>– encapsulation (coated) and matrix (embedded) devices.</w:t>
      </w:r>
    </w:p>
    <w:p>
      <w:pPr>
        <w:spacing w:after="80"/>
        <w:ind w:left="576" w:hanging="403"/>
        <w:jc w:val="both"/>
      </w:pPr>
      <w:r>
        <w:rPr>
          <w:rFonts w:ascii="Comic Sans MS" w:hAnsi="Comic Sans MS" w:cs="Comic Sans MS"/>
          <w:b/>
          <w:sz w:val="28"/>
        </w:rPr>
        <w:t xml:space="preserve">3. </w:t>
      </w:r>
      <w:r>
        <w:rPr>
          <w:rFonts w:ascii="Comic Sans MS" w:hAnsi="Comic Sans MS" w:cs="Comic Sans MS"/>
          <w:b/>
          <w:i w:val="0"/>
          <w:color w:val="000000"/>
          <w:sz w:val="28"/>
        </w:rPr>
        <w:t xml:space="preserve">Diffusion + dissolution (dual) systems </w:t>
      </w:r>
      <w:r>
        <w:rPr>
          <w:rFonts w:ascii="Comic Sans MS" w:hAnsi="Comic Sans MS" w:cs="Comic Sans MS"/>
          <w:b w:val="0"/>
          <w:i w:val="0"/>
          <w:color w:val="000000"/>
          <w:sz w:val="28"/>
        </w:rPr>
        <w:t>– combining both mechanisms.</w:t>
      </w:r>
    </w:p>
    <w:p>
      <w:pPr>
        <w:spacing w:after="80"/>
        <w:ind w:left="576" w:hanging="403"/>
        <w:jc w:val="both"/>
      </w:pPr>
      <w:r>
        <w:rPr>
          <w:rFonts w:ascii="Comic Sans MS" w:hAnsi="Comic Sans MS" w:cs="Comic Sans MS"/>
          <w:b/>
          <w:sz w:val="28"/>
        </w:rPr>
        <w:t xml:space="preserve">4. </w:t>
      </w:r>
      <w:r>
        <w:rPr>
          <w:rFonts w:ascii="Comic Sans MS" w:hAnsi="Comic Sans MS" w:cs="Comic Sans MS"/>
          <w:b/>
          <w:i w:val="0"/>
          <w:color w:val="000000"/>
          <w:sz w:val="28"/>
        </w:rPr>
        <w:t xml:space="preserve">Osmotically controlled systems </w:t>
      </w:r>
      <w:r>
        <w:rPr>
          <w:rFonts w:ascii="Comic Sans MS" w:hAnsi="Comic Sans MS" w:cs="Comic Sans MS"/>
          <w:b w:val="0"/>
          <w:i w:val="0"/>
          <w:color w:val="000000"/>
          <w:sz w:val="28"/>
        </w:rPr>
        <w:t>– elementary and push-pull osmotic pumps.</w:t>
      </w:r>
    </w:p>
    <w:p>
      <w:pPr>
        <w:spacing w:after="80"/>
        <w:ind w:left="576" w:hanging="403"/>
        <w:jc w:val="both"/>
      </w:pPr>
      <w:r>
        <w:rPr>
          <w:rFonts w:ascii="Comic Sans MS" w:hAnsi="Comic Sans MS" w:cs="Comic Sans MS"/>
          <w:b/>
          <w:sz w:val="28"/>
        </w:rPr>
        <w:t xml:space="preserve">5. </w:t>
      </w:r>
      <w:r>
        <w:rPr>
          <w:rFonts w:ascii="Comic Sans MS" w:hAnsi="Comic Sans MS" w:cs="Comic Sans MS"/>
          <w:b/>
          <w:i w:val="0"/>
          <w:color w:val="000000"/>
          <w:sz w:val="28"/>
        </w:rPr>
        <w:t>Ion-exchange resin systems.</w:t>
      </w:r>
      <w:r>
        <w:rPr>
          <w:rFonts w:ascii="Comic Sans MS" w:hAnsi="Comic Sans MS" w:cs="Comic Sans MS"/>
          <w:b w:val="0"/>
          <w:i w:val="0"/>
          <w:color w:val="000000"/>
          <w:sz w:val="28"/>
        </w:rPr>
      </w:r>
    </w:p>
    <w:p>
      <w:pPr>
        <w:spacing w:after="80"/>
        <w:ind w:left="576" w:hanging="403"/>
        <w:jc w:val="both"/>
      </w:pPr>
      <w:r>
        <w:rPr>
          <w:rFonts w:ascii="Comic Sans MS" w:hAnsi="Comic Sans MS" w:cs="Comic Sans MS"/>
          <w:b/>
          <w:sz w:val="28"/>
        </w:rPr>
        <w:t xml:space="preserve">6. </w:t>
      </w:r>
      <w:r>
        <w:rPr>
          <w:rFonts w:ascii="Comic Sans MS" w:hAnsi="Comic Sans MS" w:cs="Comic Sans MS"/>
          <w:b/>
          <w:i w:val="0"/>
          <w:color w:val="000000"/>
          <w:sz w:val="28"/>
        </w:rPr>
        <w:t>Gastro-retentive &amp; bioerodible systems.</w:t>
      </w:r>
      <w:r>
        <w:rPr>
          <w:rFonts w:ascii="Comic Sans MS" w:hAnsi="Comic Sans MS" w:cs="Comic Sans MS"/>
          <w:b w:val="0"/>
          <w:i w:val="0"/>
          <w:color w:val="000000"/>
          <w:sz w:val="28"/>
        </w:rPr>
      </w:r>
    </w:p>
    <w:p>
      <w:pPr>
        <w:spacing w:before="200" w:after="100" w:line="276" w:lineRule="auto"/>
        <w:keepNext/>
      </w:pPr>
      <w:r>
        <w:rPr>
          <w:rFonts w:ascii="Comic Sans MS" w:hAnsi="Comic Sans MS" w:cs="Comic Sans MS"/>
          <w:b/>
          <w:color w:val="FF0000"/>
          <w:sz w:val="32"/>
        </w:rPr>
        <w:t>1.8 Design, Fabrication, Evaluation &amp; Applications of Oral CDDS</w:t>
      </w:r>
    </w:p>
    <w:p>
      <w:pPr>
        <w:spacing w:before="140" w:after="60" w:line="276" w:lineRule="auto"/>
        <w:keepNext/>
      </w:pPr>
      <w:r>
        <w:rPr>
          <w:rFonts w:ascii="Comic Sans MS" w:hAnsi="Comic Sans MS" w:cs="Comic Sans MS"/>
          <w:b/>
          <w:color w:val="000000"/>
          <w:sz w:val="28"/>
        </w:rPr>
        <w:t>Design considerations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Selection of drug candidate satisfying the criteria of section 1.4.</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Choice of rate-controlling mechanism and polymer / excipient.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Fixing the target release rate (zero-order desirable) and duration.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Deciding the loading and maintenance dose fractions.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Ensuring stability, manufacturability and reproducibility of release.</w:t>
      </w:r>
    </w:p>
    <w:p>
      <w:pPr>
        <w:spacing w:before="140" w:after="60" w:line="276" w:lineRule="auto"/>
        <w:keepNext/>
      </w:pPr>
      <w:r>
        <w:rPr>
          <w:rFonts w:ascii="Comic Sans MS" w:hAnsi="Comic Sans MS" w:cs="Comic Sans MS"/>
          <w:b/>
          <w:color w:val="000000"/>
          <w:sz w:val="28"/>
        </w:rPr>
        <w:t>Fabrication techniques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Matrix tablets : </w:t>
      </w:r>
      <w:r>
        <w:rPr>
          <w:rFonts w:ascii="Comic Sans MS" w:hAnsi="Comic Sans MS" w:cs="Comic Sans MS"/>
          <w:b w:val="0"/>
          <w:i w:val="0"/>
          <w:color w:val="000000"/>
          <w:sz w:val="28"/>
        </w:rPr>
        <w:t>drug + rate-controlling polymer (HPMC, ethylcellulose, waxes) compressed directly or after granulation.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Coated multiparticulates (pellets / beads) : </w:t>
      </w:r>
      <w:r>
        <w:rPr>
          <w:rFonts w:ascii="Comic Sans MS" w:hAnsi="Comic Sans MS" w:cs="Comic Sans MS"/>
          <w:b w:val="0"/>
          <w:i w:val="0"/>
          <w:color w:val="000000"/>
          <w:sz w:val="28"/>
        </w:rPr>
        <w:t>drug layered on non-pareils then film-coated; filled into capsules.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Osmotic tablets : </w:t>
      </w:r>
      <w:r>
        <w:rPr>
          <w:rFonts w:ascii="Comic Sans MS" w:hAnsi="Comic Sans MS" w:cs="Comic Sans MS"/>
          <w:b w:val="0"/>
          <w:i w:val="0"/>
          <w:color w:val="000000"/>
          <w:sz w:val="28"/>
        </w:rPr>
        <w:t>core compressed and coated with a semipermeable membrane, then laser-drilled.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Micro-encapsulation : </w:t>
      </w:r>
      <w:r>
        <w:rPr>
          <w:rFonts w:ascii="Comic Sans MS" w:hAnsi="Comic Sans MS" w:cs="Comic Sans MS"/>
          <w:b w:val="0"/>
          <w:i w:val="0"/>
          <w:color w:val="000000"/>
          <w:sz w:val="28"/>
        </w:rPr>
        <w:t>coacervation, spray drying, etc. (Unit III).</w:t>
      </w:r>
    </w:p>
    <w:p>
      <w:pPr>
        <w:spacing w:before="140" w:after="60" w:line="276" w:lineRule="auto"/>
        <w:keepNext/>
      </w:pPr>
      <w:r>
        <w:rPr>
          <w:rFonts w:ascii="Comic Sans MS" w:hAnsi="Comic Sans MS" w:cs="Comic Sans MS"/>
          <w:b/>
          <w:color w:val="000000"/>
          <w:sz w:val="28"/>
        </w:rPr>
        <w:t>Evaluation of oral CDDS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Physical tests : </w:t>
      </w:r>
      <w:r>
        <w:rPr>
          <w:rFonts w:ascii="Comic Sans MS" w:hAnsi="Comic Sans MS" w:cs="Comic Sans MS"/>
          <w:b w:val="0"/>
          <w:i w:val="0"/>
          <w:color w:val="000000"/>
          <w:sz w:val="28"/>
        </w:rPr>
        <w:t>weight variation, hardness, friability, thickness.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Drug content &amp; content uniformity.</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In-vitro dissolution / release </w:t>
      </w:r>
      <w:r>
        <w:rPr>
          <w:rFonts w:ascii="Comic Sans MS" w:hAnsi="Comic Sans MS" w:cs="Comic Sans MS"/>
          <w:b w:val="0"/>
          <w:i w:val="0"/>
          <w:color w:val="000000"/>
          <w:sz w:val="28"/>
        </w:rPr>
        <w:t>using USP apparatus; data fitted to kinetic models (zero-order, first-order, Higuchi, Korsmeyer–Peppas).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Release-mechanism analysis </w:t>
      </w:r>
      <w:r>
        <w:rPr>
          <w:rFonts w:ascii="Comic Sans MS" w:hAnsi="Comic Sans MS" w:cs="Comic Sans MS"/>
          <w:b w:val="0"/>
          <w:i w:val="0"/>
          <w:color w:val="000000"/>
          <w:sz w:val="28"/>
        </w:rPr>
        <w:t>via the diffusional exponent n of the Korsmeyer–Peppas model.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Stability &amp; accelerated studies </w:t>
      </w:r>
      <w:r>
        <w:rPr>
          <w:rFonts w:ascii="Comic Sans MS" w:hAnsi="Comic Sans MS" w:cs="Comic Sans MS"/>
          <w:b w:val="0"/>
          <w:i w:val="0"/>
          <w:color w:val="000000"/>
          <w:sz w:val="28"/>
        </w:rPr>
        <w:t>as per ICH.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In-vivo / bioavailability &amp; IVIVC </w:t>
      </w:r>
      <w:r>
        <w:rPr>
          <w:rFonts w:ascii="Comic Sans MS" w:hAnsi="Comic Sans MS" w:cs="Comic Sans MS"/>
          <w:b w:val="0"/>
          <w:i w:val="0"/>
          <w:color w:val="000000"/>
          <w:sz w:val="28"/>
        </w:rPr>
        <w:t>studies.</w:t>
      </w:r>
    </w:p>
    <w:p>
      <w:pPr>
        <w:spacing w:before="80" w:after="40"/>
        <w:jc w:val="center"/>
      </w:pPr>
      <w:r>
        <w:drawing>
          <wp:inline xmlns:a="http://schemas.openxmlformats.org/drawingml/2006/main" xmlns:pic="http://schemas.openxmlformats.org/drawingml/2006/picture">
            <wp:extent cx="4572000" cy="3102429"/>
            <wp:docPr id="4" name="Picture 4"/>
            <wp:cNvGraphicFramePr>
              <a:graphicFrameLocks noChangeAspect="1"/>
            </wp:cNvGraphicFramePr>
            <a:graphic>
              <a:graphicData uri="http://schemas.openxmlformats.org/drawingml/2006/picture">
                <pic:pic>
                  <pic:nvPicPr>
                    <pic:cNvPr id="0" name="release_kinetics.png"/>
                    <pic:cNvPicPr/>
                  </pic:nvPicPr>
                  <pic:blipFill>
                    <a:blip r:embed="rId14"/>
                    <a:stretch>
                      <a:fillRect/>
                    </a:stretch>
                  </pic:blipFill>
                  <pic:spPr>
                    <a:xfrm>
                      <a:off x="0" y="0"/>
                      <a:ext cx="4572000" cy="3102429"/>
                    </a:xfrm>
                    <a:prstGeom prst="rect"/>
                  </pic:spPr>
                </pic:pic>
              </a:graphicData>
            </a:graphic>
          </wp:inline>
        </w:drawing>
      </w:r>
    </w:p>
    <w:p>
      <w:pPr>
        <w:spacing w:after="160" w:line="264" w:lineRule="auto"/>
        <w:jc w:val="center"/>
      </w:pPr>
      <w:r>
        <w:rPr>
          <w:rFonts w:ascii="Comic Sans MS" w:hAnsi="Comic Sans MS" w:cs="Comic Sans MS"/>
          <w:b/>
          <w:i/>
          <w:color w:val="595959"/>
          <w:sz w:val="22"/>
        </w:rPr>
        <w:t>Fig. 4 : Common drug-release kinetic models used to characterise CDDS</w:t>
      </w:r>
    </w:p>
    <w:p>
      <w:pPr>
        <w:spacing w:before="140" w:after="60" w:line="276" w:lineRule="auto"/>
        <w:keepNext/>
      </w:pPr>
      <w:r>
        <w:rPr>
          <w:rFonts w:ascii="Comic Sans MS" w:hAnsi="Comic Sans MS" w:cs="Comic Sans MS"/>
          <w:b/>
          <w:color w:val="000000"/>
          <w:sz w:val="28"/>
        </w:rPr>
        <w:t>Applications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Once-daily antihypertensives (nifedipine GITS, diltiazem CD).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Sustained-release analgesics and anti-inflammatory agents.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Extended-release antidiabetics (metformin XR).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Prolonged-release theophylline and antihistamines.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Chronotherapeutic (time-controlled) delivery of cardiovascular drugs.</w:t>
      </w:r>
    </w:p>
    <w:p>
      <w:r>
        <w:br w:type="page"/>
      </w:r>
    </w:p>
    <w:p>
      <w:pPr>
        <w:spacing w:before="200" w:after="100" w:line="276" w:lineRule="auto"/>
        <w:keepNext/>
      </w:pPr>
      <w:r>
        <w:rPr>
          <w:rFonts w:ascii="Comic Sans MS" w:hAnsi="Comic Sans MS" w:cs="Comic Sans MS"/>
          <w:b/>
          <w:color w:val="FF0000"/>
          <w:sz w:val="32"/>
        </w:rPr>
        <w:t>1.9 Pharmacokinetic Basis of Sustained Release</w:t>
      </w:r>
    </w:p>
    <w:p>
      <w:pPr>
        <w:spacing w:after="160"/>
        <w:jc w:val="both"/>
      </w:pPr>
      <w:r>
        <w:rPr>
          <w:rFonts w:ascii="Comic Sans MS" w:hAnsi="Comic Sans MS" w:cs="Comic Sans MS"/>
          <w:b w:val="0"/>
          <w:i w:val="0"/>
          <w:color w:val="000000"/>
          <w:sz w:val="28"/>
        </w:rPr>
        <w:t>A rational SR design begins with the pharmacokinetics of the drug. For a drug obeying one-compartment first-order kinetics, the amount of drug in the body at steady state and the required input rate can be calculated so that the release rate matches the elimination rate. The important relationships are given below.</w:t>
      </w:r>
    </w:p>
    <w:p>
      <w:pPr>
        <w:spacing w:before="140" w:after="60" w:line="276" w:lineRule="auto"/>
        <w:keepNext/>
      </w:pPr>
      <w:r>
        <w:rPr>
          <w:rFonts w:ascii="Comic Sans MS" w:hAnsi="Comic Sans MS" w:cs="Comic Sans MS"/>
          <w:b/>
          <w:color w:val="000000"/>
          <w:sz w:val="28"/>
        </w:rPr>
        <w:t>Rate of elimination and desired input rate</w:t>
      </w:r>
    </w:p>
    <w:p>
      <w:pPr>
        <w:spacing w:after="160"/>
        <w:jc w:val="both"/>
      </w:pPr>
      <w:r>
        <w:rPr>
          <w:rFonts w:ascii="Comic Sans MS" w:hAnsi="Comic Sans MS" w:cs="Comic Sans MS"/>
          <w:b w:val="0"/>
          <w:i w:val="0"/>
          <w:color w:val="000000"/>
          <w:sz w:val="28"/>
        </w:rPr>
        <w:t>At steady state the rate of drug input equals the rate of elimination. For a zero-order input from the delivery system :</w:t>
      </w:r>
    </w:p>
    <w:p>
      <w:pPr>
        <w:spacing w:before="40" w:after="120"/>
        <w:jc w:val="center"/>
      </w:pPr>
      <w:r>
        <w:rPr>
          <w:rFonts w:ascii="Comic Sans MS" w:hAnsi="Comic Sans MS" w:cs="Comic Sans MS"/>
          <w:b/>
          <w:color w:val="6A1B9A"/>
          <w:sz w:val="28"/>
        </w:rPr>
        <w:t>Input rate (Kᵣ₀) = Elimination rate = kₑ × Ab,ss = kₑ × Cp,ss × Vd</w:t>
      </w:r>
    </w:p>
    <w:p>
      <w:pPr>
        <w:spacing w:after="160"/>
        <w:jc w:val="both"/>
      </w:pPr>
      <w:r>
        <w:rPr>
          <w:rFonts w:ascii="Comic Sans MS" w:hAnsi="Comic Sans MS" w:cs="Comic Sans MS"/>
          <w:b w:val="0"/>
          <w:i w:val="0"/>
          <w:color w:val="000000"/>
          <w:sz w:val="28"/>
        </w:rPr>
        <w:t>where Ab,ss is the amount in the body at steady state and Cp,ss the steady-state plasma concentration. Because kₑ = 0.693/t½, drugs with a short half-life require a proportionally larger maintenance dose, which is why very short-t½ drugs are impractical for SR.</w:t>
      </w:r>
    </w:p>
    <w:p>
      <w:pPr>
        <w:spacing w:before="140" w:after="60" w:line="276" w:lineRule="auto"/>
        <w:keepNext/>
      </w:pPr>
      <w:r>
        <w:rPr>
          <w:rFonts w:ascii="Comic Sans MS" w:hAnsi="Comic Sans MS" w:cs="Comic Sans MS"/>
          <w:b/>
          <w:color w:val="000000"/>
          <w:sz w:val="28"/>
        </w:rPr>
        <w:t>The maintenance-to-loading dose ratio</w:t>
      </w:r>
    </w:p>
    <w:p>
      <w:pPr>
        <w:spacing w:after="160"/>
        <w:jc w:val="both"/>
      </w:pPr>
      <w:r>
        <w:rPr>
          <w:rFonts w:ascii="Comic Sans MS" w:hAnsi="Comic Sans MS" w:cs="Comic Sans MS"/>
          <w:b w:val="0"/>
          <w:i w:val="0"/>
          <w:color w:val="000000"/>
          <w:sz w:val="28"/>
        </w:rPr>
        <w:t>The relative sizes of the loading dose (D₀) and the maintenance dose (Dₘ) depend on the half-life and the intended duration. As the intended duration of sustaining (Tᵈ) increases or the half-life decreases, the maintenance fraction grows relative to the loading dose.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Worked Example – short vs long half-life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Two drugs A and B both need Cp = 5 mg/L with Vd = 15 L, sustained for 10 h.</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Drug A (t½ = 2 h) : </w:t>
            </w:r>
            <w:r>
              <w:rPr>
                <w:rFonts w:ascii="Comic Sans MS" w:hAnsi="Comic Sans MS" w:cs="Comic Sans MS"/>
                <w:b w:val="0"/>
                <w:i w:val="0"/>
                <w:color w:val="000000"/>
                <w:sz w:val="28"/>
              </w:rPr>
              <w:t>kₑ = 0.347 h⁻¹; Kᵣ₀ = 5 × 0.347 × 15 = 26 mg/h; Dₘ = 260 mg.</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Drug B (t½ = 6 h) : </w:t>
            </w:r>
            <w:r>
              <w:rPr>
                <w:rFonts w:ascii="Comic Sans MS" w:hAnsi="Comic Sans MS" w:cs="Comic Sans MS"/>
                <w:b w:val="0"/>
                <w:i w:val="0"/>
                <w:color w:val="000000"/>
                <w:sz w:val="28"/>
              </w:rPr>
              <w:t>kₑ = 0.116 h⁻¹; Kᵣ₀ = 5 × 0.116 × 15 = 8.7 mg/h; Dₘ = 87 mg.</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Conclusion : </w:t>
            </w:r>
            <w:r>
              <w:rPr>
                <w:rFonts w:ascii="Comic Sans MS" w:hAnsi="Comic Sans MS" w:cs="Comic Sans MS"/>
                <w:b w:val="0"/>
                <w:i w:val="0"/>
                <w:color w:val="000000"/>
                <w:sz w:val="28"/>
              </w:rPr>
              <w:t>the short-t½ drug A needs ~3× the maintenance dose – illustrating why moderate half-lives are preferred.</w:t>
            </w:r>
          </w:p>
        </w:tc>
      </w:tr>
    </w:tbl>
    <w:p>
      <w:pPr>
        <w:spacing w:after="40"/>
      </w:pPr>
    </w:p>
    <w:p>
      <w:pPr>
        <w:spacing w:before="200" w:after="100" w:line="276" w:lineRule="auto"/>
        <w:keepNext/>
      </w:pPr>
      <w:r>
        <w:rPr>
          <w:rFonts w:ascii="Comic Sans MS" w:hAnsi="Comic Sans MS" w:cs="Comic Sans MS"/>
          <w:b/>
          <w:color w:val="FF0000"/>
          <w:sz w:val="32"/>
        </w:rPr>
        <w:t>1.10 Release Kinetics &amp; Mathematical Models (in detail)</w:t>
      </w:r>
    </w:p>
    <w:p>
      <w:pPr>
        <w:spacing w:after="160"/>
        <w:jc w:val="both"/>
      </w:pPr>
      <w:r>
        <w:rPr>
          <w:rFonts w:ascii="Comic Sans MS" w:hAnsi="Comic Sans MS" w:cs="Comic Sans MS"/>
          <w:b w:val="0"/>
          <w:i w:val="0"/>
          <w:color w:val="000000"/>
          <w:sz w:val="28"/>
        </w:rPr>
        <w:t>The in-vitro release data of a CDDS are fitted to mathematical models to characterise the mechanism and to compare formulations. The principal models are :</w:t>
      </w:r>
    </w:p>
    <w:p>
      <w:pPr>
        <w:spacing w:before="140" w:after="60" w:line="276" w:lineRule="auto"/>
        <w:keepNext/>
      </w:pPr>
      <w:r>
        <w:rPr>
          <w:rFonts w:ascii="Comic Sans MS" w:hAnsi="Comic Sans MS" w:cs="Comic Sans MS"/>
          <w:b/>
          <w:color w:val="000000"/>
          <w:sz w:val="28"/>
        </w:rPr>
        <w:t>Zero-order model</w:t>
      </w:r>
    </w:p>
    <w:p>
      <w:pPr>
        <w:spacing w:before="40" w:after="120"/>
        <w:jc w:val="center"/>
      </w:pPr>
      <w:r>
        <w:rPr>
          <w:rFonts w:ascii="Comic Sans MS" w:hAnsi="Comic Sans MS" w:cs="Comic Sans MS"/>
          <w:b/>
          <w:color w:val="6A1B9A"/>
          <w:sz w:val="28"/>
        </w:rPr>
        <w:t>Qₜ = Q₀ + k₀ t</w:t>
      </w:r>
    </w:p>
    <w:p>
      <w:pPr>
        <w:spacing w:after="160"/>
        <w:jc w:val="both"/>
      </w:pPr>
      <w:r>
        <w:rPr>
          <w:rFonts w:ascii="Comic Sans MS" w:hAnsi="Comic Sans MS" w:cs="Comic Sans MS"/>
          <w:b w:val="0"/>
          <w:i w:val="0"/>
          <w:color w:val="000000"/>
          <w:sz w:val="28"/>
        </w:rPr>
        <w:t>A plot of cumulative % released versus time is linear; ideal for controlled release. Osmotic pumps and well-designed reservoir systems approach this behaviour.</w:t>
      </w:r>
    </w:p>
    <w:p>
      <w:pPr>
        <w:spacing w:before="140" w:after="60" w:line="276" w:lineRule="auto"/>
        <w:keepNext/>
      </w:pPr>
      <w:r>
        <w:rPr>
          <w:rFonts w:ascii="Comic Sans MS" w:hAnsi="Comic Sans MS" w:cs="Comic Sans MS"/>
          <w:b/>
          <w:color w:val="000000"/>
          <w:sz w:val="28"/>
        </w:rPr>
        <w:t>First-order model</w:t>
      </w:r>
    </w:p>
    <w:p>
      <w:pPr>
        <w:spacing w:before="40" w:after="120"/>
        <w:jc w:val="center"/>
      </w:pPr>
      <w:r>
        <w:rPr>
          <w:rFonts w:ascii="Comic Sans MS" w:hAnsi="Comic Sans MS" w:cs="Comic Sans MS"/>
          <w:b/>
          <w:color w:val="6A1B9A"/>
          <w:sz w:val="28"/>
        </w:rPr>
        <w:t>log Q = log Q₀ – (k₁ t / 2.303)</w:t>
      </w:r>
    </w:p>
    <w:p>
      <w:pPr>
        <w:spacing w:after="160"/>
        <w:jc w:val="both"/>
      </w:pPr>
      <w:r>
        <w:rPr>
          <w:rFonts w:ascii="Comic Sans MS" w:hAnsi="Comic Sans MS" w:cs="Comic Sans MS"/>
          <w:b w:val="0"/>
          <w:i w:val="0"/>
          <w:color w:val="000000"/>
          <w:sz w:val="28"/>
        </w:rPr>
        <w:t>A plot of log(% remaining) versus time is linear; typical of matrix systems releasing water-soluble drugs and of many conventional formulations.</w:t>
      </w:r>
    </w:p>
    <w:p>
      <w:pPr>
        <w:spacing w:before="140" w:after="60" w:line="276" w:lineRule="auto"/>
        <w:keepNext/>
      </w:pPr>
      <w:r>
        <w:rPr>
          <w:rFonts w:ascii="Comic Sans MS" w:hAnsi="Comic Sans MS" w:cs="Comic Sans MS"/>
          <w:b/>
          <w:color w:val="000000"/>
          <w:sz w:val="28"/>
        </w:rPr>
        <w:t>Higuchi model</w:t>
      </w:r>
    </w:p>
    <w:p>
      <w:pPr>
        <w:spacing w:before="40" w:after="120"/>
        <w:jc w:val="center"/>
      </w:pPr>
      <w:r>
        <w:rPr>
          <w:rFonts w:ascii="Comic Sans MS" w:hAnsi="Comic Sans MS" w:cs="Comic Sans MS"/>
          <w:b/>
          <w:color w:val="6A1B9A"/>
          <w:sz w:val="28"/>
        </w:rPr>
        <w:t>Q = kₕ √t</w:t>
      </w:r>
    </w:p>
    <w:p>
      <w:pPr>
        <w:spacing w:after="160"/>
        <w:jc w:val="both"/>
      </w:pPr>
      <w:r>
        <w:rPr>
          <w:rFonts w:ascii="Comic Sans MS" w:hAnsi="Comic Sans MS" w:cs="Comic Sans MS"/>
          <w:b w:val="0"/>
          <w:i w:val="0"/>
          <w:color w:val="000000"/>
          <w:sz w:val="28"/>
        </w:rPr>
        <w:t>Cumulative release is proportional to the square-root of time; describes diffusion-controlled release from a homogeneous or granular matrix. Assumptions include : initial drug concentration in the matrix is much higher than solubility; drug diffusion is one-dimensional; sink conditions are maintained; the matrix does not dissolve.</w:t>
      </w:r>
    </w:p>
    <w:p>
      <w:pPr>
        <w:spacing w:before="140" w:after="60" w:line="276" w:lineRule="auto"/>
        <w:keepNext/>
      </w:pPr>
      <w:r>
        <w:rPr>
          <w:rFonts w:ascii="Comic Sans MS" w:hAnsi="Comic Sans MS" w:cs="Comic Sans MS"/>
          <w:b/>
          <w:color w:val="000000"/>
          <w:sz w:val="28"/>
        </w:rPr>
        <w:t>Korsmeyer–Peppas (power-law) model</w:t>
      </w:r>
    </w:p>
    <w:p>
      <w:pPr>
        <w:spacing w:before="40" w:after="120"/>
        <w:jc w:val="center"/>
      </w:pPr>
      <w:r>
        <w:rPr>
          <w:rFonts w:ascii="Comic Sans MS" w:hAnsi="Comic Sans MS" w:cs="Comic Sans MS"/>
          <w:b/>
          <w:color w:val="6A1B9A"/>
          <w:sz w:val="28"/>
        </w:rPr>
        <w:t>Mt / M∞ = k tⁿ</w:t>
      </w:r>
    </w:p>
    <w:p>
      <w:pPr>
        <w:spacing w:after="160"/>
        <w:jc w:val="both"/>
      </w:pPr>
      <w:r>
        <w:rPr>
          <w:rFonts w:ascii="Comic Sans MS" w:hAnsi="Comic Sans MS" w:cs="Comic Sans MS"/>
          <w:b w:val="0"/>
          <w:i w:val="0"/>
          <w:color w:val="000000"/>
          <w:sz w:val="28"/>
        </w:rPr>
        <w:t>Used when the mechanism is unknown or more than one type of release is involved. The release exponent n identifies the mechanism.</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Exponent n (cylinder)</w:t>
            </w:r>
          </w:p>
        </w:tc>
        <w:tc>
          <w:tcPr>
            <w:tcW w:type="dxa" w:w="59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Release mechanism</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 ≤ 0.45</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Fickian diffusion (Higuchi)</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0.45 &lt; n &lt; 0.89</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Anomalous (non-Fickian) transport</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 = 0.89</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Case-II transport (zero-order, erosion)</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 &gt; 0.89</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Super case-II transport</w:t>
            </w:r>
          </w:p>
        </w:tc>
      </w:tr>
    </w:tbl>
    <w:p>
      <w:pPr>
        <w:spacing w:after="40"/>
      </w:pPr>
    </w:p>
    <w:p>
      <w:pPr>
        <w:spacing w:before="140" w:after="60" w:line="276" w:lineRule="auto"/>
        <w:keepNext/>
      </w:pPr>
      <w:r>
        <w:rPr>
          <w:rFonts w:ascii="Comic Sans MS" w:hAnsi="Comic Sans MS" w:cs="Comic Sans MS"/>
          <w:b/>
          <w:color w:val="000000"/>
          <w:sz w:val="28"/>
        </w:rPr>
        <w:t>Hixson–Crowell model</w:t>
      </w:r>
    </w:p>
    <w:p>
      <w:pPr>
        <w:spacing w:before="40" w:after="120"/>
        <w:jc w:val="center"/>
      </w:pPr>
      <w:r>
        <w:rPr>
          <w:rFonts w:ascii="Comic Sans MS" w:hAnsi="Comic Sans MS" w:cs="Comic Sans MS"/>
          <w:b/>
          <w:color w:val="6A1B9A"/>
          <w:sz w:val="28"/>
        </w:rPr>
        <w:t>Q₀^(1/3) – Qₜ^(1/3) = k t</w:t>
      </w:r>
    </w:p>
    <w:p>
      <w:pPr>
        <w:spacing w:after="160"/>
        <w:jc w:val="both"/>
      </w:pPr>
      <w:r>
        <w:rPr>
          <w:rFonts w:ascii="Comic Sans MS" w:hAnsi="Comic Sans MS" w:cs="Comic Sans MS"/>
          <w:b w:val="0"/>
          <w:i w:val="0"/>
          <w:color w:val="000000"/>
          <w:sz w:val="28"/>
        </w:rPr>
        <w:t>Describes release from systems where the surface area and diameter change (erosion / dissolution of particles) – the 'cube-root' law.</w:t>
      </w:r>
    </w:p>
    <w:p>
      <w:pPr>
        <w:spacing w:before="200" w:after="100" w:line="276" w:lineRule="auto"/>
        <w:keepNext/>
      </w:pPr>
      <w:r>
        <w:rPr>
          <w:rFonts w:ascii="Comic Sans MS" w:hAnsi="Comic Sans MS" w:cs="Comic Sans MS"/>
          <w:b/>
          <w:color w:val="FF0000"/>
          <w:sz w:val="32"/>
        </w:rPr>
        <w:t>1.11 In-Vitro / In-Vivo Correlation (IVIVC) for CDDS</w:t>
      </w:r>
    </w:p>
    <w:p>
      <w:pPr>
        <w:spacing w:after="160"/>
        <w:jc w:val="both"/>
      </w:pPr>
      <w:r>
        <w:rPr>
          <w:rFonts w:ascii="Comic Sans MS" w:hAnsi="Comic Sans MS" w:cs="Comic Sans MS"/>
          <w:b w:val="0"/>
          <w:i w:val="0"/>
          <w:color w:val="000000"/>
          <w:sz w:val="28"/>
        </w:rPr>
        <w:t>IVIVC is a predictive mathematical model describing the relationship between an in-vitro property of a dosage form (usually the extent or rate of dissolution) and a relevant in-vivo response (plasma concentration or amount absorbed). A good IVIVC allows dissolution testing to serve as a surrogate for bioequivalence studies, which is particularly valuable for CDDS whose performance depends heavily on release.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72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Level</w:t>
            </w:r>
          </w:p>
        </w:tc>
        <w:tc>
          <w:tcPr>
            <w:tcW w:type="dxa" w:w="475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Correlation</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Usefulness</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Level A</w:t>
            </w:r>
          </w:p>
        </w:tc>
        <w:tc>
          <w:tcPr>
            <w:tcW w:type="dxa" w:w="475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Point-to-point (dissolution vs absorption)</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Highest; can waive bioequivalence</w:t>
            </w:r>
          </w:p>
        </w:tc>
      </w:tr>
      <w:tr>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Level B</w:t>
            </w:r>
          </w:p>
        </w:tc>
        <w:tc>
          <w:tcPr>
            <w:tcW w:type="dxa" w:w="475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Mean dissolution time vs mean residence time</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Uses statistical moments</w:t>
            </w:r>
          </w:p>
        </w:tc>
      </w:tr>
      <w:tr>
        <w:tc>
          <w:tcPr>
            <w:tcW w:type="dxa" w:w="172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Level C</w:t>
            </w:r>
          </w:p>
        </w:tc>
        <w:tc>
          <w:tcPr>
            <w:tcW w:type="dxa" w:w="475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Single point (e.g., % at 1 h vs Cmax)</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Weakest; limited use</w:t>
            </w:r>
          </w:p>
        </w:tc>
      </w:tr>
      <w:tr>
        <w:tc>
          <w:tcPr>
            <w:tcW w:type="dxa" w:w="172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Multiple C</w:t>
            </w:r>
          </w:p>
        </w:tc>
        <w:tc>
          <w:tcPr>
            <w:tcW w:type="dxa" w:w="475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Several time points vs a PK parameter</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Better than single C</w:t>
            </w:r>
          </w:p>
        </w:tc>
      </w:tr>
    </w:tbl>
    <w:p>
      <w:pPr>
        <w:spacing w:after="40"/>
      </w:pPr>
    </w:p>
    <w:p>
      <w:pPr>
        <w:spacing w:before="200" w:after="100" w:line="276" w:lineRule="auto"/>
        <w:keepNext/>
      </w:pPr>
      <w:r>
        <w:rPr>
          <w:rFonts w:ascii="Comic Sans MS" w:hAnsi="Comic Sans MS" w:cs="Comic Sans MS"/>
          <w:b/>
          <w:color w:val="FF0000"/>
          <w:sz w:val="32"/>
        </w:rPr>
        <w:t>1.12 Gastro-retentive Drug Delivery Systems (GRDDS)</w:t>
      </w:r>
    </w:p>
    <w:p>
      <w:pPr>
        <w:spacing w:after="160"/>
        <w:jc w:val="both"/>
      </w:pPr>
      <w:r>
        <w:rPr>
          <w:rFonts w:ascii="Comic Sans MS" w:hAnsi="Comic Sans MS" w:cs="Comic Sans MS"/>
          <w:b w:val="0"/>
          <w:i w:val="0"/>
          <w:color w:val="000000"/>
          <w:sz w:val="28"/>
        </w:rPr>
        <w:t>Drugs with a narrow absorption window in the upper GI tract, drugs that act locally in the stomach, or drugs unstable in the intestine benefit from being retained in the stomach. Gastro-retentive systems prolong gastric residence and thereby improve absorption and the utility of CDDS.</w:t>
      </w:r>
    </w:p>
    <w:p>
      <w:pPr>
        <w:spacing w:before="140" w:after="60" w:line="276" w:lineRule="auto"/>
        <w:keepNext/>
      </w:pPr>
      <w:r>
        <w:rPr>
          <w:rFonts w:ascii="Comic Sans MS" w:hAnsi="Comic Sans MS" w:cs="Comic Sans MS"/>
          <w:b/>
          <w:color w:val="000000"/>
          <w:sz w:val="28"/>
        </w:rPr>
        <w:t>Approaches to gastric retention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Floating (low-density) systems : </w:t>
      </w:r>
      <w:r>
        <w:rPr>
          <w:rFonts w:ascii="Comic Sans MS" w:hAnsi="Comic Sans MS" w:cs="Comic Sans MS"/>
          <w:b w:val="0"/>
          <w:i w:val="0"/>
          <w:color w:val="000000"/>
          <w:sz w:val="28"/>
        </w:rPr>
        <w:t>density less than gastric fluid (&lt; 1.004 g/mL) so the unit floats; effervescent (gas-generating) or non-effervescent (hydrocolloid gel) types.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High-density (sinking) systems : </w:t>
      </w:r>
      <w:r>
        <w:rPr>
          <w:rFonts w:ascii="Comic Sans MS" w:hAnsi="Comic Sans MS" w:cs="Comic Sans MS"/>
          <w:b w:val="0"/>
          <w:i w:val="0"/>
          <w:color w:val="000000"/>
          <w:sz w:val="28"/>
        </w:rPr>
        <w:t>density &gt; 2.5 g/mL so the unit settles in the antrum and resists emptying.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Bioadhesive / mucoadhesive systems : </w:t>
      </w:r>
      <w:r>
        <w:rPr>
          <w:rFonts w:ascii="Comic Sans MS" w:hAnsi="Comic Sans MS" w:cs="Comic Sans MS"/>
          <w:b w:val="0"/>
          <w:i w:val="0"/>
          <w:color w:val="000000"/>
          <w:sz w:val="28"/>
        </w:rPr>
        <w:t>adhere to the gastric mucosa.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Swelling / expanding systems : </w:t>
      </w:r>
      <w:r>
        <w:rPr>
          <w:rFonts w:ascii="Comic Sans MS" w:hAnsi="Comic Sans MS" w:cs="Comic Sans MS"/>
          <w:b w:val="0"/>
          <w:i w:val="0"/>
          <w:color w:val="000000"/>
          <w:sz w:val="28"/>
        </w:rPr>
        <w:t>swell to a size too large to pass the pylorus (plug-type / unfoldable systems).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Magnetic systems : </w:t>
      </w:r>
      <w:r>
        <w:rPr>
          <w:rFonts w:ascii="Comic Sans MS" w:hAnsi="Comic Sans MS" w:cs="Comic Sans MS"/>
          <w:b w:val="0"/>
          <w:i w:val="0"/>
          <w:color w:val="000000"/>
          <w:sz w:val="28"/>
        </w:rPr>
        <w:t>retained by an external magnet.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Raft-forming systems : </w:t>
      </w:r>
      <w:r>
        <w:rPr>
          <w:rFonts w:ascii="Comic Sans MS" w:hAnsi="Comic Sans MS" w:cs="Comic Sans MS"/>
          <w:b w:val="0"/>
          <w:i w:val="0"/>
          <w:color w:val="000000"/>
          <w:sz w:val="28"/>
        </w:rPr>
        <w:t>form a floating gel raft on gastric contents (antacid / anti-reflux).</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GRDDS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Ideal for narrow-absorption-window drugs (furosemide, riboflavin, L-dopa, captopril).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Floating systems are the most widely used; effervescent types use NaHCO₃ + citric acid to generate CO₂.</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Not suitable for drugs irritant to the gastric mucosa or unstable in acid.</w:t>
            </w:r>
          </w:p>
        </w:tc>
      </w:tr>
    </w:tbl>
    <w:p>
      <w:pPr>
        <w:spacing w:after="40"/>
      </w:pPr>
    </w:p>
    <w:p>
      <w:r>
        <w:br w:type="page"/>
      </w:r>
    </w:p>
    <w:p>
      <w:pPr>
        <w:spacing w:before="200" w:after="100" w:line="276" w:lineRule="auto"/>
        <w:keepNext/>
      </w:pPr>
      <w:r>
        <w:rPr>
          <w:rFonts w:ascii="Comic Sans MS" w:hAnsi="Comic Sans MS" w:cs="Comic Sans MS"/>
          <w:b/>
          <w:color w:val="FF0000"/>
          <w:sz w:val="32"/>
        </w:rPr>
        <w:t>1.13 Physicochemical Factors – Detailed Treatment</w:t>
      </w:r>
    </w:p>
    <w:p>
      <w:pPr>
        <w:spacing w:before="140" w:after="60" w:line="276" w:lineRule="auto"/>
        <w:keepNext/>
      </w:pPr>
      <w:r>
        <w:rPr>
          <w:rFonts w:ascii="Comic Sans MS" w:hAnsi="Comic Sans MS" w:cs="Comic Sans MS"/>
          <w:b/>
          <w:color w:val="000000"/>
          <w:sz w:val="28"/>
        </w:rPr>
        <w:t>Aqueous solubility &amp; dissolution</w:t>
      </w:r>
    </w:p>
    <w:p>
      <w:pPr>
        <w:spacing w:after="160"/>
        <w:jc w:val="both"/>
      </w:pPr>
      <w:r>
        <w:rPr>
          <w:rFonts w:ascii="Comic Sans MS" w:hAnsi="Comic Sans MS" w:cs="Comic Sans MS"/>
          <w:b w:val="0"/>
          <w:i w:val="0"/>
          <w:color w:val="000000"/>
          <w:sz w:val="28"/>
        </w:rPr>
        <w:t>Because a drug must be in solution to be absorbed, its aqueous solubility sets a lower limit on the delivery rate. Very poorly soluble drugs (&lt; 0.01 mg/mL) are intrinsically sustained by their slow dissolution, so building further retardation into the formulation may make the plasma level sub-therapeutic. Conversely, freely soluble drugs release too quickly from simple matrices and need a strong rate-controlling barrier. A solubility in the range 0.1–10 mg/mL is generally considered workable. The pH-dependence of solubility is also important because the unit travels through regions of very different pH.</w:t>
      </w:r>
    </w:p>
    <w:p>
      <w:pPr>
        <w:spacing w:before="140" w:after="60" w:line="276" w:lineRule="auto"/>
        <w:keepNext/>
      </w:pPr>
      <w:r>
        <w:rPr>
          <w:rFonts w:ascii="Comic Sans MS" w:hAnsi="Comic Sans MS" w:cs="Comic Sans MS"/>
          <w:b/>
          <w:color w:val="000000"/>
          <w:sz w:val="28"/>
        </w:rPr>
        <w:t>Partition coefficient (log P)</w:t>
      </w:r>
    </w:p>
    <w:p>
      <w:pPr>
        <w:spacing w:after="160"/>
        <w:jc w:val="both"/>
      </w:pPr>
      <w:r>
        <w:rPr>
          <w:rFonts w:ascii="Comic Sans MS" w:hAnsi="Comic Sans MS" w:cs="Comic Sans MS"/>
          <w:b w:val="0"/>
          <w:i w:val="0"/>
          <w:color w:val="000000"/>
          <w:sz w:val="28"/>
        </w:rPr>
        <w:t>The partition coefficient reflects the drug's lipophilicity and hence its ability to cross the lipid membranes of the GI epithelium and of polymeric rate-controlling membranes. Drugs with very low log P are too hydrophilic to permeate; those with very high log P are so lipophilic that they localise in the membrane and are not released. An intermediate, balanced log P is optimal, both for absorption and for controlled release through a polymer.</w:t>
      </w:r>
    </w:p>
    <w:p>
      <w:pPr>
        <w:spacing w:before="140" w:after="60" w:line="276" w:lineRule="auto"/>
        <w:keepNext/>
      </w:pPr>
      <w:r>
        <w:rPr>
          <w:rFonts w:ascii="Comic Sans MS" w:hAnsi="Comic Sans MS" w:cs="Comic Sans MS"/>
          <w:b/>
          <w:color w:val="000000"/>
          <w:sz w:val="28"/>
        </w:rPr>
        <w:t>Drug pKa &amp; ionisation</w:t>
      </w:r>
    </w:p>
    <w:p>
      <w:pPr>
        <w:spacing w:after="160"/>
        <w:jc w:val="both"/>
      </w:pPr>
      <w:r>
        <w:rPr>
          <w:rFonts w:ascii="Comic Sans MS" w:hAnsi="Comic Sans MS" w:cs="Comic Sans MS"/>
          <w:b w:val="0"/>
          <w:i w:val="0"/>
          <w:color w:val="000000"/>
          <w:sz w:val="28"/>
        </w:rPr>
        <w:t>Only the unionised species readily crosses lipid membranes (pH-partition hypothesis). The fraction unionised at a given site is governed by the drug's pKa and the local pH (Henderson–Hasselbalch). A weak acid is largely unionised (and better absorbed) in the acidic stomach, whereas a weak base is better absorbed in the more alkaline intestine. This influences where in the GI tract the drug should be released.</w:t>
      </w:r>
    </w:p>
    <w:p>
      <w:pPr>
        <w:spacing w:before="140" w:after="60" w:line="276" w:lineRule="auto"/>
        <w:keepNext/>
      </w:pPr>
      <w:r>
        <w:rPr>
          <w:rFonts w:ascii="Comic Sans MS" w:hAnsi="Comic Sans MS" w:cs="Comic Sans MS"/>
          <w:b/>
          <w:color w:val="000000"/>
          <w:sz w:val="28"/>
        </w:rPr>
        <w:t>Drug stability</w:t>
      </w:r>
    </w:p>
    <w:p>
      <w:pPr>
        <w:spacing w:after="160"/>
        <w:jc w:val="both"/>
      </w:pPr>
      <w:r>
        <w:rPr>
          <w:rFonts w:ascii="Comic Sans MS" w:hAnsi="Comic Sans MS" w:cs="Comic Sans MS"/>
          <w:b w:val="0"/>
          <w:i w:val="0"/>
          <w:color w:val="000000"/>
          <w:sz w:val="28"/>
        </w:rPr>
        <w:t>A drug that is unstable in gastric acid should be protected (enteric release), while one unstable in the small intestine may be better released rapidly in the stomach. For a sustained system that keeps the drug in the GI tract for many hours, chemical and enzymatic stability throughout the transit is essential.</w:t>
      </w:r>
    </w:p>
    <w:p>
      <w:pPr>
        <w:spacing w:before="140" w:after="60" w:line="276" w:lineRule="auto"/>
        <w:keepNext/>
      </w:pPr>
      <w:r>
        <w:rPr>
          <w:rFonts w:ascii="Comic Sans MS" w:hAnsi="Comic Sans MS" w:cs="Comic Sans MS"/>
          <w:b/>
          <w:color w:val="000000"/>
          <w:sz w:val="28"/>
        </w:rPr>
        <w:t>Molecular size &amp; diffusivity</w:t>
      </w:r>
    </w:p>
    <w:p>
      <w:pPr>
        <w:spacing w:after="160"/>
        <w:jc w:val="both"/>
      </w:pPr>
      <w:r>
        <w:rPr>
          <w:rFonts w:ascii="Comic Sans MS" w:hAnsi="Comic Sans MS" w:cs="Comic Sans MS"/>
          <w:b w:val="0"/>
          <w:i w:val="0"/>
          <w:color w:val="000000"/>
          <w:sz w:val="28"/>
        </w:rPr>
        <w:t>The diffusion coefficient of a drug through a polymer decreases as molecular size increases; molecules above ~500 Da diffuse slowly and above ~1000 Da may not diffuse usefully through common membranes. This limits the range of drugs deliverable by diffusion-controlled systems.</w:t>
      </w:r>
    </w:p>
    <w:p>
      <w:pPr>
        <w:spacing w:before="140" w:after="60" w:line="276" w:lineRule="auto"/>
        <w:keepNext/>
      </w:pPr>
      <w:r>
        <w:rPr>
          <w:rFonts w:ascii="Comic Sans MS" w:hAnsi="Comic Sans MS" w:cs="Comic Sans MS"/>
          <w:b/>
          <w:color w:val="000000"/>
          <w:sz w:val="28"/>
        </w:rPr>
        <w:t>Protein binding</w:t>
      </w:r>
    </w:p>
    <w:p>
      <w:pPr>
        <w:spacing w:after="160"/>
        <w:jc w:val="both"/>
      </w:pPr>
      <w:r>
        <w:rPr>
          <w:rFonts w:ascii="Comic Sans MS" w:hAnsi="Comic Sans MS" w:cs="Comic Sans MS"/>
          <w:b w:val="0"/>
          <w:i w:val="0"/>
          <w:color w:val="000000"/>
          <w:sz w:val="28"/>
        </w:rPr>
        <w:t>Extensive plasma-protein binding acts as a depot that prolongs the apparent half-life; such drugs may not require a sustaining formulation. Binding also influences the free (active) concentration and the volume of distribution used in dose calculations.</w:t>
      </w:r>
    </w:p>
    <w:p>
      <w:pPr>
        <w:spacing w:before="200" w:after="100" w:line="276" w:lineRule="auto"/>
        <w:keepNext/>
      </w:pPr>
      <w:r>
        <w:rPr>
          <w:rFonts w:ascii="Comic Sans MS" w:hAnsi="Comic Sans MS" w:cs="Comic Sans MS"/>
          <w:b/>
          <w:color w:val="FF0000"/>
          <w:sz w:val="32"/>
        </w:rPr>
        <w:t>1.14 Biological Factors – Detailed Treatment</w:t>
      </w:r>
    </w:p>
    <w:p>
      <w:pPr>
        <w:spacing w:before="140" w:after="60" w:line="276" w:lineRule="auto"/>
        <w:keepNext/>
      </w:pPr>
      <w:r>
        <w:rPr>
          <w:rFonts w:ascii="Comic Sans MS" w:hAnsi="Comic Sans MS" w:cs="Comic Sans MS"/>
          <w:b/>
          <w:color w:val="000000"/>
          <w:sz w:val="28"/>
        </w:rPr>
        <w:t>Absorption</w:t>
      </w:r>
    </w:p>
    <w:p>
      <w:pPr>
        <w:spacing w:after="160"/>
        <w:jc w:val="both"/>
      </w:pPr>
      <w:r>
        <w:rPr>
          <w:rFonts w:ascii="Comic Sans MS" w:hAnsi="Comic Sans MS" w:cs="Comic Sans MS"/>
          <w:b w:val="0"/>
          <w:i w:val="0"/>
          <w:color w:val="000000"/>
          <w:sz w:val="28"/>
        </w:rPr>
        <w:t>The rate and site of absorption must be compatible with slow release. If the absorption rate constant is much smaller than the intended release rate, absorption (not release) becomes rate-limiting and the design fails. Drugs absorbed by active transport from a specific 'window' in the upper GI (e.g., riboflavin, some B-vitamins, L-dopa, iron) are unsuitable unless the system is gastro-retentive.</w:t>
      </w:r>
    </w:p>
    <w:p>
      <w:pPr>
        <w:spacing w:before="140" w:after="60" w:line="276" w:lineRule="auto"/>
        <w:keepNext/>
      </w:pPr>
      <w:r>
        <w:rPr>
          <w:rFonts w:ascii="Comic Sans MS" w:hAnsi="Comic Sans MS" w:cs="Comic Sans MS"/>
          <w:b/>
          <w:color w:val="000000"/>
          <w:sz w:val="28"/>
        </w:rPr>
        <w:t>Distribution &amp; metabolism</w:t>
      </w:r>
    </w:p>
    <w:p>
      <w:pPr>
        <w:spacing w:after="160"/>
        <w:jc w:val="both"/>
      </w:pPr>
      <w:r>
        <w:rPr>
          <w:rFonts w:ascii="Comic Sans MS" w:hAnsi="Comic Sans MS" w:cs="Comic Sans MS"/>
          <w:b w:val="0"/>
          <w:i w:val="0"/>
          <w:color w:val="000000"/>
          <w:sz w:val="28"/>
        </w:rPr>
        <w:t>A large or variable volume of distribution and extensive or saturable (non-linear) metabolism complicate the prediction of plasma levels. High hepatic-extraction drugs presented slowly to the liver may show greater first-pass loss, lowering bioavailability.</w:t>
      </w:r>
    </w:p>
    <w:p>
      <w:pPr>
        <w:spacing w:before="140" w:after="60" w:line="276" w:lineRule="auto"/>
        <w:keepNext/>
      </w:pPr>
      <w:r>
        <w:rPr>
          <w:rFonts w:ascii="Comic Sans MS" w:hAnsi="Comic Sans MS" w:cs="Comic Sans MS"/>
          <w:b/>
          <w:color w:val="000000"/>
          <w:sz w:val="28"/>
        </w:rPr>
        <w:t>Biological half-life – the central criterion</w:t>
      </w:r>
    </w:p>
    <w:p>
      <w:pPr>
        <w:spacing w:after="160"/>
        <w:jc w:val="both"/>
      </w:pPr>
      <w:r>
        <w:rPr>
          <w:rFonts w:ascii="Comic Sans MS" w:hAnsi="Comic Sans MS" w:cs="Comic Sans MS"/>
          <w:b w:val="0"/>
          <w:i w:val="0"/>
          <w:color w:val="000000"/>
          <w:sz w:val="28"/>
        </w:rPr>
        <w:t>The half-life summarises elimination and is the single most important selection criterion. Drugs with t½ &lt; 1 h need very large maintenance doses (impractical); drugs with t½ &gt; 8–12 h are already long-acting. The window t½ = 2–8 h is therefore ideal.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8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Half-life</w:t>
            </w:r>
          </w:p>
        </w:tc>
        <w:tc>
          <w:tcPr>
            <w:tcW w:type="dxa" w:w="388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Suitability for SR</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Example</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&lt; 1 h</w:t>
            </w:r>
          </w:p>
        </w:tc>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Unsuitable (dose too large)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Furosemide, levodopa</w:t>
            </w:r>
          </w:p>
        </w:tc>
      </w:tr>
      <w:tr>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2–8 h</w:t>
            </w:r>
          </w:p>
        </w:tc>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Ideal</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Theophylline, metoprolol, diltiazem</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&gt; 8 h</w:t>
            </w:r>
          </w:p>
        </w:tc>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Not needed (already long)</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Digoxin, warfarin, phenytoin</w:t>
            </w:r>
          </w:p>
        </w:tc>
      </w:tr>
    </w:tbl>
    <w:p>
      <w:pPr>
        <w:spacing w:after="40"/>
      </w:pPr>
    </w:p>
    <w:p>
      <w:pPr>
        <w:spacing w:before="200" w:after="100" w:line="276" w:lineRule="auto"/>
        <w:keepNext/>
      </w:pPr>
      <w:r>
        <w:rPr>
          <w:rFonts w:ascii="Comic Sans MS" w:hAnsi="Comic Sans MS" w:cs="Comic Sans MS"/>
          <w:b/>
          <w:color w:val="FF0000"/>
          <w:sz w:val="32"/>
        </w:rPr>
        <w:t>1.15 Design of Specific Oral CR Dosage Forms</w:t>
      </w:r>
    </w:p>
    <w:p>
      <w:pPr>
        <w:spacing w:before="140" w:after="60" w:line="276" w:lineRule="auto"/>
        <w:keepNext/>
      </w:pPr>
      <w:r>
        <w:rPr>
          <w:rFonts w:ascii="Comic Sans MS" w:hAnsi="Comic Sans MS" w:cs="Comic Sans MS"/>
          <w:b/>
          <w:color w:val="000000"/>
          <w:sz w:val="28"/>
        </w:rPr>
        <w:t>Coated (film / press) systems</w:t>
      </w:r>
    </w:p>
    <w:p>
      <w:pPr>
        <w:spacing w:after="160"/>
        <w:jc w:val="both"/>
      </w:pPr>
      <w:r>
        <w:rPr>
          <w:rFonts w:ascii="Comic Sans MS" w:hAnsi="Comic Sans MS" w:cs="Comic Sans MS"/>
          <w:b w:val="0"/>
          <w:i w:val="0"/>
          <w:color w:val="000000"/>
          <w:sz w:val="28"/>
        </w:rPr>
        <w:t>A rate-controlling film of ethylcellulose or a methacrylate copolymer is applied to drug pellets, granules or tablets. Blending fast- and slow-releasing coated fractions gives the desired overall profile (as in Spansule capsules).</w:t>
      </w:r>
    </w:p>
    <w:p>
      <w:pPr>
        <w:spacing w:before="140" w:after="60" w:line="276" w:lineRule="auto"/>
        <w:keepNext/>
      </w:pPr>
      <w:r>
        <w:rPr>
          <w:rFonts w:ascii="Comic Sans MS" w:hAnsi="Comic Sans MS" w:cs="Comic Sans MS"/>
          <w:b/>
          <w:color w:val="000000"/>
          <w:sz w:val="28"/>
        </w:rPr>
        <w:t>Matrix (embedded) tablets</w:t>
      </w:r>
    </w:p>
    <w:p>
      <w:pPr>
        <w:spacing w:after="160"/>
        <w:jc w:val="both"/>
      </w:pPr>
      <w:r>
        <w:rPr>
          <w:rFonts w:ascii="Comic Sans MS" w:hAnsi="Comic Sans MS" w:cs="Comic Sans MS"/>
          <w:b w:val="0"/>
          <w:i w:val="0"/>
          <w:color w:val="000000"/>
          <w:sz w:val="28"/>
        </w:rPr>
        <w:t>The drug is embedded in a hydrophilic (HPMC), hydrophobic (wax) or plastic (ethylcellulose) matrix and compressed. Simple, robust and free of dose-dumping risk; release usually follows Higuchi kinetics.</w:t>
      </w:r>
    </w:p>
    <w:p>
      <w:pPr>
        <w:spacing w:before="140" w:after="60" w:line="276" w:lineRule="auto"/>
        <w:keepNext/>
      </w:pPr>
      <w:r>
        <w:rPr>
          <w:rFonts w:ascii="Comic Sans MS" w:hAnsi="Comic Sans MS" w:cs="Comic Sans MS"/>
          <w:b/>
          <w:color w:val="000000"/>
          <w:sz w:val="28"/>
        </w:rPr>
        <w:t>Multi-layer &amp; inlay tablets</w:t>
      </w:r>
    </w:p>
    <w:p>
      <w:pPr>
        <w:spacing w:after="160"/>
        <w:jc w:val="both"/>
      </w:pPr>
      <w:r>
        <w:rPr>
          <w:rFonts w:ascii="Comic Sans MS" w:hAnsi="Comic Sans MS" w:cs="Comic Sans MS"/>
          <w:b w:val="0"/>
          <w:i w:val="0"/>
          <w:color w:val="000000"/>
          <w:sz w:val="28"/>
        </w:rPr>
        <w:t>Two- or three-layer tablets provide an immediate-release layer over a sustaining layer, combining prompt onset with prolonged action (a designed loading + maintenance dose).</w:t>
      </w:r>
    </w:p>
    <w:p>
      <w:pPr>
        <w:spacing w:before="200" w:after="100" w:line="276" w:lineRule="auto"/>
        <w:keepNext/>
      </w:pPr>
      <w:r>
        <w:rPr>
          <w:rFonts w:ascii="Comic Sans MS" w:hAnsi="Comic Sans MS" w:cs="Comic Sans MS"/>
          <w:b/>
          <w:color w:val="FF0000"/>
          <w:sz w:val="32"/>
        </w:rPr>
        <w:t>1.16 Representative Marketed SR / CR Products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Technology</w:t>
            </w:r>
          </w:p>
        </w:tc>
        <w:tc>
          <w:tcPr>
            <w:tcW w:type="dxa" w:w="60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Marketed product / drug</w:t>
            </w:r>
          </w:p>
        </w:tc>
      </w:tr>
      <w:tr>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Osmotic (push-pull)</w:t>
            </w:r>
          </w:p>
        </w:tc>
        <w:tc>
          <w:tcPr>
            <w:tcW w:type="dxa" w:w="60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Procardia XL / Adalat GITS (nifedipine)</w:t>
            </w:r>
          </w:p>
        </w:tc>
      </w:tr>
      <w:tr>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Osmotic (EOP)</w:t>
            </w:r>
          </w:p>
        </w:tc>
        <w:tc>
          <w:tcPr>
            <w:tcW w:type="dxa" w:w="60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Acutrim, Volmax</w:t>
            </w:r>
          </w:p>
        </w:tc>
      </w:tr>
      <w:tr>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Coated multiparticulate</w:t>
            </w:r>
          </w:p>
        </w:tc>
        <w:tc>
          <w:tcPr>
            <w:tcW w:type="dxa" w:w="60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Spansule capsules; Theo-Dur</w:t>
            </w:r>
          </w:p>
        </w:tc>
      </w:tr>
      <w:tr>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Hydrophilic matrix</w:t>
            </w:r>
          </w:p>
        </w:tc>
        <w:tc>
          <w:tcPr>
            <w:tcW w:type="dxa" w:w="60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Metformin XR, diltiazem SR</w:t>
            </w:r>
          </w:p>
        </w:tc>
      </w:tr>
      <w:tr>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Ion-exchange resin</w:t>
            </w:r>
          </w:p>
        </w:tc>
        <w:tc>
          <w:tcPr>
            <w:tcW w:type="dxa" w:w="60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Codeine / dextromethorphan Pennkinetic suspensions</w:t>
            </w:r>
          </w:p>
        </w:tc>
      </w:tr>
      <w:tr>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Gastro-retentive</w:t>
            </w:r>
          </w:p>
        </w:tc>
        <w:tc>
          <w:tcPr>
            <w:tcW w:type="dxa" w:w="60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Ciprofloxacin floating tablet (Cifran OD)</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II – Oral Sustained-Release Drug Delivery Systems</w:t>
      </w:r>
    </w:p>
    <w:p>
      <w:pPr>
        <w:spacing w:before="200" w:after="100" w:line="276" w:lineRule="auto"/>
        <w:keepNext/>
      </w:pPr>
      <w:r>
        <w:rPr>
          <w:rFonts w:ascii="Comic Sans MS" w:hAnsi="Comic Sans MS" w:cs="Comic Sans MS"/>
          <w:b/>
          <w:color w:val="FF0000"/>
          <w:sz w:val="32"/>
        </w:rPr>
        <w:t>2.1 Introduction</w:t>
      </w:r>
    </w:p>
    <w:p>
      <w:pPr>
        <w:spacing w:after="160"/>
        <w:jc w:val="both"/>
      </w:pPr>
      <w:r>
        <w:rPr>
          <w:rFonts w:ascii="Comic Sans MS" w:hAnsi="Comic Sans MS" w:cs="Comic Sans MS"/>
          <w:b w:val="0"/>
          <w:i w:val="0"/>
          <w:color w:val="000000"/>
          <w:sz w:val="28"/>
        </w:rPr>
        <w:t>The oral route remains the most preferred route of administration because of its convenience, safety and economy. Oral sustained-release systems achieve rate control through one (or a combination) of the following mechanisms : dissolution control, diffusion control, osmotic control, ion-exchange and erosion. This unit examines the physicochemical and biological factors that influence their design and then treats each mechanism in detail.</w:t>
      </w:r>
    </w:p>
    <w:p>
      <w:pPr>
        <w:spacing w:before="200" w:after="100" w:line="276" w:lineRule="auto"/>
        <w:keepNext/>
      </w:pPr>
      <w:r>
        <w:rPr>
          <w:rFonts w:ascii="Comic Sans MS" w:hAnsi="Comic Sans MS" w:cs="Comic Sans MS"/>
          <w:b/>
          <w:color w:val="FF0000"/>
          <w:sz w:val="32"/>
        </w:rPr>
        <w:t>2.2 Physicochemical &amp; Biological Factors influencing Design</w:t>
      </w:r>
    </w:p>
    <w:p>
      <w:pPr>
        <w:spacing w:after="160"/>
        <w:jc w:val="both"/>
      </w:pPr>
      <w:r>
        <w:rPr>
          <w:rFonts w:ascii="Comic Sans MS" w:hAnsi="Comic Sans MS" w:cs="Comic Sans MS"/>
          <w:b w:val="0"/>
          <w:i w:val="0"/>
          <w:color w:val="000000"/>
          <w:sz w:val="28"/>
        </w:rPr>
        <w:t>The factors discussed in Unit I (solubility, partition coefficient, pKa, stability, molecular size, half-life, absorption window, dose, therapeutic index and metabolism) all apply directly to oral SR design. In addition, the following GI-specific factors are important.</w:t>
      </w:r>
    </w:p>
    <w:p>
      <w:pPr>
        <w:spacing w:before="140" w:after="60" w:line="276" w:lineRule="auto"/>
        <w:keepNext/>
      </w:pPr>
      <w:r>
        <w:rPr>
          <w:rFonts w:ascii="Comic Sans MS" w:hAnsi="Comic Sans MS" w:cs="Comic Sans MS"/>
          <w:b/>
          <w:color w:val="000000"/>
          <w:sz w:val="28"/>
        </w:rPr>
        <w:t>GI-tract related factors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GI transit time : </w:t>
      </w:r>
      <w:r>
        <w:rPr>
          <w:rFonts w:ascii="Comic Sans MS" w:hAnsi="Comic Sans MS" w:cs="Comic Sans MS"/>
          <w:b w:val="0"/>
          <w:i w:val="0"/>
          <w:color w:val="000000"/>
          <w:sz w:val="28"/>
        </w:rPr>
        <w:t>a conventional non-disintegrating unit resides 8–12 h in the GI tract (stomach 0.5–2 h, small intestine ~3 h, colon variable). Release must be completed within the absorptive transit time.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Absorption window : </w:t>
      </w:r>
      <w:r>
        <w:rPr>
          <w:rFonts w:ascii="Comic Sans MS" w:hAnsi="Comic Sans MS" w:cs="Comic Sans MS"/>
          <w:b w:val="0"/>
          <w:i w:val="0"/>
          <w:color w:val="000000"/>
          <w:sz w:val="28"/>
        </w:rPr>
        <w:t>drugs absorbed only from the upper GI (e.g., iron, riboflavin, L-dopa) need gastro-retentive design.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Gastric emptying &amp; motility : </w:t>
      </w:r>
      <w:r>
        <w:rPr>
          <w:rFonts w:ascii="Comic Sans MS" w:hAnsi="Comic Sans MS" w:cs="Comic Sans MS"/>
          <w:b w:val="0"/>
          <w:i w:val="0"/>
          <w:color w:val="000000"/>
          <w:sz w:val="28"/>
        </w:rPr>
        <w:t>affected by food, posture and disease; influences the residence and hence the absorbed fraction.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Luminal pH &amp; enzymes : </w:t>
      </w:r>
      <w:r>
        <w:rPr>
          <w:rFonts w:ascii="Comic Sans MS" w:hAnsi="Comic Sans MS" w:cs="Comic Sans MS"/>
          <w:b w:val="0"/>
          <w:i w:val="0"/>
          <w:color w:val="000000"/>
          <w:sz w:val="28"/>
        </w:rPr>
        <w:t>pH rises from ~1.5 (stomach) to ~7.5 (ileum); affects ionisation, solubility and stability.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First-pass metabolism : </w:t>
      </w:r>
      <w:r>
        <w:rPr>
          <w:rFonts w:ascii="Comic Sans MS" w:hAnsi="Comic Sans MS" w:cs="Comic Sans MS"/>
          <w:b w:val="0"/>
          <w:i w:val="0"/>
          <w:color w:val="000000"/>
          <w:sz w:val="28"/>
        </w:rPr>
        <w:t>slow presentation of drug to the liver can increase first-pass loss for high-extraction drugs.</w:t>
      </w:r>
    </w:p>
    <w:p>
      <w:pPr>
        <w:spacing w:before="200" w:after="100" w:line="276" w:lineRule="auto"/>
        <w:keepNext/>
      </w:pPr>
      <w:r>
        <w:rPr>
          <w:rFonts w:ascii="Comic Sans MS" w:hAnsi="Comic Sans MS" w:cs="Comic Sans MS"/>
          <w:b/>
          <w:color w:val="FF0000"/>
          <w:sz w:val="32"/>
        </w:rPr>
        <w:t>2.3 Dissolution-Controlled Systems</w:t>
      </w:r>
    </w:p>
    <w:p>
      <w:pPr>
        <w:spacing w:after="160"/>
        <w:jc w:val="both"/>
      </w:pPr>
      <w:r>
        <w:rPr>
          <w:rFonts w:ascii="Comic Sans MS" w:hAnsi="Comic Sans MS" w:cs="Comic Sans MS"/>
          <w:b w:val="0"/>
          <w:i w:val="0"/>
          <w:color w:val="000000"/>
          <w:sz w:val="28"/>
        </w:rPr>
        <w:t>Here the rate-limiting step is the slow dissolution of a coat or matrix, so that the drug becomes available for absorption only as fast as the barrier dissolves. A drug with inherently slow dissolution is itself sustained; otherwise a slowly-soluble salt, derivative or coat is used. The release approximately follows the Noyes–Whitney relationship.</w:t>
      </w:r>
    </w:p>
    <w:p>
      <w:pPr>
        <w:spacing w:before="40" w:after="120"/>
        <w:jc w:val="center"/>
      </w:pPr>
      <w:r>
        <w:rPr>
          <w:rFonts w:ascii="Comic Sans MS" w:hAnsi="Comic Sans MS" w:cs="Comic Sans MS"/>
          <w:b/>
          <w:color w:val="6A1B9A"/>
          <w:sz w:val="28"/>
        </w:rPr>
        <w:t>dC/dt = (D × A / h) × (Cs – Ct)</w:t>
      </w:r>
    </w:p>
    <w:p>
      <w:pPr>
        <w:spacing w:after="160"/>
        <w:jc w:val="both"/>
      </w:pPr>
      <w:r>
        <w:rPr>
          <w:rFonts w:ascii="Comic Sans MS" w:hAnsi="Comic Sans MS" w:cs="Comic Sans MS"/>
          <w:b w:val="0"/>
          <w:i w:val="0"/>
          <w:color w:val="000000"/>
          <w:sz w:val="28"/>
        </w:rPr>
        <w:t>where D = diffusion coefficient, A = surface area, h = diffusion-layer thickness, Cs = saturation solubility and Ct = concentration in the bulk.</w:t>
      </w:r>
    </w:p>
    <w:p>
      <w:pPr>
        <w:spacing w:before="80" w:after="40"/>
        <w:jc w:val="center"/>
      </w:pPr>
      <w:r>
        <w:drawing>
          <wp:inline xmlns:a="http://schemas.openxmlformats.org/drawingml/2006/main" xmlns:pic="http://schemas.openxmlformats.org/drawingml/2006/picture">
            <wp:extent cx="4572000" cy="2634033"/>
            <wp:docPr id="5" name="Picture 5"/>
            <wp:cNvGraphicFramePr>
              <a:graphicFrameLocks noChangeAspect="1"/>
            </wp:cNvGraphicFramePr>
            <a:graphic>
              <a:graphicData uri="http://schemas.openxmlformats.org/drawingml/2006/picture">
                <pic:pic>
                  <pic:nvPicPr>
                    <pic:cNvPr id="0" name="dissolution_controlled.png"/>
                    <pic:cNvPicPr/>
                  </pic:nvPicPr>
                  <pic:blipFill>
                    <a:blip r:embed="rId15"/>
                    <a:stretch>
                      <a:fillRect/>
                    </a:stretch>
                  </pic:blipFill>
                  <pic:spPr>
                    <a:xfrm>
                      <a:off x="0" y="0"/>
                      <a:ext cx="4572000" cy="2634033"/>
                    </a:xfrm>
                    <a:prstGeom prst="rect"/>
                  </pic:spPr>
                </pic:pic>
              </a:graphicData>
            </a:graphic>
          </wp:inline>
        </w:drawing>
      </w:r>
    </w:p>
    <w:p>
      <w:pPr>
        <w:spacing w:after="160" w:line="264" w:lineRule="auto"/>
        <w:jc w:val="center"/>
      </w:pPr>
      <w:r>
        <w:rPr>
          <w:rFonts w:ascii="Comic Sans MS" w:hAnsi="Comic Sans MS" w:cs="Comic Sans MS"/>
          <w:b/>
          <w:i/>
          <w:color w:val="595959"/>
          <w:sz w:val="22"/>
        </w:rPr>
        <w:t>Fig. 5 : Encapsulation (coated beads) and matrix dissolution-controlled systems</w:t>
      </w:r>
    </w:p>
    <w:p>
      <w:pPr>
        <w:spacing w:before="140" w:after="60" w:line="276" w:lineRule="auto"/>
        <w:keepNext/>
      </w:pPr>
      <w:r>
        <w:rPr>
          <w:rFonts w:ascii="Comic Sans MS" w:hAnsi="Comic Sans MS" w:cs="Comic Sans MS"/>
          <w:b/>
          <w:color w:val="000000"/>
          <w:sz w:val="28"/>
        </w:rPr>
        <w:t>(a) Encapsulation / Coating (Reservoir) dissolution systems</w:t>
      </w:r>
    </w:p>
    <w:p>
      <w:pPr>
        <w:spacing w:after="160"/>
        <w:jc w:val="both"/>
      </w:pPr>
      <w:r>
        <w:rPr>
          <w:rFonts w:ascii="Comic Sans MS" w:hAnsi="Comic Sans MS" w:cs="Comic Sans MS"/>
          <w:b w:val="0"/>
          <w:i w:val="0"/>
          <w:color w:val="000000"/>
          <w:sz w:val="28"/>
        </w:rPr>
        <w:t>Drug particles or granules are coated with slowly dissolving polymers or waxes of varying thickness. Beads with thin coats dissolve early, those with thicker coats later, producing a sustained overall release (the principle of Spansule® capsules). Coating materials include cellulose derivatives, PEG, waxes and shellac.</w:t>
      </w:r>
    </w:p>
    <w:p>
      <w:pPr>
        <w:spacing w:before="140" w:after="60" w:line="276" w:lineRule="auto"/>
        <w:keepNext/>
      </w:pPr>
      <w:r>
        <w:rPr>
          <w:rFonts w:ascii="Comic Sans MS" w:hAnsi="Comic Sans MS" w:cs="Comic Sans MS"/>
          <w:b/>
          <w:color w:val="000000"/>
          <w:sz w:val="28"/>
        </w:rPr>
        <w:t>(b) Matrix (monolithic) dissolution systems</w:t>
      </w:r>
    </w:p>
    <w:p>
      <w:pPr>
        <w:spacing w:after="160"/>
        <w:jc w:val="both"/>
      </w:pPr>
      <w:r>
        <w:rPr>
          <w:rFonts w:ascii="Comic Sans MS" w:hAnsi="Comic Sans MS" w:cs="Comic Sans MS"/>
          <w:b w:val="0"/>
          <w:i w:val="0"/>
          <w:color w:val="000000"/>
          <w:sz w:val="28"/>
        </w:rPr>
        <w:t>Drug is dispersed uniformly in a slowly dissolving or erodible matrix (e.g., wax such as carnauba or castor wax, or a hydrophilic gum). As the matrix dissolves/erodes, drug is released. Prepared by fusion (congealing the drug in molten wax) or by aqueous/organic granulation.</w:t>
      </w:r>
    </w:p>
    <w:p>
      <w:pPr>
        <w:spacing w:before="200" w:after="100" w:line="276" w:lineRule="auto"/>
        <w:keepNext/>
      </w:pPr>
      <w:r>
        <w:rPr>
          <w:rFonts w:ascii="Comic Sans MS" w:hAnsi="Comic Sans MS" w:cs="Comic Sans MS"/>
          <w:b/>
          <w:color w:val="FF0000"/>
          <w:sz w:val="32"/>
        </w:rPr>
        <w:t>2.4 Diffusion-Controlled Systems</w:t>
      </w:r>
    </w:p>
    <w:p>
      <w:pPr>
        <w:spacing w:after="160"/>
        <w:jc w:val="both"/>
      </w:pPr>
      <w:r>
        <w:rPr>
          <w:rFonts w:ascii="Comic Sans MS" w:hAnsi="Comic Sans MS" w:cs="Comic Sans MS"/>
          <w:b w:val="0"/>
          <w:i w:val="0"/>
          <w:color w:val="000000"/>
          <w:sz w:val="28"/>
        </w:rPr>
        <w:t>Diffusion of the drug (rather than dissolution) is the rate-limiting step. Two sub-types exist : reservoir (membrane) and matrix (monolithic).</w:t>
      </w:r>
    </w:p>
    <w:p>
      <w:pPr>
        <w:spacing w:before="80" w:after="40"/>
        <w:jc w:val="center"/>
      </w:pPr>
      <w:r>
        <w:drawing>
          <wp:inline xmlns:a="http://schemas.openxmlformats.org/drawingml/2006/main" xmlns:pic="http://schemas.openxmlformats.org/drawingml/2006/picture">
            <wp:extent cx="4754880" cy="2885217"/>
            <wp:docPr id="6" name="Picture 6"/>
            <wp:cNvGraphicFramePr>
              <a:graphicFrameLocks noChangeAspect="1"/>
            </wp:cNvGraphicFramePr>
            <a:graphic>
              <a:graphicData uri="http://schemas.openxmlformats.org/drawingml/2006/picture">
                <pic:pic>
                  <pic:nvPicPr>
                    <pic:cNvPr id="0" name="reservoir_matrix.png"/>
                    <pic:cNvPicPr/>
                  </pic:nvPicPr>
                  <pic:blipFill>
                    <a:blip r:embed="rId16"/>
                    <a:stretch>
                      <a:fillRect/>
                    </a:stretch>
                  </pic:blipFill>
                  <pic:spPr>
                    <a:xfrm>
                      <a:off x="0" y="0"/>
                      <a:ext cx="4754880" cy="2885217"/>
                    </a:xfrm>
                    <a:prstGeom prst="rect"/>
                  </pic:spPr>
                </pic:pic>
              </a:graphicData>
            </a:graphic>
          </wp:inline>
        </w:drawing>
      </w:r>
    </w:p>
    <w:p>
      <w:pPr>
        <w:spacing w:after="160" w:line="264" w:lineRule="auto"/>
        <w:jc w:val="center"/>
      </w:pPr>
      <w:r>
        <w:rPr>
          <w:rFonts w:ascii="Comic Sans MS" w:hAnsi="Comic Sans MS" w:cs="Comic Sans MS"/>
          <w:b/>
          <w:i/>
          <w:color w:val="595959"/>
          <w:sz w:val="22"/>
        </w:rPr>
        <w:t>Fig. 6 : Reservoir (membrane) and matrix (monolithic) diffusion-controlled devices</w:t>
      </w:r>
    </w:p>
    <w:p>
      <w:pPr>
        <w:spacing w:before="140" w:after="60" w:line="276" w:lineRule="auto"/>
        <w:keepNext/>
      </w:pPr>
      <w:r>
        <w:rPr>
          <w:rFonts w:ascii="Comic Sans MS" w:hAnsi="Comic Sans MS" w:cs="Comic Sans MS"/>
          <w:b/>
          <w:color w:val="000000"/>
          <w:sz w:val="28"/>
        </w:rPr>
        <w:t>(a) Reservoir (membrane) devices</w:t>
      </w:r>
    </w:p>
    <w:p>
      <w:pPr>
        <w:spacing w:after="160"/>
        <w:jc w:val="both"/>
      </w:pPr>
      <w:r>
        <w:rPr>
          <w:rFonts w:ascii="Comic Sans MS" w:hAnsi="Comic Sans MS" w:cs="Comic Sans MS"/>
          <w:b w:val="0"/>
          <w:i w:val="0"/>
          <w:color w:val="000000"/>
          <w:sz w:val="28"/>
        </w:rPr>
        <w:t>A core of drug is enclosed within a rate-controlling polymer membrane. Drug dissolves at the inner surface and diffuses across the membrane. For a slab (film) the flux follows Fick's first law and yields a near constant (zero-order) release as long as the core remains saturated :</w:t>
      </w:r>
    </w:p>
    <w:p>
      <w:pPr>
        <w:spacing w:before="40" w:after="120"/>
        <w:jc w:val="center"/>
      </w:pPr>
      <w:r>
        <w:rPr>
          <w:rFonts w:ascii="Comic Sans MS" w:hAnsi="Comic Sans MS" w:cs="Comic Sans MS"/>
          <w:b/>
          <w:color w:val="6A1B9A"/>
          <w:sz w:val="28"/>
        </w:rPr>
        <w:t>dQ/dt = (A × D × K × ΔC) / L</w:t>
      </w:r>
    </w:p>
    <w:p>
      <w:pPr>
        <w:spacing w:after="160"/>
        <w:jc w:val="both"/>
      </w:pPr>
      <w:r>
        <w:rPr>
          <w:rFonts w:ascii="Comic Sans MS" w:hAnsi="Comic Sans MS" w:cs="Comic Sans MS"/>
          <w:b w:val="0"/>
          <w:i w:val="0"/>
          <w:color w:val="000000"/>
          <w:sz w:val="28"/>
        </w:rPr>
        <w:t>where A = area, D = diffusion coefficient in the membrane, K = partition coefficient of drug between membrane and core, ΔC = concentration difference and L = membrane thickness. Advantage : zero-order release possible. Disadvantage : risk of dose dumping if the membrane ruptures; membrane thickness must be reproducible.</w:t>
      </w:r>
    </w:p>
    <w:p>
      <w:pPr>
        <w:spacing w:before="140" w:after="60" w:line="276" w:lineRule="auto"/>
        <w:keepNext/>
      </w:pPr>
      <w:r>
        <w:rPr>
          <w:rFonts w:ascii="Comic Sans MS" w:hAnsi="Comic Sans MS" w:cs="Comic Sans MS"/>
          <w:b/>
          <w:color w:val="000000"/>
          <w:sz w:val="28"/>
        </w:rPr>
        <w:t>(b) Matrix (monolithic) devices</w:t>
      </w:r>
    </w:p>
    <w:p>
      <w:pPr>
        <w:spacing w:after="160"/>
        <w:jc w:val="both"/>
      </w:pPr>
      <w:r>
        <w:rPr>
          <w:rFonts w:ascii="Comic Sans MS" w:hAnsi="Comic Sans MS" w:cs="Comic Sans MS"/>
          <w:b w:val="0"/>
          <w:i w:val="0"/>
          <w:color w:val="000000"/>
          <w:sz w:val="28"/>
        </w:rPr>
        <w:t>Drug is dispersed uniformly throughout an insoluble polymer (e.g., ethylcellulose, PVC, polyethylene) or a hydrophilic matrix. Release from a homogeneous matrix follows the Higuchi equation and is proportional to the square-root of time :</w:t>
      </w:r>
    </w:p>
    <w:p>
      <w:pPr>
        <w:spacing w:before="40" w:after="120"/>
        <w:jc w:val="center"/>
      </w:pPr>
      <w:r>
        <w:rPr>
          <w:rFonts w:ascii="Comic Sans MS" w:hAnsi="Comic Sans MS" w:cs="Comic Sans MS"/>
          <w:b/>
          <w:color w:val="6A1B9A"/>
          <w:sz w:val="28"/>
        </w:rPr>
        <w:t>Q = √[ D × Cs × (2A – Cs) × t ]   (dispersed-drug, planar matrix)</w:t>
      </w:r>
    </w:p>
    <w:p>
      <w:pPr>
        <w:spacing w:after="160"/>
        <w:jc w:val="both"/>
      </w:pPr>
      <w:r>
        <w:rPr>
          <w:rFonts w:ascii="Comic Sans MS" w:hAnsi="Comic Sans MS" w:cs="Comic Sans MS"/>
          <w:b w:val="0"/>
          <w:i w:val="0"/>
          <w:color w:val="000000"/>
          <w:sz w:val="28"/>
        </w:rPr>
        <w:t>where Q = amount released per unit area at time t, A = total drug content per unit volume and Cs = drug solubility in the matrix. Because release declines with √t, matrix systems are 'first-order-like' and do not give true zero-order release, but they are simple, cheap and free of dose-dumping risk.</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Feature</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Reservoir (membrane)</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Matrix (monolithic)</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Drug location</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Core, surrounded by membrane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Dispersed throughout</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Release order</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Near zero-order</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√t (Higuchi), declining</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Dose dumping</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Possible (membrane failure)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Unlikely</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Fabrication</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Coating / microencapsulation</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Direct compression / granulation</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Cost / complexity</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Higher</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Lower</w:t>
            </w:r>
          </w:p>
        </w:tc>
      </w:tr>
    </w:tbl>
    <w:p>
      <w:pPr>
        <w:spacing w:after="40"/>
      </w:pPr>
    </w:p>
    <w:p>
      <w:pPr>
        <w:spacing w:before="200" w:after="100" w:line="276" w:lineRule="auto"/>
        <w:keepNext/>
      </w:pPr>
      <w:r>
        <w:rPr>
          <w:rFonts w:ascii="Comic Sans MS" w:hAnsi="Comic Sans MS" w:cs="Comic Sans MS"/>
          <w:b/>
          <w:color w:val="FF0000"/>
          <w:sz w:val="32"/>
        </w:rPr>
        <w:t>2.5 Bio-erodible &amp; Combination (Diffusion–Dissolution) Systems</w:t>
      </w:r>
    </w:p>
    <w:p>
      <w:pPr>
        <w:spacing w:after="160"/>
        <w:jc w:val="both"/>
      </w:pPr>
      <w:r>
        <w:rPr>
          <w:rFonts w:ascii="Comic Sans MS" w:hAnsi="Comic Sans MS" w:cs="Comic Sans MS"/>
          <w:b w:val="0"/>
          <w:i w:val="0"/>
          <w:color w:val="000000"/>
          <w:sz w:val="28"/>
        </w:rPr>
        <w:t>In bio-erodible / biodegradable systems the polymer matrix gradually erodes in the biological environment and the drug is released by a combination of diffusion and erosion. An advantage is that no device residue remains to be removed. Erosion may be of two types :</w:t>
      </w:r>
    </w:p>
    <w:p>
      <w:pPr>
        <w:spacing w:before="80" w:after="40"/>
        <w:jc w:val="center"/>
      </w:pPr>
      <w:r>
        <w:drawing>
          <wp:inline xmlns:a="http://schemas.openxmlformats.org/drawingml/2006/main" xmlns:pic="http://schemas.openxmlformats.org/drawingml/2006/picture">
            <wp:extent cx="4572000" cy="2702103"/>
            <wp:docPr id="7" name="Picture 7"/>
            <wp:cNvGraphicFramePr>
              <a:graphicFrameLocks noChangeAspect="1"/>
            </wp:cNvGraphicFramePr>
            <a:graphic>
              <a:graphicData uri="http://schemas.openxmlformats.org/drawingml/2006/picture">
                <pic:pic>
                  <pic:nvPicPr>
                    <pic:cNvPr id="0" name="bioerosion.png"/>
                    <pic:cNvPicPr/>
                  </pic:nvPicPr>
                  <pic:blipFill>
                    <a:blip r:embed="rId17"/>
                    <a:stretch>
                      <a:fillRect/>
                    </a:stretch>
                  </pic:blipFill>
                  <pic:spPr>
                    <a:xfrm>
                      <a:off x="0" y="0"/>
                      <a:ext cx="4572000" cy="2702103"/>
                    </a:xfrm>
                    <a:prstGeom prst="rect"/>
                  </pic:spPr>
                </pic:pic>
              </a:graphicData>
            </a:graphic>
          </wp:inline>
        </w:drawing>
      </w:r>
    </w:p>
    <w:p>
      <w:pPr>
        <w:spacing w:after="160" w:line="264" w:lineRule="auto"/>
        <w:jc w:val="center"/>
      </w:pPr>
      <w:r>
        <w:rPr>
          <w:rFonts w:ascii="Comic Sans MS" w:hAnsi="Comic Sans MS" w:cs="Comic Sans MS"/>
          <w:b/>
          <w:i/>
          <w:color w:val="595959"/>
          <w:sz w:val="22"/>
        </w:rPr>
        <w:t>Fig. 7 : Bulk erosion vs surface erosion of a biodegradable matrix</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Bulk (homogeneous) erosion : </w:t>
      </w:r>
      <w:r>
        <w:rPr>
          <w:rFonts w:ascii="Comic Sans MS" w:hAnsi="Comic Sans MS" w:cs="Comic Sans MS"/>
          <w:b w:val="0"/>
          <w:i w:val="0"/>
          <w:color w:val="000000"/>
          <w:sz w:val="28"/>
        </w:rPr>
        <w:t>water penetrates the whole matrix and degradation occurs throughout the bulk (e.g., poly-lactide/glycolide, PLGA). Size changes little until late.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Surface (heterogeneous) erosion : </w:t>
      </w:r>
      <w:r>
        <w:rPr>
          <w:rFonts w:ascii="Comic Sans MS" w:hAnsi="Comic Sans MS" w:cs="Comic Sans MS"/>
          <w:b w:val="0"/>
          <w:i w:val="0"/>
          <w:color w:val="000000"/>
          <w:sz w:val="28"/>
        </w:rPr>
        <w:t>degradation is confined to the surface and the device shrinks progressively while keeping its shape (e.g., polyanhydrides, poly-ortho-esters). Gives more nearly zero-order release.</w:t>
      </w:r>
    </w:p>
    <w:p>
      <w:pPr>
        <w:spacing w:after="160"/>
        <w:jc w:val="both"/>
      </w:pPr>
      <w:r>
        <w:rPr>
          <w:rFonts w:ascii="Comic Sans MS" w:hAnsi="Comic Sans MS" w:cs="Comic Sans MS"/>
          <w:b w:val="0"/>
          <w:i w:val="0"/>
          <w:color w:val="000000"/>
          <w:sz w:val="28"/>
        </w:rPr>
        <w:t>Common biodegradable polymers : poly(lactic acid) (PLA), poly(lactic-co-glycolic acid) (PLGA), poly-ε-caprolactone, polyanhydrides, poly-ortho-esters and natural polymers (albumin, gelatin, chitosan). Erosion-controlled release is widely used for injectable microspheres and implants.</w:t>
      </w:r>
    </w:p>
    <w:p>
      <w:pPr>
        <w:spacing w:before="200" w:after="100" w:line="276" w:lineRule="auto"/>
        <w:keepNext/>
      </w:pPr>
      <w:r>
        <w:rPr>
          <w:rFonts w:ascii="Comic Sans MS" w:hAnsi="Comic Sans MS" w:cs="Comic Sans MS"/>
          <w:b/>
          <w:color w:val="FF0000"/>
          <w:sz w:val="32"/>
        </w:rPr>
        <w:t>2.6 Osmotically Controlled Systems</w:t>
      </w:r>
    </w:p>
    <w:p>
      <w:pPr>
        <w:spacing w:after="160"/>
        <w:jc w:val="both"/>
      </w:pPr>
      <w:r>
        <w:rPr>
          <w:rFonts w:ascii="Comic Sans MS" w:hAnsi="Comic Sans MS" w:cs="Comic Sans MS"/>
          <w:b w:val="0"/>
          <w:i w:val="0"/>
          <w:color w:val="000000"/>
          <w:sz w:val="28"/>
        </w:rPr>
        <w:t>Osmotic systems use the osmotic pressure developed by the imbibition of water across a semipermeable membrane as the driving force for delivery. They give a constant (zero-order) release that is essentially independent of the pH and hydrodynamics of the GI environment – their outstanding advantage.</w:t>
      </w:r>
    </w:p>
    <w:p>
      <w:pPr>
        <w:spacing w:before="80" w:after="40"/>
        <w:jc w:val="center"/>
      </w:pPr>
      <w:r>
        <w:drawing>
          <wp:inline xmlns:a="http://schemas.openxmlformats.org/drawingml/2006/main" xmlns:pic="http://schemas.openxmlformats.org/drawingml/2006/picture">
            <wp:extent cx="3108960" cy="2662244"/>
            <wp:docPr id="8" name="Picture 8"/>
            <wp:cNvGraphicFramePr>
              <a:graphicFrameLocks noChangeAspect="1"/>
            </wp:cNvGraphicFramePr>
            <a:graphic>
              <a:graphicData uri="http://schemas.openxmlformats.org/drawingml/2006/picture">
                <pic:pic>
                  <pic:nvPicPr>
                    <pic:cNvPr id="0" name="osmotic_pump.png"/>
                    <pic:cNvPicPr/>
                  </pic:nvPicPr>
                  <pic:blipFill>
                    <a:blip r:embed="rId18"/>
                    <a:stretch>
                      <a:fillRect/>
                    </a:stretch>
                  </pic:blipFill>
                  <pic:spPr>
                    <a:xfrm>
                      <a:off x="0" y="0"/>
                      <a:ext cx="3108960" cy="2662244"/>
                    </a:xfrm>
                    <a:prstGeom prst="rect"/>
                  </pic:spPr>
                </pic:pic>
              </a:graphicData>
            </a:graphic>
          </wp:inline>
        </w:drawing>
      </w:r>
    </w:p>
    <w:p>
      <w:pPr>
        <w:spacing w:after="160" w:line="264" w:lineRule="auto"/>
        <w:jc w:val="center"/>
      </w:pPr>
      <w:r>
        <w:rPr>
          <w:rFonts w:ascii="Comic Sans MS" w:hAnsi="Comic Sans MS" w:cs="Comic Sans MS"/>
          <w:b/>
          <w:i/>
          <w:color w:val="595959"/>
          <w:sz w:val="22"/>
        </w:rPr>
        <w:t>Fig. 8 : Elementary osmotic pump (EOP / OROS)</w:t>
      </w:r>
    </w:p>
    <w:p>
      <w:pPr>
        <w:spacing w:before="140" w:after="60" w:line="276" w:lineRule="auto"/>
        <w:keepNext/>
      </w:pPr>
      <w:r>
        <w:rPr>
          <w:rFonts w:ascii="Comic Sans MS" w:hAnsi="Comic Sans MS" w:cs="Comic Sans MS"/>
          <w:b/>
          <w:color w:val="000000"/>
          <w:sz w:val="28"/>
        </w:rPr>
        <w:t>Elementary Osmotic Pump (EOP)</w:t>
      </w:r>
    </w:p>
    <w:p>
      <w:pPr>
        <w:spacing w:after="160"/>
        <w:jc w:val="both"/>
      </w:pPr>
      <w:r>
        <w:rPr>
          <w:rFonts w:ascii="Comic Sans MS" w:hAnsi="Comic Sans MS" w:cs="Comic Sans MS"/>
          <w:b w:val="0"/>
          <w:i w:val="0"/>
          <w:color w:val="000000"/>
          <w:sz w:val="28"/>
        </w:rPr>
        <w:t>The EOP consists of an osmotic core (drug plus an osmotic agent such as NaCl, KCl, mannitol or lactose) surrounded by a rigid semipermeable membrane (usually cellulose acetate) that has a single small delivery orifice made by a laser. Water is imbibed osmotically, dissolving the core and generating hydrostatic pressure that pumps the saturated drug solution out through the orifice at a constant volume rate.</w:t>
      </w:r>
    </w:p>
    <w:p>
      <w:pPr>
        <w:spacing w:before="40" w:after="120"/>
        <w:jc w:val="center"/>
      </w:pPr>
      <w:r>
        <w:rPr>
          <w:rFonts w:ascii="Comic Sans MS" w:hAnsi="Comic Sans MS" w:cs="Comic Sans MS"/>
          <w:b/>
          <w:color w:val="6A1B9A"/>
          <w:sz w:val="28"/>
        </w:rPr>
        <w:t>dM/dt = (A × Lp × σ × Δπ / h) × Cs</w:t>
      </w:r>
    </w:p>
    <w:p>
      <w:pPr>
        <w:spacing w:after="160"/>
        <w:jc w:val="both"/>
      </w:pPr>
      <w:r>
        <w:rPr>
          <w:rFonts w:ascii="Comic Sans MS" w:hAnsi="Comic Sans MS" w:cs="Comic Sans MS"/>
          <w:b w:val="0"/>
          <w:i w:val="0"/>
          <w:color w:val="000000"/>
          <w:sz w:val="28"/>
        </w:rPr>
        <w:t>where A = membrane area, Lp = mechanical permeability, σ = reflection coefficient, Δπ = osmotic-pressure difference, h = membrane thickness and Cs = solubility of drug in the pumped solution. Delivery is constant while the core remains saturated.</w:t>
      </w:r>
    </w:p>
    <w:p>
      <w:pPr>
        <w:spacing w:before="140" w:after="60" w:line="276" w:lineRule="auto"/>
        <w:keepNext/>
      </w:pPr>
      <w:r>
        <w:rPr>
          <w:rFonts w:ascii="Comic Sans MS" w:hAnsi="Comic Sans MS" w:cs="Comic Sans MS"/>
          <w:b/>
          <w:color w:val="000000"/>
          <w:sz w:val="28"/>
        </w:rPr>
        <w:t>Push-Pull Osmotic Pump (Bilayer, OROS Push-Pull)</w:t>
      </w:r>
    </w:p>
    <w:p>
      <w:pPr>
        <w:spacing w:after="160"/>
        <w:jc w:val="both"/>
      </w:pPr>
      <w:r>
        <w:rPr>
          <w:rFonts w:ascii="Comic Sans MS" w:hAnsi="Comic Sans MS" w:cs="Comic Sans MS"/>
          <w:b w:val="0"/>
          <w:i w:val="0"/>
          <w:color w:val="000000"/>
          <w:sz w:val="28"/>
        </w:rPr>
        <w:t>For poorly soluble drugs a bilayer core is used : a drug layer and an osmotic 'push' layer (a swellable polymer such as polyethylene oxide). Imbibed water swells the push layer, which forces the drug layer (as a suspension) out of the orifice. This extends osmotic delivery to insoluble drugs. (Example : nifedipine GITS.)</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Advantages of osmotic systems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Zero-order release, independent of GI pH, motility and food.</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Good in-vitro / in-vivo correlation.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Delivery rate can be programmed by membrane thickness, orifice size and osmogen.</w:t>
            </w:r>
          </w:p>
        </w:tc>
      </w:tr>
    </w:tbl>
    <w:p>
      <w:pPr>
        <w:spacing w:after="40"/>
      </w:pPr>
    </w:p>
    <w:p>
      <w:pPr>
        <w:spacing w:before="200" w:after="100" w:line="276" w:lineRule="auto"/>
        <w:keepNext/>
      </w:pPr>
      <w:r>
        <w:rPr>
          <w:rFonts w:ascii="Comic Sans MS" w:hAnsi="Comic Sans MS" w:cs="Comic Sans MS"/>
          <w:b/>
          <w:color w:val="FF0000"/>
          <w:sz w:val="32"/>
        </w:rPr>
        <w:t>2.7 Ion-Exchange Resin Systems</w:t>
      </w:r>
    </w:p>
    <w:p>
      <w:pPr>
        <w:spacing w:after="160"/>
        <w:jc w:val="both"/>
      </w:pPr>
      <w:r>
        <w:rPr>
          <w:rFonts w:ascii="Comic Sans MS" w:hAnsi="Comic Sans MS" w:cs="Comic Sans MS"/>
          <w:b w:val="0"/>
          <w:i w:val="0"/>
          <w:color w:val="000000"/>
          <w:sz w:val="28"/>
        </w:rPr>
        <w:t>An ion-exchange resin is a water-insoluble cross-linked polymer bearing ionisable functional groups. An ionised drug is bound to the resin by exchanging with the resin's counter-ions, forming a drug–resin complex (resinate). In the GI tract, the abundant Na⁺, K⁺, H⁺ (for cationic drugs) or Cl⁻ (for anionic drugs) displace the drug, releasing it slowly.</w:t>
      </w:r>
    </w:p>
    <w:p>
      <w:pPr>
        <w:spacing w:before="80" w:after="40"/>
        <w:jc w:val="center"/>
      </w:pPr>
      <w:r>
        <w:drawing>
          <wp:inline xmlns:a="http://schemas.openxmlformats.org/drawingml/2006/main" xmlns:pic="http://schemas.openxmlformats.org/drawingml/2006/picture">
            <wp:extent cx="4572000" cy="2597079"/>
            <wp:docPr id="9" name="Picture 9"/>
            <wp:cNvGraphicFramePr>
              <a:graphicFrameLocks noChangeAspect="1"/>
            </wp:cNvGraphicFramePr>
            <a:graphic>
              <a:graphicData uri="http://schemas.openxmlformats.org/drawingml/2006/picture">
                <pic:pic>
                  <pic:nvPicPr>
                    <pic:cNvPr id="0" name="ion_exchange.png"/>
                    <pic:cNvPicPr/>
                  </pic:nvPicPr>
                  <pic:blipFill>
                    <a:blip r:embed="rId19"/>
                    <a:stretch>
                      <a:fillRect/>
                    </a:stretch>
                  </pic:blipFill>
                  <pic:spPr>
                    <a:xfrm>
                      <a:off x="0" y="0"/>
                      <a:ext cx="4572000" cy="2597079"/>
                    </a:xfrm>
                    <a:prstGeom prst="rect"/>
                  </pic:spPr>
                </pic:pic>
              </a:graphicData>
            </a:graphic>
          </wp:inline>
        </w:drawing>
      </w:r>
    </w:p>
    <w:p>
      <w:pPr>
        <w:spacing w:after="160" w:line="264" w:lineRule="auto"/>
        <w:jc w:val="center"/>
      </w:pPr>
      <w:r>
        <w:rPr>
          <w:rFonts w:ascii="Comic Sans MS" w:hAnsi="Comic Sans MS" w:cs="Comic Sans MS"/>
          <w:b/>
          <w:i/>
          <w:color w:val="595959"/>
          <w:sz w:val="22"/>
        </w:rPr>
        <w:t>Fig. 9 : Release of a cationic drug from a drug–resin complex</w:t>
      </w:r>
    </w:p>
    <w:p>
      <w:pPr>
        <w:spacing w:after="160"/>
        <w:jc w:val="both"/>
      </w:pPr>
      <w:r>
        <w:rPr>
          <w:rFonts w:ascii="Comic Sans MS" w:hAnsi="Comic Sans MS" w:cs="Comic Sans MS"/>
          <w:b w:val="0"/>
          <w:i w:val="0"/>
          <w:color w:val="000000"/>
          <w:sz w:val="28"/>
        </w:rPr>
        <w:t>Cationic (basic) drugs are bound to cation-exchange resins bearing –SO₃⁻ or –COO⁻ groups; anionic (acidic) drugs are bound to anion-exchange resins bearing quaternary ammonium groups. Release depends on the ionic environment (rather than pH alone), giving a fairly reproducible rate. Coating the resinate and further treatment (the 'Pennkinetic' system) improves control. Examples : nicotine–polacrilex, hydrocodone– and dextromethorphan–resin suspensions.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Advantages : </w:t>
      </w:r>
      <w:r>
        <w:rPr>
          <w:rFonts w:ascii="Comic Sans MS" w:hAnsi="Comic Sans MS" w:cs="Comic Sans MS"/>
          <w:b w:val="0"/>
          <w:i w:val="0"/>
          <w:color w:val="000000"/>
          <w:sz w:val="28"/>
        </w:rPr>
        <w:t>good for liquid SR suspensions; taste masking; protects drug; release relatively insensitive to enzymes.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Limitations : </w:t>
      </w:r>
      <w:r>
        <w:rPr>
          <w:rFonts w:ascii="Comic Sans MS" w:hAnsi="Comic Sans MS" w:cs="Comic Sans MS"/>
          <w:b w:val="0"/>
          <w:i w:val="0"/>
          <w:color w:val="000000"/>
          <w:sz w:val="28"/>
        </w:rPr>
        <w:t>release depends on variable GI ionic strength &amp; diet; only ionisable drugs; drug–resin ratio limits loading.</w:t>
      </w:r>
    </w:p>
    <w:p>
      <w:pPr>
        <w:spacing w:before="200" w:after="100" w:line="276" w:lineRule="auto"/>
        <w:keepNext/>
      </w:pPr>
      <w:r>
        <w:rPr>
          <w:rFonts w:ascii="Comic Sans MS" w:hAnsi="Comic Sans MS" w:cs="Comic Sans MS"/>
          <w:b/>
          <w:color w:val="FF0000"/>
          <w:sz w:val="32"/>
        </w:rPr>
        <w:t>2.8 Mucoadhesive (Bioadhesive) Drug Delivery Systems</w:t>
      </w:r>
    </w:p>
    <w:p>
      <w:pPr>
        <w:spacing w:after="160"/>
        <w:jc w:val="both"/>
      </w:pPr>
      <w:r>
        <w:rPr>
          <w:rFonts w:ascii="Comic Sans MS" w:hAnsi="Comic Sans MS" w:cs="Comic Sans MS"/>
          <w:b w:val="0"/>
          <w:i w:val="0"/>
          <w:color w:val="000000"/>
          <w:sz w:val="28"/>
        </w:rPr>
        <w:t>Mucoadhesion is the ability of a material (usually a hydrophilic polymer) to adhere to the mucus layer of a biological surface, thereby prolonging the residence time of the dosage form at the site of absorption and intensifying contact. This is especially valuable for drugs with a narrow absorption window and for local action.</w:t>
      </w:r>
    </w:p>
    <w:p>
      <w:pPr>
        <w:spacing w:before="80" w:after="40"/>
        <w:jc w:val="center"/>
      </w:pPr>
      <w:r>
        <w:drawing>
          <wp:inline xmlns:a="http://schemas.openxmlformats.org/drawingml/2006/main" xmlns:pic="http://schemas.openxmlformats.org/drawingml/2006/picture">
            <wp:extent cx="4937760" cy="2878353"/>
            <wp:docPr id="10" name="Picture 10"/>
            <wp:cNvGraphicFramePr>
              <a:graphicFrameLocks noChangeAspect="1"/>
            </wp:cNvGraphicFramePr>
            <a:graphic>
              <a:graphicData uri="http://schemas.openxmlformats.org/drawingml/2006/picture">
                <pic:pic>
                  <pic:nvPicPr>
                    <pic:cNvPr id="0" name="mucoadhesion.png"/>
                    <pic:cNvPicPr/>
                  </pic:nvPicPr>
                  <pic:blipFill>
                    <a:blip r:embed="rId20"/>
                    <a:stretch>
                      <a:fillRect/>
                    </a:stretch>
                  </pic:blipFill>
                  <pic:spPr>
                    <a:xfrm>
                      <a:off x="0" y="0"/>
                      <a:ext cx="4937760" cy="2878353"/>
                    </a:xfrm>
                    <a:prstGeom prst="rect"/>
                  </pic:spPr>
                </pic:pic>
              </a:graphicData>
            </a:graphic>
          </wp:inline>
        </w:drawing>
      </w:r>
    </w:p>
    <w:p>
      <w:pPr>
        <w:spacing w:after="160" w:line="264" w:lineRule="auto"/>
        <w:jc w:val="center"/>
      </w:pPr>
      <w:r>
        <w:rPr>
          <w:rFonts w:ascii="Comic Sans MS" w:hAnsi="Comic Sans MS" w:cs="Comic Sans MS"/>
          <w:b/>
          <w:i/>
          <w:color w:val="595959"/>
          <w:sz w:val="22"/>
        </w:rPr>
        <w:t>Fig. 10 : Stages / mechanism of mucoadhesion</w:t>
      </w:r>
    </w:p>
    <w:p>
      <w:pPr>
        <w:spacing w:before="140" w:after="60" w:line="276" w:lineRule="auto"/>
        <w:keepNext/>
      </w:pPr>
      <w:r>
        <w:rPr>
          <w:rFonts w:ascii="Comic Sans MS" w:hAnsi="Comic Sans MS" w:cs="Comic Sans MS"/>
          <w:b/>
          <w:color w:val="000000"/>
          <w:sz w:val="28"/>
        </w:rPr>
        <w:t>Theories / mechanism of mucoadhesion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Wetting theory : </w:t>
      </w:r>
      <w:r>
        <w:rPr>
          <w:rFonts w:ascii="Comic Sans MS" w:hAnsi="Comic Sans MS" w:cs="Comic Sans MS"/>
          <w:b w:val="0"/>
          <w:i w:val="0"/>
          <w:color w:val="000000"/>
          <w:sz w:val="28"/>
        </w:rPr>
        <w:t>adhesive spreads and wets the mucosa (governed by spreading coefficient).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Diffusion (interpenetration) theory : </w:t>
      </w:r>
      <w:r>
        <w:rPr>
          <w:rFonts w:ascii="Comic Sans MS" w:hAnsi="Comic Sans MS" w:cs="Comic Sans MS"/>
          <w:b w:val="0"/>
          <w:i w:val="0"/>
          <w:color w:val="000000"/>
          <w:sz w:val="28"/>
        </w:rPr>
        <w:t>polymer chains and mucin chains inter-diffuse and entangle across the interface.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Electronic theory : </w:t>
      </w:r>
      <w:r>
        <w:rPr>
          <w:rFonts w:ascii="Comic Sans MS" w:hAnsi="Comic Sans MS" w:cs="Comic Sans MS"/>
          <w:b w:val="0"/>
          <w:i w:val="0"/>
          <w:color w:val="000000"/>
          <w:sz w:val="28"/>
        </w:rPr>
        <w:t>electron transfer forms an electrical double layer at the interface.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Adsorption theory : </w:t>
      </w:r>
      <w:r>
        <w:rPr>
          <w:rFonts w:ascii="Comic Sans MS" w:hAnsi="Comic Sans MS" w:cs="Comic Sans MS"/>
          <w:b w:val="0"/>
          <w:i w:val="0"/>
          <w:color w:val="000000"/>
          <w:sz w:val="28"/>
        </w:rPr>
        <w:t>adhesion by secondary forces – hydrogen bonds, van der Waals and hydrophobic interactions.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Fracture theory : </w:t>
      </w:r>
      <w:r>
        <w:rPr>
          <w:rFonts w:ascii="Comic Sans MS" w:hAnsi="Comic Sans MS" w:cs="Comic Sans MS"/>
          <w:b w:val="0"/>
          <w:i w:val="0"/>
          <w:color w:val="000000"/>
          <w:sz w:val="28"/>
        </w:rPr>
        <w:t>relates adhesive strength to the force required to separate the surfaces.</w:t>
      </w:r>
    </w:p>
    <w:p>
      <w:pPr>
        <w:spacing w:before="140" w:after="60" w:line="276" w:lineRule="auto"/>
        <w:keepNext/>
      </w:pPr>
      <w:r>
        <w:rPr>
          <w:rFonts w:ascii="Comic Sans MS" w:hAnsi="Comic Sans MS" w:cs="Comic Sans MS"/>
          <w:b/>
          <w:color w:val="000000"/>
          <w:sz w:val="28"/>
        </w:rPr>
        <w:t>Ideal mucoadhesive polymer &amp; examples</w:t>
      </w:r>
    </w:p>
    <w:p>
      <w:pPr>
        <w:spacing w:after="160"/>
        <w:jc w:val="both"/>
      </w:pPr>
      <w:r>
        <w:rPr>
          <w:rFonts w:ascii="Comic Sans MS" w:hAnsi="Comic Sans MS" w:cs="Comic Sans MS"/>
          <w:b w:val="0"/>
          <w:i w:val="0"/>
          <w:color w:val="000000"/>
          <w:sz w:val="28"/>
        </w:rPr>
        <w:t>An ideal mucoadhesive polymer should have numerous hydrogen-bonding groups, high molecular weight, chain flexibility, appropriate charge and be biocompatible and non-toxic. Examples : carbopol (polyacrylic acid), sodium carboxymethylcellulose, HPMC, chitosan, sodium alginate, and thiolated polymers (thiomers).</w:t>
      </w:r>
    </w:p>
    <w:p>
      <w:pPr>
        <w:spacing w:before="140" w:after="60" w:line="276" w:lineRule="auto"/>
        <w:keepNext/>
      </w:pPr>
      <w:r>
        <w:rPr>
          <w:rFonts w:ascii="Comic Sans MS" w:hAnsi="Comic Sans MS" w:cs="Comic Sans MS"/>
          <w:b/>
          <w:color w:val="000000"/>
          <w:sz w:val="28"/>
        </w:rPr>
        <w:t>Applications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Buccal and sublingual tablets / films (bypass first-pass metabolism).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Gastro-retentive mucoadhesive tablets for narrow-window drugs.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Nasal, ocular and vaginal mucoadhesive systems.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Colon-targeted and intestinal absorption enhancement.</w:t>
      </w:r>
    </w:p>
    <w:p>
      <w:r>
        <w:br w:type="page"/>
      </w:r>
    </w:p>
    <w:p>
      <w:pPr>
        <w:spacing w:before="200" w:after="100" w:line="276" w:lineRule="auto"/>
        <w:keepNext/>
      </w:pPr>
      <w:r>
        <w:rPr>
          <w:rFonts w:ascii="Comic Sans MS" w:hAnsi="Comic Sans MS" w:cs="Comic Sans MS"/>
          <w:b/>
          <w:color w:val="FF0000"/>
          <w:sz w:val="32"/>
        </w:rPr>
        <w:t>2.9 Hydrophilic Matrix Systems &amp; the Gel-Layer Concept</w:t>
      </w:r>
    </w:p>
    <w:p>
      <w:pPr>
        <w:spacing w:after="160"/>
        <w:jc w:val="both"/>
      </w:pPr>
      <w:r>
        <w:rPr>
          <w:rFonts w:ascii="Comic Sans MS" w:hAnsi="Comic Sans MS" w:cs="Comic Sans MS"/>
          <w:b w:val="0"/>
          <w:i w:val="0"/>
          <w:color w:val="000000"/>
          <w:sz w:val="28"/>
        </w:rPr>
        <w:t>Hydrophilic matrix tablets (e.g., those based on HPMC) are the most popular oral SR platform because of their simplicity, low cost and safety. On contact with GI fluid the surface polymer hydrates and forms a viscous gel layer around the tablet. This gel layer controls both the diffusion of dissolved drug out of the matrix and the penetration of water in. Release therefore involves three simultaneous fronts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Swelling front : </w:t>
      </w:r>
      <w:r>
        <w:rPr>
          <w:rFonts w:ascii="Comic Sans MS" w:hAnsi="Comic Sans MS" w:cs="Comic Sans MS"/>
          <w:b w:val="0"/>
          <w:i w:val="0"/>
          <w:color w:val="000000"/>
          <w:sz w:val="28"/>
        </w:rPr>
        <w:t>boundary between the dry glassy core and the rubbery gel.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Diffusion front : </w:t>
      </w:r>
      <w:r>
        <w:rPr>
          <w:rFonts w:ascii="Comic Sans MS" w:hAnsi="Comic Sans MS" w:cs="Comic Sans MS"/>
          <w:b w:val="0"/>
          <w:i w:val="0"/>
          <w:color w:val="000000"/>
          <w:sz w:val="28"/>
        </w:rPr>
        <w:t>boundary between undissolved and dissolved drug within the gel.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Erosion front : </w:t>
      </w:r>
      <w:r>
        <w:rPr>
          <w:rFonts w:ascii="Comic Sans MS" w:hAnsi="Comic Sans MS" w:cs="Comic Sans MS"/>
          <w:b w:val="0"/>
          <w:i w:val="0"/>
          <w:color w:val="000000"/>
          <w:sz w:val="28"/>
        </w:rPr>
        <w:t>outer boundary where the gel erodes into the medium.</w:t>
      </w:r>
    </w:p>
    <w:p>
      <w:pPr>
        <w:spacing w:after="160"/>
        <w:jc w:val="both"/>
      </w:pPr>
      <w:r>
        <w:rPr>
          <w:rFonts w:ascii="Comic Sans MS" w:hAnsi="Comic Sans MS" w:cs="Comic Sans MS"/>
          <w:b w:val="0"/>
          <w:i w:val="0"/>
          <w:color w:val="000000"/>
          <w:sz w:val="28"/>
        </w:rPr>
        <w:t>Water-soluble drugs are released predominantly by diffusion through the gel (Higuchi kinetics), whereas poorly soluble drugs are released mainly by erosion of the gel (closer to zero-order). The release rate is governed by polymer type, viscosity grade, polymer : drug ratio, particle size and tablet geometry.</w:t>
      </w:r>
    </w:p>
    <w:p>
      <w:pPr>
        <w:spacing w:before="200" w:after="100" w:line="276" w:lineRule="auto"/>
        <w:keepNext/>
      </w:pPr>
      <w:r>
        <w:rPr>
          <w:rFonts w:ascii="Comic Sans MS" w:hAnsi="Comic Sans MS" w:cs="Comic Sans MS"/>
          <w:b/>
          <w:color w:val="FF0000"/>
          <w:sz w:val="32"/>
        </w:rPr>
        <w:t>2.10 Factors Controlling Osmotic Delivery Rate</w:t>
      </w:r>
    </w:p>
    <w:p>
      <w:pPr>
        <w:spacing w:after="160"/>
        <w:jc w:val="both"/>
      </w:pPr>
      <w:r>
        <w:rPr>
          <w:rFonts w:ascii="Comic Sans MS" w:hAnsi="Comic Sans MS" w:cs="Comic Sans MS"/>
          <w:b w:val="0"/>
          <w:i w:val="0"/>
          <w:color w:val="000000"/>
          <w:sz w:val="28"/>
        </w:rPr>
        <w:t>The delivery rate of an osmotic system can be programmed by adjusting the following variables, which makes osmotic pumps very versatile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Membrane permeability &amp; thickness : </w:t>
      </w:r>
      <w:r>
        <w:rPr>
          <w:rFonts w:ascii="Comic Sans MS" w:hAnsi="Comic Sans MS" w:cs="Comic Sans MS"/>
          <w:b w:val="0"/>
          <w:i w:val="0"/>
          <w:color w:val="000000"/>
          <w:sz w:val="28"/>
        </w:rPr>
        <w:t>thicker or less permeable membrane slows water influx and hence delivery.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Membrane area : </w:t>
      </w:r>
      <w:r>
        <w:rPr>
          <w:rFonts w:ascii="Comic Sans MS" w:hAnsi="Comic Sans MS" w:cs="Comic Sans MS"/>
          <w:b w:val="0"/>
          <w:i w:val="0"/>
          <w:color w:val="000000"/>
          <w:sz w:val="28"/>
        </w:rPr>
        <w:t>larger area increases the rate.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Osmotic pressure of the core (osmogen) : </w:t>
      </w:r>
      <w:r>
        <w:rPr>
          <w:rFonts w:ascii="Comic Sans MS" w:hAnsi="Comic Sans MS" w:cs="Comic Sans MS"/>
          <w:b w:val="0"/>
          <w:i w:val="0"/>
          <w:color w:val="000000"/>
          <w:sz w:val="28"/>
        </w:rPr>
        <w:t>higher osmotic pressure increases the driving force.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Solubility of the drug in the pumped fluid : </w:t>
      </w:r>
      <w:r>
        <w:rPr>
          <w:rFonts w:ascii="Comic Sans MS" w:hAnsi="Comic Sans MS" w:cs="Comic Sans MS"/>
          <w:b w:val="0"/>
          <w:i w:val="0"/>
          <w:color w:val="000000"/>
          <w:sz w:val="28"/>
        </w:rPr>
        <w:t>directly proportional to the amount delivered per unit volume.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Size of the delivery orifice : </w:t>
      </w:r>
      <w:r>
        <w:rPr>
          <w:rFonts w:ascii="Comic Sans MS" w:hAnsi="Comic Sans MS" w:cs="Comic Sans MS"/>
          <w:b w:val="0"/>
          <w:i w:val="0"/>
          <w:color w:val="000000"/>
          <w:sz w:val="28"/>
        </w:rPr>
        <w:t>must be within an optimum range – too small causes hydrostatic build-up, too large permits diffusion / burst.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Osmotic system</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Feature</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Suitable drug</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Elementary (EOP)</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Single core + orifice</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Water-soluble</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Push-pull (bilayer)</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Drug layer + push layer</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Poorly soluble</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Controlled-porosity</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Pore-formers in membrane</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Various</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Sandwiched (SOTS)</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Two orifices, central drug</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Various</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Liquid OROS</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Soft-gelatin liquid core</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Liquid / lipophilic</w:t>
            </w:r>
          </w:p>
        </w:tc>
      </w:tr>
    </w:tbl>
    <w:p>
      <w:pPr>
        <w:spacing w:after="40"/>
      </w:pPr>
    </w:p>
    <w:p>
      <w:pPr>
        <w:spacing w:before="200" w:after="100" w:line="276" w:lineRule="auto"/>
        <w:keepNext/>
      </w:pPr>
      <w:r>
        <w:rPr>
          <w:rFonts w:ascii="Comic Sans MS" w:hAnsi="Comic Sans MS" w:cs="Comic Sans MS"/>
          <w:b/>
          <w:color w:val="FF0000"/>
          <w:sz w:val="32"/>
        </w:rPr>
        <w:t>2.11 Colon-Targeted Drug Delivery</w:t>
      </w:r>
    </w:p>
    <w:p>
      <w:pPr>
        <w:spacing w:after="160"/>
        <w:jc w:val="both"/>
      </w:pPr>
      <w:r>
        <w:rPr>
          <w:rFonts w:ascii="Comic Sans MS" w:hAnsi="Comic Sans MS" w:cs="Comic Sans MS"/>
          <w:b w:val="0"/>
          <w:i w:val="0"/>
          <w:color w:val="000000"/>
          <w:sz w:val="28"/>
        </w:rPr>
        <w:t>Delivery to the colon is desirable for the local treatment of colonic diseases (ulcerative colitis, Crohn's disease, colon cancer) and for the systemic delivery of proteins / peptides that would be degraded in the upper GI. Because the colon is distal, several triggers are exploited to release drug specifically there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pH-dependent systems : </w:t>
      </w:r>
      <w:r>
        <w:rPr>
          <w:rFonts w:ascii="Comic Sans MS" w:hAnsi="Comic Sans MS" w:cs="Comic Sans MS"/>
          <w:b w:val="0"/>
          <w:i w:val="0"/>
          <w:color w:val="000000"/>
          <w:sz w:val="28"/>
        </w:rPr>
        <w:t>coats (Eudragit S/L) that dissolve only at the higher pH of the terminal ileum / colon.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Time-dependent (time-lagged) systems : </w:t>
      </w:r>
      <w:r>
        <w:rPr>
          <w:rFonts w:ascii="Comic Sans MS" w:hAnsi="Comic Sans MS" w:cs="Comic Sans MS"/>
          <w:b w:val="0"/>
          <w:i w:val="0"/>
          <w:color w:val="000000"/>
          <w:sz w:val="28"/>
        </w:rPr>
        <w:t>release after a lag matching the small-intestinal transit time (~3–4 h after gastric emptying).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Microbially triggered systems : </w:t>
      </w:r>
      <w:r>
        <w:rPr>
          <w:rFonts w:ascii="Comic Sans MS" w:hAnsi="Comic Sans MS" w:cs="Comic Sans MS"/>
          <w:b w:val="0"/>
          <w:i w:val="0"/>
          <w:color w:val="000000"/>
          <w:sz w:val="28"/>
        </w:rPr>
        <w:t>use polysaccharides (pectin, guar gum, chitosan, amylose) or azo-polymers degraded specifically by colonic bacteria.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Pressure-controlled systems : </w:t>
      </w:r>
      <w:r>
        <w:rPr>
          <w:rFonts w:ascii="Comic Sans MS" w:hAnsi="Comic Sans MS" w:cs="Comic Sans MS"/>
          <w:b w:val="0"/>
          <w:i w:val="0"/>
          <w:color w:val="000000"/>
          <w:sz w:val="28"/>
        </w:rPr>
        <w:t>rupture under the higher luminal pressure of the colon.</w:t>
      </w:r>
    </w:p>
    <w:p>
      <w:pPr>
        <w:spacing w:before="200" w:after="100" w:line="276" w:lineRule="auto"/>
        <w:keepNext/>
      </w:pPr>
      <w:r>
        <w:rPr>
          <w:rFonts w:ascii="Comic Sans MS" w:hAnsi="Comic Sans MS" w:cs="Comic Sans MS"/>
          <w:b/>
          <w:color w:val="FF0000"/>
          <w:sz w:val="32"/>
        </w:rPr>
        <w:t>2.12 Pulsatile (Time-Controlled) Delivery</w:t>
      </w:r>
    </w:p>
    <w:p>
      <w:pPr>
        <w:spacing w:after="160"/>
        <w:jc w:val="both"/>
      </w:pPr>
      <w:r>
        <w:rPr>
          <w:rFonts w:ascii="Comic Sans MS" w:hAnsi="Comic Sans MS" w:cs="Comic Sans MS"/>
          <w:b w:val="0"/>
          <w:i w:val="0"/>
          <w:color w:val="000000"/>
          <w:sz w:val="28"/>
        </w:rPr>
        <w:t>Some diseases follow a circadian rhythm (e.g., early-morning asthma, angina, arthritis, hypertension) and are best treated by chronotherapy – delivering the drug in a pulse at the time of greatest need. Pulsatile systems release the drug rapidly after a programmed lag time. They may be rupturable (a swelling or effervescent core that bursts a coat), erodible-coat, or capsule-based (e.g., Pulsincap®).</w:t>
      </w:r>
    </w:p>
    <w:p>
      <w:pPr>
        <w:spacing w:before="200" w:after="100" w:line="276" w:lineRule="auto"/>
        <w:keepNext/>
      </w:pPr>
      <w:r>
        <w:rPr>
          <w:rFonts w:ascii="Comic Sans MS" w:hAnsi="Comic Sans MS" w:cs="Comic Sans MS"/>
          <w:b/>
          <w:color w:val="FF0000"/>
          <w:sz w:val="32"/>
        </w:rPr>
        <w:t>2.13 Comparative Overview of Oral SR Mechanisms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8"/>
              </w:rPr>
              <w:t>Mechanism</w:t>
            </w:r>
          </w:p>
        </w:tc>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8"/>
              </w:rPr>
              <w:t>Rate-limiting step</w:t>
            </w:r>
          </w:p>
        </w:tc>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8"/>
              </w:rPr>
              <w:t>Typical kinetics</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8"/>
              </w:rPr>
              <w:t>Advantage / limitation</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Dissolution</w:t>
            </w:r>
          </w:p>
        </w:tc>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Coat / matrix dissolution</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First order</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Simple / pH-sensitive</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Diffusion (reservoir)</w:t>
            </w:r>
          </w:p>
        </w:tc>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Membrane diffusion</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Zero order</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Constant / dose-dump risk</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Diffusion (matrix)</w:t>
            </w:r>
          </w:p>
        </w:tc>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Matrix diffusion</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Higuchi (√t)</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Cheap / declining rate</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Osmotic</w:t>
            </w:r>
          </w:p>
        </w:tc>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Water influx</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Zero order</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pH-independent / costly</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Ion-exchange</w:t>
            </w:r>
          </w:p>
        </w:tc>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Ionic exchange</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Variable</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Liquid SR / diet-dependent</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Erosion</w:t>
            </w:r>
          </w:p>
        </w:tc>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Polymer erosion</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Near zero order</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7"/>
              </w:rPr>
              <w:t>No residue / variable</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which mechanism gives zero-order?</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Osmotic pumps and (ideally) reservoir-membrane systems give true zero-order release.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Matrix (monolithic) systems give √t (Higuchi) release – rate declines with time.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Surface-erosion systems approach zero-order; bulk-erosion systems do not.</w:t>
            </w:r>
          </w:p>
        </w:tc>
      </w:tr>
    </w:tbl>
    <w:p>
      <w:pPr>
        <w:spacing w:after="40"/>
      </w:pPr>
    </w:p>
    <w:p>
      <w:r>
        <w:br w:type="page"/>
      </w:r>
    </w:p>
    <w:p>
      <w:pPr>
        <w:spacing w:before="200" w:after="100" w:line="276" w:lineRule="auto"/>
        <w:keepNext/>
      </w:pPr>
      <w:r>
        <w:rPr>
          <w:rFonts w:ascii="Comic Sans MS" w:hAnsi="Comic Sans MS" w:cs="Comic Sans MS"/>
          <w:b/>
          <w:color w:val="FF0000"/>
          <w:sz w:val="32"/>
        </w:rPr>
        <w:t>2.14 Diffusion Mathematics – Reservoir Geometries</w:t>
      </w:r>
    </w:p>
    <w:p>
      <w:pPr>
        <w:spacing w:after="160"/>
        <w:jc w:val="both"/>
      </w:pPr>
      <w:r>
        <w:rPr>
          <w:rFonts w:ascii="Comic Sans MS" w:hAnsi="Comic Sans MS" w:cs="Comic Sans MS"/>
          <w:b w:val="0"/>
          <w:i w:val="0"/>
          <w:color w:val="000000"/>
          <w:sz w:val="28"/>
        </w:rPr>
        <w:t>The steady-state release rate from a reservoir device depends on its geometry. For the three common shapes, with a saturated core (constant activity), the rate is :</w:t>
      </w:r>
    </w:p>
    <w:p>
      <w:pPr>
        <w:spacing w:before="140" w:after="60" w:line="276" w:lineRule="auto"/>
        <w:keepNext/>
      </w:pPr>
      <w:r>
        <w:rPr>
          <w:rFonts w:ascii="Comic Sans MS" w:hAnsi="Comic Sans MS" w:cs="Comic Sans MS"/>
          <w:b/>
          <w:color w:val="000000"/>
          <w:sz w:val="28"/>
        </w:rPr>
        <w:t>Slab (planar film)</w:t>
      </w:r>
    </w:p>
    <w:p>
      <w:pPr>
        <w:spacing w:before="40" w:after="120"/>
        <w:jc w:val="center"/>
      </w:pPr>
      <w:r>
        <w:rPr>
          <w:rFonts w:ascii="Comic Sans MS" w:hAnsi="Comic Sans MS" w:cs="Comic Sans MS"/>
          <w:b/>
          <w:color w:val="6A1B9A"/>
          <w:sz w:val="28"/>
        </w:rPr>
        <w:t>dM/dt = A·D·K·ΔC / L   (constant – zero order)</w:t>
      </w:r>
    </w:p>
    <w:p>
      <w:pPr>
        <w:spacing w:before="140" w:after="60" w:line="276" w:lineRule="auto"/>
        <w:keepNext/>
      </w:pPr>
      <w:r>
        <w:rPr>
          <w:rFonts w:ascii="Comic Sans MS" w:hAnsi="Comic Sans MS" w:cs="Comic Sans MS"/>
          <w:b/>
          <w:color w:val="000000"/>
          <w:sz w:val="28"/>
        </w:rPr>
        <w:t>Cylinder</w:t>
      </w:r>
    </w:p>
    <w:p>
      <w:pPr>
        <w:spacing w:before="40" w:after="120"/>
        <w:jc w:val="center"/>
      </w:pPr>
      <w:r>
        <w:rPr>
          <w:rFonts w:ascii="Comic Sans MS" w:hAnsi="Comic Sans MS" w:cs="Comic Sans MS"/>
          <w:b/>
          <w:color w:val="6A1B9A"/>
          <w:sz w:val="28"/>
        </w:rPr>
        <w:t>dM/dt = 2π·D·K·ΔC·L / ln(rₒ/rᵢ)</w:t>
      </w:r>
    </w:p>
    <w:p>
      <w:pPr>
        <w:spacing w:before="140" w:after="60" w:line="276" w:lineRule="auto"/>
        <w:keepNext/>
      </w:pPr>
      <w:r>
        <w:rPr>
          <w:rFonts w:ascii="Comic Sans MS" w:hAnsi="Comic Sans MS" w:cs="Comic Sans MS"/>
          <w:b/>
          <w:color w:val="000000"/>
          <w:sz w:val="28"/>
        </w:rPr>
        <w:t>Sphere</w:t>
      </w:r>
    </w:p>
    <w:p>
      <w:pPr>
        <w:spacing w:before="40" w:after="120"/>
        <w:jc w:val="center"/>
      </w:pPr>
      <w:r>
        <w:rPr>
          <w:rFonts w:ascii="Comic Sans MS" w:hAnsi="Comic Sans MS" w:cs="Comic Sans MS"/>
          <w:b/>
          <w:color w:val="6A1B9A"/>
          <w:sz w:val="28"/>
        </w:rPr>
        <w:t>dM/dt = 4π·D·K·ΔC·rₒ·rᵢ / (rₒ – rᵢ)</w:t>
      </w:r>
    </w:p>
    <w:p>
      <w:pPr>
        <w:spacing w:after="160"/>
        <w:jc w:val="both"/>
      </w:pPr>
      <w:r>
        <w:rPr>
          <w:rFonts w:ascii="Comic Sans MS" w:hAnsi="Comic Sans MS" w:cs="Comic Sans MS"/>
          <w:b w:val="0"/>
          <w:i w:val="0"/>
          <w:color w:val="000000"/>
          <w:sz w:val="28"/>
        </w:rPr>
        <w:t>In every case, as long as the core remains saturated the concentration gradient is constant and release is zero-order; once the core is depleted below saturation, the gradient (and rate) falls.</w:t>
      </w:r>
    </w:p>
    <w:p>
      <w:pPr>
        <w:spacing w:before="200" w:after="100" w:line="276" w:lineRule="auto"/>
        <w:keepNext/>
      </w:pPr>
      <w:r>
        <w:rPr>
          <w:rFonts w:ascii="Comic Sans MS" w:hAnsi="Comic Sans MS" w:cs="Comic Sans MS"/>
          <w:b/>
          <w:color w:val="FF0000"/>
          <w:sz w:val="32"/>
        </w:rPr>
        <w:t>2.15 Advantages &amp; Limitations of each Mechanism</w:t>
      </w:r>
    </w:p>
    <w:p>
      <w:pPr>
        <w:spacing w:before="140" w:after="60" w:line="276" w:lineRule="auto"/>
        <w:keepNext/>
      </w:pPr>
      <w:r>
        <w:rPr>
          <w:rFonts w:ascii="Comic Sans MS" w:hAnsi="Comic Sans MS" w:cs="Comic Sans MS"/>
          <w:b/>
          <w:color w:val="000000"/>
          <w:sz w:val="28"/>
        </w:rPr>
        <w:t>Diffusion systems</w:t>
      </w:r>
    </w:p>
    <w:p>
      <w:pPr>
        <w:spacing w:after="160"/>
        <w:jc w:val="both"/>
      </w:pPr>
      <w:r>
        <w:rPr>
          <w:rFonts w:ascii="Comic Sans MS" w:hAnsi="Comic Sans MS" w:cs="Comic Sans MS"/>
          <w:b w:val="0"/>
          <w:i w:val="0"/>
          <w:color w:val="000000"/>
          <w:sz w:val="28"/>
        </w:rPr>
        <w:t>Advantages : reservoir types give zero-order release; well understood and predictable. Limitations : risk of dose dumping on membrane failure; potential for residual drug; reproducible membrane thickness required.</w:t>
      </w:r>
    </w:p>
    <w:p>
      <w:pPr>
        <w:spacing w:before="140" w:after="60" w:line="276" w:lineRule="auto"/>
        <w:keepNext/>
      </w:pPr>
      <w:r>
        <w:rPr>
          <w:rFonts w:ascii="Comic Sans MS" w:hAnsi="Comic Sans MS" w:cs="Comic Sans MS"/>
          <w:b/>
          <w:color w:val="000000"/>
          <w:sz w:val="28"/>
        </w:rPr>
        <w:t>Dissolution systems</w:t>
      </w:r>
    </w:p>
    <w:p>
      <w:pPr>
        <w:spacing w:after="160"/>
        <w:jc w:val="both"/>
      </w:pPr>
      <w:r>
        <w:rPr>
          <w:rFonts w:ascii="Comic Sans MS" w:hAnsi="Comic Sans MS" w:cs="Comic Sans MS"/>
          <w:b w:val="0"/>
          <w:i w:val="0"/>
          <w:color w:val="000000"/>
          <w:sz w:val="28"/>
        </w:rPr>
        <w:t>Advantages : simple and inexpensive; no membrane to rupture. Limitations : first-order (declining) release; sensitive to GI pH and to the dissolution environment.</w:t>
      </w:r>
    </w:p>
    <w:p>
      <w:pPr>
        <w:spacing w:before="140" w:after="60" w:line="276" w:lineRule="auto"/>
        <w:keepNext/>
      </w:pPr>
      <w:r>
        <w:rPr>
          <w:rFonts w:ascii="Comic Sans MS" w:hAnsi="Comic Sans MS" w:cs="Comic Sans MS"/>
          <w:b/>
          <w:color w:val="000000"/>
          <w:sz w:val="28"/>
        </w:rPr>
        <w:t>Osmotic systems</w:t>
      </w:r>
    </w:p>
    <w:p>
      <w:pPr>
        <w:spacing w:after="160"/>
        <w:jc w:val="both"/>
      </w:pPr>
      <w:r>
        <w:rPr>
          <w:rFonts w:ascii="Comic Sans MS" w:hAnsi="Comic Sans MS" w:cs="Comic Sans MS"/>
          <w:b w:val="0"/>
          <w:i w:val="0"/>
          <w:color w:val="000000"/>
          <w:sz w:val="28"/>
        </w:rPr>
        <w:t>Advantages : zero-order release independent of pH, food and motility; excellent IVIVC. Limitations : costly and technically demanding; require a laser-drilled orifice; the membrane and osmogen must be carefully engineered.</w:t>
      </w:r>
    </w:p>
    <w:p>
      <w:pPr>
        <w:spacing w:before="140" w:after="60" w:line="276" w:lineRule="auto"/>
        <w:keepNext/>
      </w:pPr>
      <w:r>
        <w:rPr>
          <w:rFonts w:ascii="Comic Sans MS" w:hAnsi="Comic Sans MS" w:cs="Comic Sans MS"/>
          <w:b/>
          <w:color w:val="000000"/>
          <w:sz w:val="28"/>
        </w:rPr>
        <w:t>Ion-exchange systems</w:t>
      </w:r>
    </w:p>
    <w:p>
      <w:pPr>
        <w:spacing w:after="160"/>
        <w:jc w:val="both"/>
      </w:pPr>
      <w:r>
        <w:rPr>
          <w:rFonts w:ascii="Comic Sans MS" w:hAnsi="Comic Sans MS" w:cs="Comic Sans MS"/>
          <w:b w:val="0"/>
          <w:i w:val="0"/>
          <w:color w:val="000000"/>
          <w:sz w:val="28"/>
        </w:rPr>
        <w:t>Advantages : useful for liquid SR suspensions and taste masking; protect the drug. Limitations : release depends on the variable ionic content of the diet; only ionisable drugs; loading limited by resin capacity.</w:t>
      </w:r>
    </w:p>
    <w:p>
      <w:pPr>
        <w:spacing w:before="200" w:after="100" w:line="276" w:lineRule="auto"/>
        <w:keepNext/>
      </w:pPr>
      <w:r>
        <w:rPr>
          <w:rFonts w:ascii="Comic Sans MS" w:hAnsi="Comic Sans MS" w:cs="Comic Sans MS"/>
          <w:b/>
          <w:color w:val="FF0000"/>
          <w:sz w:val="32"/>
        </w:rPr>
        <w:t>2.16 Selection of System according to Drug Properties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88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Drug property</w:t>
            </w:r>
          </w:p>
        </w:tc>
        <w:tc>
          <w:tcPr>
            <w:tcW w:type="dxa" w:w="54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Preferred SR mechanism</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Water-soluble, ionisable</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Ion-exchange / osmotic</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Poorly soluble</w:t>
            </w:r>
          </w:p>
        </w:tc>
        <w:tc>
          <w:tcPr>
            <w:tcW w:type="dxa" w:w="54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Push-pull osmotic / matrix</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Narrow absorption window</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Gastro-retentive / mucoadhesive</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Needs constant level (zero order)</w:t>
            </w:r>
          </w:p>
        </w:tc>
        <w:tc>
          <w:tcPr>
            <w:tcW w:type="dxa" w:w="54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Osmotic / reservoir membrane</w:t>
            </w:r>
          </w:p>
        </w:tc>
      </w:tr>
      <w:tr>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Low cost required</w:t>
            </w:r>
          </w:p>
        </w:tc>
        <w:tc>
          <w:tcPr>
            <w:tcW w:type="dxa" w:w="54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Hydrophilic matrix</w:t>
            </w:r>
          </w:p>
        </w:tc>
      </w:tr>
      <w:tr>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Local colonic action</w:t>
            </w:r>
          </w:p>
        </w:tc>
        <w:tc>
          <w:tcPr>
            <w:tcW w:type="dxa" w:w="54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Colon-targeted (pH / microflora)</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III – Microencapsulation</w:t>
      </w:r>
    </w:p>
    <w:p>
      <w:pPr>
        <w:spacing w:before="200" w:after="100" w:line="276" w:lineRule="auto"/>
        <w:keepNext/>
      </w:pPr>
      <w:r>
        <w:rPr>
          <w:rFonts w:ascii="Comic Sans MS" w:hAnsi="Comic Sans MS" w:cs="Comic Sans MS"/>
          <w:b/>
          <w:color w:val="FF0000"/>
          <w:sz w:val="32"/>
        </w:rPr>
        <w:t>3.1 Definition</w:t>
      </w:r>
    </w:p>
    <w:p>
      <w:pPr>
        <w:spacing w:after="160"/>
        <w:jc w:val="both"/>
      </w:pPr>
      <w:r>
        <w:rPr>
          <w:rFonts w:ascii="Comic Sans MS" w:hAnsi="Comic Sans MS" w:cs="Comic Sans MS"/>
          <w:b/>
          <w:i w:val="0"/>
          <w:color w:val="000000"/>
          <w:sz w:val="28"/>
        </w:rPr>
        <w:t xml:space="preserve">Microencapsulation </w:t>
      </w:r>
      <w:r>
        <w:rPr>
          <w:rFonts w:ascii="Comic Sans MS" w:hAnsi="Comic Sans MS" w:cs="Comic Sans MS"/>
          <w:b w:val="0"/>
          <w:i w:val="0"/>
          <w:color w:val="000000"/>
          <w:sz w:val="28"/>
        </w:rPr>
        <w:t xml:space="preserve">is the process by which small solid particles, liquid droplets or gases are enveloped within a thin coating of a wall-forming (shell) material to form small capsules (microcapsules) of size ranging from about 1 to 1000 µm. The material inside the capsule is the </w:t>
      </w:r>
      <w:r>
        <w:rPr>
          <w:rFonts w:ascii="Comic Sans MS" w:hAnsi="Comic Sans MS" w:cs="Comic Sans MS"/>
          <w:b w:val="0"/>
          <w:i/>
          <w:color w:val="000000"/>
          <w:sz w:val="28"/>
        </w:rPr>
        <w:t xml:space="preserve">core (internal phase / fill) </w:t>
      </w:r>
      <w:r>
        <w:rPr>
          <w:rFonts w:ascii="Comic Sans MS" w:hAnsi="Comic Sans MS" w:cs="Comic Sans MS"/>
          <w:b w:val="0"/>
          <w:i w:val="0"/>
          <w:color w:val="000000"/>
          <w:sz w:val="28"/>
        </w:rPr>
        <w:t xml:space="preserve">and the coating is the </w:t>
      </w:r>
      <w:r>
        <w:rPr>
          <w:rFonts w:ascii="Comic Sans MS" w:hAnsi="Comic Sans MS" w:cs="Comic Sans MS"/>
          <w:b w:val="0"/>
          <w:i/>
          <w:color w:val="000000"/>
          <w:sz w:val="28"/>
        </w:rPr>
        <w:t>wall / shell (membrane).</w:t>
      </w:r>
    </w:p>
    <w:p>
      <w:pPr>
        <w:spacing w:after="160"/>
        <w:jc w:val="both"/>
      </w:pPr>
      <w:r>
        <w:rPr>
          <w:rFonts w:ascii="Comic Sans MS" w:hAnsi="Comic Sans MS" w:cs="Comic Sans MS"/>
          <w:b w:val="0"/>
          <w:i w:val="0"/>
          <w:color w:val="000000"/>
          <w:sz w:val="28"/>
        </w:rPr>
        <w:t>Particles below 1 µm are called nanocapsules and those above 1000 µm are macrocapsules. When the drug is distributed uniformly throughout a polymer particle (no distinct core-shell), the product is a microsphere / micromatrix rather than a true microcapsule.</w:t>
      </w:r>
    </w:p>
    <w:p>
      <w:pPr>
        <w:spacing w:before="200" w:after="100" w:line="276" w:lineRule="auto"/>
        <w:keepNext/>
      </w:pPr>
      <w:r>
        <w:rPr>
          <w:rFonts w:ascii="Comic Sans MS" w:hAnsi="Comic Sans MS" w:cs="Comic Sans MS"/>
          <w:b/>
          <w:color w:val="FF0000"/>
          <w:sz w:val="32"/>
        </w:rPr>
        <w:t>3.2 Objectives / Reasons for Microencapsulation</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To achieve sustained or controlled release of the drug.</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To mask the bitter taste or unpleasant odour of the drug.</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To protect the core from environmental factors (light, moisture, oxygen) and improve stability.</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To convert liquids into free-flowing powders (e.g., oils, vitamins).</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To separate incompatible ingredients in a formulation.</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To reduce gastric irritation (e.g., aspirin, KCl, ferrous salts).</w:t>
      </w:r>
    </w:p>
    <w:p>
      <w:pPr>
        <w:spacing w:after="80"/>
        <w:ind w:left="576" w:hanging="403"/>
        <w:jc w:val="both"/>
      </w:pPr>
      <w:r>
        <w:rPr>
          <w:rFonts w:ascii="Comic Sans MS" w:hAnsi="Comic Sans MS" w:cs="Comic Sans MS"/>
          <w:b/>
          <w:sz w:val="28"/>
        </w:rPr>
        <w:t xml:space="preserve">7. </w:t>
      </w:r>
      <w:r>
        <w:rPr>
          <w:rFonts w:ascii="Comic Sans MS" w:hAnsi="Comic Sans MS" w:cs="Comic Sans MS"/>
          <w:color w:val="000000"/>
          <w:sz w:val="28"/>
        </w:rPr>
        <w:t>To reduce volatility and hygroscopicity.</w:t>
      </w:r>
    </w:p>
    <w:p>
      <w:pPr>
        <w:spacing w:after="80"/>
        <w:ind w:left="576" w:hanging="403"/>
        <w:jc w:val="both"/>
      </w:pPr>
      <w:r>
        <w:rPr>
          <w:rFonts w:ascii="Comic Sans MS" w:hAnsi="Comic Sans MS" w:cs="Comic Sans MS"/>
          <w:b/>
          <w:sz w:val="28"/>
        </w:rPr>
        <w:t xml:space="preserve">8. </w:t>
      </w:r>
      <w:r>
        <w:rPr>
          <w:rFonts w:ascii="Comic Sans MS" w:hAnsi="Comic Sans MS" w:cs="Comic Sans MS"/>
          <w:color w:val="000000"/>
          <w:sz w:val="28"/>
        </w:rPr>
        <w:t>To achieve targeted or site-specific delivery.</w:t>
      </w:r>
    </w:p>
    <w:p>
      <w:pPr>
        <w:spacing w:after="80"/>
        <w:ind w:left="576" w:hanging="403"/>
        <w:jc w:val="both"/>
      </w:pPr>
      <w:r>
        <w:rPr>
          <w:rFonts w:ascii="Comic Sans MS" w:hAnsi="Comic Sans MS" w:cs="Comic Sans MS"/>
          <w:b/>
          <w:sz w:val="28"/>
        </w:rPr>
        <w:t xml:space="preserve">9. </w:t>
      </w:r>
      <w:r>
        <w:rPr>
          <w:rFonts w:ascii="Comic Sans MS" w:hAnsi="Comic Sans MS" w:cs="Comic Sans MS"/>
          <w:color w:val="000000"/>
          <w:sz w:val="28"/>
        </w:rPr>
        <w:t>To improve handling and flow properties of powders.</w:t>
      </w:r>
    </w:p>
    <w:p>
      <w:pPr>
        <w:spacing w:before="200" w:after="100" w:line="276" w:lineRule="auto"/>
        <w:keepNext/>
      </w:pPr>
      <w:r>
        <w:rPr>
          <w:rFonts w:ascii="Comic Sans MS" w:hAnsi="Comic Sans MS" w:cs="Comic Sans MS"/>
          <w:b/>
          <w:color w:val="FF0000"/>
          <w:sz w:val="32"/>
        </w:rPr>
        <w:t>3.3 Types of Microcapsules / Microspheres</w:t>
      </w:r>
    </w:p>
    <w:p>
      <w:pPr>
        <w:spacing w:before="80" w:after="40"/>
        <w:jc w:val="center"/>
      </w:pPr>
      <w:r>
        <w:drawing>
          <wp:inline xmlns:a="http://schemas.openxmlformats.org/drawingml/2006/main" xmlns:pic="http://schemas.openxmlformats.org/drawingml/2006/picture">
            <wp:extent cx="4937760" cy="2236763"/>
            <wp:docPr id="11" name="Picture 11"/>
            <wp:cNvGraphicFramePr>
              <a:graphicFrameLocks noChangeAspect="1"/>
            </wp:cNvGraphicFramePr>
            <a:graphic>
              <a:graphicData uri="http://schemas.openxmlformats.org/drawingml/2006/picture">
                <pic:pic>
                  <pic:nvPicPr>
                    <pic:cNvPr id="0" name="microcapsule_types.png"/>
                    <pic:cNvPicPr/>
                  </pic:nvPicPr>
                  <pic:blipFill>
                    <a:blip r:embed="rId21"/>
                    <a:stretch>
                      <a:fillRect/>
                    </a:stretch>
                  </pic:blipFill>
                  <pic:spPr>
                    <a:xfrm>
                      <a:off x="0" y="0"/>
                      <a:ext cx="4937760" cy="2236763"/>
                    </a:xfrm>
                    <a:prstGeom prst="rect"/>
                  </pic:spPr>
                </pic:pic>
              </a:graphicData>
            </a:graphic>
          </wp:inline>
        </w:drawing>
      </w:r>
    </w:p>
    <w:p>
      <w:pPr>
        <w:spacing w:after="160" w:line="264" w:lineRule="auto"/>
        <w:jc w:val="center"/>
      </w:pPr>
      <w:r>
        <w:rPr>
          <w:rFonts w:ascii="Comic Sans MS" w:hAnsi="Comic Sans MS" w:cs="Comic Sans MS"/>
          <w:b/>
          <w:i/>
          <w:color w:val="595959"/>
          <w:sz w:val="22"/>
        </w:rPr>
        <w:t>Fig. 11 : Mononuclear, polynuclear and matrix (microsphere) types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Mononuclear (core-shell) : </w:t>
      </w:r>
      <w:r>
        <w:rPr>
          <w:rFonts w:ascii="Comic Sans MS" w:hAnsi="Comic Sans MS" w:cs="Comic Sans MS"/>
          <w:b w:val="0"/>
          <w:i w:val="0"/>
          <w:color w:val="000000"/>
          <w:sz w:val="28"/>
        </w:rPr>
        <w:t>a single core enclosed by the shell.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Polynuclear (multi-core) : </w:t>
      </w:r>
      <w:r>
        <w:rPr>
          <w:rFonts w:ascii="Comic Sans MS" w:hAnsi="Comic Sans MS" w:cs="Comic Sans MS"/>
          <w:b w:val="0"/>
          <w:i w:val="0"/>
          <w:color w:val="000000"/>
          <w:sz w:val="28"/>
        </w:rPr>
        <w:t>several cores enclosed within a single shell.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Matrix / microsphere : </w:t>
      </w:r>
      <w:r>
        <w:rPr>
          <w:rFonts w:ascii="Comic Sans MS" w:hAnsi="Comic Sans MS" w:cs="Comic Sans MS"/>
          <w:b w:val="0"/>
          <w:i w:val="0"/>
          <w:color w:val="000000"/>
          <w:sz w:val="28"/>
        </w:rPr>
        <w:t>core material dispersed uniformly throughout the wall material.</w:t>
      </w:r>
    </w:p>
    <w:p>
      <w:pPr>
        <w:spacing w:before="200" w:after="100" w:line="276" w:lineRule="auto"/>
        <w:keepNext/>
      </w:pPr>
      <w:r>
        <w:rPr>
          <w:rFonts w:ascii="Comic Sans MS" w:hAnsi="Comic Sans MS" w:cs="Comic Sans MS"/>
          <w:b/>
          <w:color w:val="FF0000"/>
          <w:sz w:val="32"/>
        </w:rPr>
        <w:t>3.4 Coating (Wall) Materials</w:t>
      </w:r>
    </w:p>
    <w:p>
      <w:pPr>
        <w:spacing w:after="160"/>
        <w:jc w:val="both"/>
      </w:pPr>
      <w:r>
        <w:rPr>
          <w:rFonts w:ascii="Comic Sans MS" w:hAnsi="Comic Sans MS" w:cs="Comic Sans MS"/>
          <w:b w:val="0"/>
          <w:i w:val="0"/>
          <w:color w:val="000000"/>
          <w:sz w:val="28"/>
        </w:rPr>
        <w:t>The choice of coating material governs the release rate, protection and stability of the microcapsule. An ideal coating material should be capable of forming a coherent film, be chemically compatible and non-reactive with the core, provide the desired release characteristics, and be economical.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Category</w:t>
            </w:r>
          </w:p>
        </w:tc>
        <w:tc>
          <w:tcPr>
            <w:tcW w:type="dxa" w:w="60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Examples</w:t>
            </w:r>
          </w:p>
        </w:tc>
      </w:tr>
      <w:tr>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Water-soluble polymers</w:t>
            </w:r>
          </w:p>
        </w:tc>
        <w:tc>
          <w:tcPr>
            <w:tcW w:type="dxa" w:w="60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Gelatin, gum acacia, starch, PVP, carboxymethylcellulose</w:t>
            </w:r>
          </w:p>
        </w:tc>
      </w:tr>
      <w:tr>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Water-insoluble polymers</w:t>
            </w:r>
          </w:p>
        </w:tc>
        <w:tc>
          <w:tcPr>
            <w:tcW w:type="dxa" w:w="60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Ethylcellulose, polyethylene, polymethacrylate, cellulose nitrate</w:t>
            </w:r>
          </w:p>
        </w:tc>
      </w:tr>
      <w:tr>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Enteric (pH-dependent) polymers</w:t>
            </w:r>
          </w:p>
        </w:tc>
        <w:tc>
          <w:tcPr>
            <w:tcW w:type="dxa" w:w="60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Cellulose acetate phthalate, shellac, zein, Eudragit L/S</w:t>
            </w:r>
          </w:p>
        </w:tc>
      </w:tr>
      <w:tr>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Waxes &amp; lipids</w:t>
            </w:r>
          </w:p>
        </w:tc>
        <w:tc>
          <w:tcPr>
            <w:tcW w:type="dxa" w:w="60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Beeswax, carnauba wax, stearic acid, glyceryl stearate</w:t>
            </w:r>
          </w:p>
        </w:tc>
      </w:tr>
      <w:tr>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Proteins</w:t>
            </w:r>
          </w:p>
        </w:tc>
        <w:tc>
          <w:tcPr>
            <w:tcW w:type="dxa" w:w="60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Albumin, gelatin</w:t>
            </w:r>
          </w:p>
        </w:tc>
      </w:tr>
      <w:tr>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Biodegradable polymers</w:t>
            </w:r>
          </w:p>
        </w:tc>
        <w:tc>
          <w:tcPr>
            <w:tcW w:type="dxa" w:w="60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PLA, PLGA, poly-ε-caprolactone, chitosan, alginate</w:t>
            </w:r>
          </w:p>
        </w:tc>
      </w:tr>
    </w:tbl>
    <w:p>
      <w:pPr>
        <w:spacing w:after="40"/>
      </w:pPr>
    </w:p>
    <w:p>
      <w:pPr>
        <w:spacing w:before="200" w:after="100" w:line="276" w:lineRule="auto"/>
        <w:keepNext/>
      </w:pPr>
      <w:r>
        <w:rPr>
          <w:rFonts w:ascii="Comic Sans MS" w:hAnsi="Comic Sans MS" w:cs="Comic Sans MS"/>
          <w:b/>
          <w:color w:val="FF0000"/>
          <w:sz w:val="32"/>
        </w:rPr>
        <w:t>3.5 Methods of Microencapsulation</w:t>
      </w:r>
    </w:p>
    <w:p>
      <w:pPr>
        <w:spacing w:after="160"/>
        <w:jc w:val="both"/>
      </w:pPr>
      <w:r>
        <w:rPr>
          <w:rFonts w:ascii="Comic Sans MS" w:hAnsi="Comic Sans MS" w:cs="Comic Sans MS"/>
          <w:b w:val="0"/>
          <w:i w:val="0"/>
          <w:color w:val="000000"/>
          <w:sz w:val="28"/>
        </w:rPr>
        <w:t>The methods are broadly classified into physical, physico-chemical and chemical methods.</w:t>
      </w:r>
    </w:p>
    <w:p>
      <w:pPr>
        <w:spacing w:before="140" w:after="60" w:line="276" w:lineRule="auto"/>
        <w:keepNext/>
      </w:pPr>
      <w:r>
        <w:rPr>
          <w:rFonts w:ascii="Comic Sans MS" w:hAnsi="Comic Sans MS" w:cs="Comic Sans MS"/>
          <w:b/>
          <w:color w:val="000000"/>
          <w:sz w:val="28"/>
        </w:rPr>
        <w:t>(a) Coacervation – Phase Separation</w:t>
      </w:r>
    </w:p>
    <w:p>
      <w:pPr>
        <w:spacing w:after="160"/>
        <w:jc w:val="both"/>
      </w:pPr>
      <w:r>
        <w:rPr>
          <w:rFonts w:ascii="Comic Sans MS" w:hAnsi="Comic Sans MS" w:cs="Comic Sans MS"/>
          <w:b w:val="0"/>
          <w:i w:val="0"/>
          <w:color w:val="000000"/>
          <w:sz w:val="28"/>
        </w:rPr>
        <w:t>This is the classical and most widely used method. It involves three steps : (i) formation of three immiscible phases – the liquid vehicle, the core material and the coating material; (ii) deposition of the liquid polymer coating on the core; and (iii) rigidisation of the coating by thermal, cross-linking or desolvation techniques. Coacervation may be simple (one polymer, phase separation induced by a non-solvent, salt or temperature change) or complex (two oppositely charged polymers, e.g., gelatin–acacia, whose interaction produces the coacervate).</w:t>
      </w:r>
    </w:p>
    <w:p>
      <w:pPr>
        <w:spacing w:before="80" w:after="40"/>
        <w:jc w:val="center"/>
      </w:pPr>
      <w:r>
        <w:drawing>
          <wp:inline xmlns:a="http://schemas.openxmlformats.org/drawingml/2006/main" xmlns:pic="http://schemas.openxmlformats.org/drawingml/2006/picture">
            <wp:extent cx="5120640" cy="2226609"/>
            <wp:docPr id="12" name="Picture 12"/>
            <wp:cNvGraphicFramePr>
              <a:graphicFrameLocks noChangeAspect="1"/>
            </wp:cNvGraphicFramePr>
            <a:graphic>
              <a:graphicData uri="http://schemas.openxmlformats.org/drawingml/2006/picture">
                <pic:pic>
                  <pic:nvPicPr>
                    <pic:cNvPr id="0" name="coacervation.png"/>
                    <pic:cNvPicPr/>
                  </pic:nvPicPr>
                  <pic:blipFill>
                    <a:blip r:embed="rId22"/>
                    <a:stretch>
                      <a:fillRect/>
                    </a:stretch>
                  </pic:blipFill>
                  <pic:spPr>
                    <a:xfrm>
                      <a:off x="0" y="0"/>
                      <a:ext cx="5120640" cy="2226609"/>
                    </a:xfrm>
                    <a:prstGeom prst="rect"/>
                  </pic:spPr>
                </pic:pic>
              </a:graphicData>
            </a:graphic>
          </wp:inline>
        </w:drawing>
      </w:r>
    </w:p>
    <w:p>
      <w:pPr>
        <w:spacing w:after="160" w:line="264" w:lineRule="auto"/>
        <w:jc w:val="center"/>
      </w:pPr>
      <w:r>
        <w:rPr>
          <w:rFonts w:ascii="Comic Sans MS" w:hAnsi="Comic Sans MS" w:cs="Comic Sans MS"/>
          <w:b/>
          <w:i/>
          <w:color w:val="595959"/>
          <w:sz w:val="22"/>
        </w:rPr>
        <w:t>Fig. 12 : Steps of coacervation / phase-separation microencapsulation</w:t>
      </w:r>
    </w:p>
    <w:p>
      <w:pPr>
        <w:spacing w:before="140" w:after="60" w:line="276" w:lineRule="auto"/>
        <w:keepNext/>
      </w:pPr>
      <w:r>
        <w:rPr>
          <w:rFonts w:ascii="Comic Sans MS" w:hAnsi="Comic Sans MS" w:cs="Comic Sans MS"/>
          <w:b/>
          <w:color w:val="000000"/>
          <w:sz w:val="28"/>
        </w:rPr>
        <w:t>(b) Spray Drying</w:t>
      </w:r>
    </w:p>
    <w:p>
      <w:pPr>
        <w:spacing w:after="160"/>
        <w:jc w:val="both"/>
      </w:pPr>
      <w:r>
        <w:rPr>
          <w:rFonts w:ascii="Comic Sans MS" w:hAnsi="Comic Sans MS" w:cs="Comic Sans MS"/>
          <w:b w:val="0"/>
          <w:i w:val="0"/>
          <w:color w:val="000000"/>
          <w:sz w:val="28"/>
        </w:rPr>
        <w:t>The core is dispersed / dissolved in a solution of the coating polymer; the mixture is atomised into a stream of hot air. The solvent evaporates instantly and dry microcapsules are collected in a cyclone. It is rapid, single-step and economical, and suitable for heat-sensitive materials because exposure to heat is very brief.</w:t>
      </w:r>
    </w:p>
    <w:p>
      <w:pPr>
        <w:spacing w:before="80" w:after="40"/>
        <w:jc w:val="center"/>
      </w:pPr>
      <w:r>
        <w:drawing>
          <wp:inline xmlns:a="http://schemas.openxmlformats.org/drawingml/2006/main" xmlns:pic="http://schemas.openxmlformats.org/drawingml/2006/picture">
            <wp:extent cx="2926080" cy="2836506"/>
            <wp:docPr id="13" name="Picture 13"/>
            <wp:cNvGraphicFramePr>
              <a:graphicFrameLocks noChangeAspect="1"/>
            </wp:cNvGraphicFramePr>
            <a:graphic>
              <a:graphicData uri="http://schemas.openxmlformats.org/drawingml/2006/picture">
                <pic:pic>
                  <pic:nvPicPr>
                    <pic:cNvPr id="0" name="spray_drying.png"/>
                    <pic:cNvPicPr/>
                  </pic:nvPicPr>
                  <pic:blipFill>
                    <a:blip r:embed="rId23"/>
                    <a:stretch>
                      <a:fillRect/>
                    </a:stretch>
                  </pic:blipFill>
                  <pic:spPr>
                    <a:xfrm>
                      <a:off x="0" y="0"/>
                      <a:ext cx="2926080" cy="2836506"/>
                    </a:xfrm>
                    <a:prstGeom prst="rect"/>
                  </pic:spPr>
                </pic:pic>
              </a:graphicData>
            </a:graphic>
          </wp:inline>
        </w:drawing>
      </w:r>
    </w:p>
    <w:p>
      <w:pPr>
        <w:spacing w:after="160" w:line="264" w:lineRule="auto"/>
        <w:jc w:val="center"/>
      </w:pPr>
      <w:r>
        <w:rPr>
          <w:rFonts w:ascii="Comic Sans MS" w:hAnsi="Comic Sans MS" w:cs="Comic Sans MS"/>
          <w:b/>
          <w:i/>
          <w:color w:val="595959"/>
          <w:sz w:val="22"/>
        </w:rPr>
        <w:t>Fig. 13 : Spray-drying microencapsulation</w:t>
      </w:r>
    </w:p>
    <w:p>
      <w:pPr>
        <w:spacing w:before="140" w:after="60" w:line="276" w:lineRule="auto"/>
        <w:keepNext/>
      </w:pPr>
      <w:r>
        <w:rPr>
          <w:rFonts w:ascii="Comic Sans MS" w:hAnsi="Comic Sans MS" w:cs="Comic Sans MS"/>
          <w:b/>
          <w:color w:val="000000"/>
          <w:sz w:val="28"/>
        </w:rPr>
        <w:t>(c) Air-Suspension Coating (Wurster process) &amp; Pan Coating</w:t>
      </w:r>
    </w:p>
    <w:p>
      <w:pPr>
        <w:spacing w:after="160"/>
        <w:jc w:val="both"/>
      </w:pPr>
      <w:r>
        <w:rPr>
          <w:rFonts w:ascii="Comic Sans MS" w:hAnsi="Comic Sans MS" w:cs="Comic Sans MS"/>
          <w:b w:val="0"/>
          <w:i w:val="0"/>
          <w:color w:val="000000"/>
          <w:sz w:val="28"/>
        </w:rPr>
        <w:t>In pan coating, the solid cores (larger particles / tablets) are tumbled in a coating pan while the coating solution is sprayed and warm air dries the film. In the Wurster air-suspension technique, particles are suspended in an upward stream of air and the coating is sprayed and dried repeatedly as the particles circulate – giving very uniform films, ideal for controlled release.</w:t>
      </w:r>
    </w:p>
    <w:p>
      <w:pPr>
        <w:spacing w:before="80" w:after="40"/>
        <w:jc w:val="center"/>
      </w:pPr>
      <w:r>
        <w:drawing>
          <wp:inline xmlns:a="http://schemas.openxmlformats.org/drawingml/2006/main" xmlns:pic="http://schemas.openxmlformats.org/drawingml/2006/picture">
            <wp:extent cx="4754880" cy="2739394"/>
            <wp:docPr id="14" name="Picture 14"/>
            <wp:cNvGraphicFramePr>
              <a:graphicFrameLocks noChangeAspect="1"/>
            </wp:cNvGraphicFramePr>
            <a:graphic>
              <a:graphicData uri="http://schemas.openxmlformats.org/drawingml/2006/picture">
                <pic:pic>
                  <pic:nvPicPr>
                    <pic:cNvPr id="0" name="pan_coating.png"/>
                    <pic:cNvPicPr/>
                  </pic:nvPicPr>
                  <pic:blipFill>
                    <a:blip r:embed="rId24"/>
                    <a:stretch>
                      <a:fillRect/>
                    </a:stretch>
                  </pic:blipFill>
                  <pic:spPr>
                    <a:xfrm>
                      <a:off x="0" y="0"/>
                      <a:ext cx="4754880" cy="2739394"/>
                    </a:xfrm>
                    <a:prstGeom prst="rect"/>
                  </pic:spPr>
                </pic:pic>
              </a:graphicData>
            </a:graphic>
          </wp:inline>
        </w:drawing>
      </w:r>
    </w:p>
    <w:p>
      <w:pPr>
        <w:spacing w:after="160" w:line="264" w:lineRule="auto"/>
        <w:jc w:val="center"/>
      </w:pPr>
      <w:r>
        <w:rPr>
          <w:rFonts w:ascii="Comic Sans MS" w:hAnsi="Comic Sans MS" w:cs="Comic Sans MS"/>
          <w:b/>
          <w:i/>
          <w:color w:val="595959"/>
          <w:sz w:val="22"/>
        </w:rPr>
        <w:t>Fig. 14 : Pan coating and air-suspension (Wurster) coating</w:t>
      </w:r>
    </w:p>
    <w:p>
      <w:pPr>
        <w:spacing w:before="140" w:after="60" w:line="276" w:lineRule="auto"/>
        <w:keepNext/>
      </w:pPr>
      <w:r>
        <w:rPr>
          <w:rFonts w:ascii="Comic Sans MS" w:hAnsi="Comic Sans MS" w:cs="Comic Sans MS"/>
          <w:b/>
          <w:color w:val="000000"/>
          <w:sz w:val="28"/>
        </w:rPr>
        <w:t>(d) Other methods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Solvent evaporation : </w:t>
      </w:r>
      <w:r>
        <w:rPr>
          <w:rFonts w:ascii="Comic Sans MS" w:hAnsi="Comic Sans MS" w:cs="Comic Sans MS"/>
          <w:b w:val="0"/>
          <w:i w:val="0"/>
          <w:color w:val="000000"/>
          <w:sz w:val="28"/>
        </w:rPr>
        <w:t>polymer and drug are dissolved in a volatile organic solvent, emulsified in an aqueous phase and the solvent evaporated to harden the microspheres (common for PLGA microspheres).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Emulsification–cross-linking / ionotropic gelation : </w:t>
      </w:r>
      <w:r>
        <w:rPr>
          <w:rFonts w:ascii="Comic Sans MS" w:hAnsi="Comic Sans MS" w:cs="Comic Sans MS"/>
          <w:b w:val="0"/>
          <w:i w:val="0"/>
          <w:color w:val="000000"/>
          <w:sz w:val="28"/>
        </w:rPr>
        <w:t>e.g., alginate droplets gelled with calcium chloride; chitosan cross-linked with tripolyphosphate.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Interfacial &amp; in-situ polymerisation : </w:t>
      </w:r>
      <w:r>
        <w:rPr>
          <w:rFonts w:ascii="Comic Sans MS" w:hAnsi="Comic Sans MS" w:cs="Comic Sans MS"/>
          <w:b w:val="0"/>
          <w:i w:val="0"/>
          <w:color w:val="000000"/>
          <w:sz w:val="28"/>
        </w:rPr>
        <w:t>the shell is formed by polymerisation of monomers at the core surface.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Spray congealing : </w:t>
      </w:r>
      <w:r>
        <w:rPr>
          <w:rFonts w:ascii="Comic Sans MS" w:hAnsi="Comic Sans MS" w:cs="Comic Sans MS"/>
          <w:b w:val="0"/>
          <w:i w:val="0"/>
          <w:color w:val="000000"/>
          <w:sz w:val="28"/>
        </w:rPr>
        <w:t>a molten wax–drug dispersion is sprayed into cool air where it congeals.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Multiorifice-centrifugal &amp; pan-drying techniques.</w:t>
      </w:r>
      <w:r>
        <w:rPr>
          <w:rFonts w:ascii="Comic Sans MS" w:hAnsi="Comic Sans MS" w:cs="Comic Sans MS"/>
          <w:b w:val="0"/>
          <w:i w:val="0"/>
          <w:color w:val="000000"/>
          <w:sz w:val="28"/>
        </w:rPr>
      </w:r>
    </w:p>
    <w:p>
      <w:pPr>
        <w:spacing w:before="200" w:after="100" w:line="276" w:lineRule="auto"/>
        <w:keepNext/>
      </w:pPr>
      <w:r>
        <w:rPr>
          <w:rFonts w:ascii="Comic Sans MS" w:hAnsi="Comic Sans MS" w:cs="Comic Sans MS"/>
          <w:b/>
          <w:color w:val="FF0000"/>
          <w:sz w:val="32"/>
        </w:rPr>
        <w:t>3.6 Release &amp; Stability Kinetics</w:t>
      </w:r>
    </w:p>
    <w:p>
      <w:pPr>
        <w:spacing w:after="160"/>
        <w:jc w:val="both"/>
      </w:pPr>
      <w:r>
        <w:rPr>
          <w:rFonts w:ascii="Comic Sans MS" w:hAnsi="Comic Sans MS" w:cs="Comic Sans MS"/>
          <w:b w:val="0"/>
          <w:i w:val="0"/>
          <w:color w:val="000000"/>
          <w:sz w:val="28"/>
        </w:rPr>
        <w:t>Drug release from microcapsules occurs by diffusion through the wall, by dissolution / erosion of the wall, or by osmotic rupture. The release data are commonly fitted to kinetic models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Zero-order : </w:t>
      </w:r>
      <w:r>
        <w:rPr>
          <w:rFonts w:ascii="Comic Sans MS" w:hAnsi="Comic Sans MS" w:cs="Comic Sans MS"/>
          <w:b w:val="0"/>
          <w:i w:val="0"/>
          <w:color w:val="000000"/>
          <w:sz w:val="28"/>
        </w:rPr>
        <w:t>constant amount released per unit time (ideal CR).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First-order : </w:t>
      </w:r>
      <w:r>
        <w:rPr>
          <w:rFonts w:ascii="Comic Sans MS" w:hAnsi="Comic Sans MS" w:cs="Comic Sans MS"/>
          <w:b w:val="0"/>
          <w:i w:val="0"/>
          <w:color w:val="000000"/>
          <w:sz w:val="28"/>
        </w:rPr>
        <w:t>release proportional to the amount remaining.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Higuchi model : </w:t>
      </w:r>
      <w:r>
        <w:rPr>
          <w:rFonts w:ascii="Comic Sans MS" w:hAnsi="Comic Sans MS" w:cs="Comic Sans MS"/>
          <w:b w:val="0"/>
          <w:i w:val="0"/>
          <w:color w:val="000000"/>
          <w:sz w:val="28"/>
        </w:rPr>
        <w:t>release proportional to √t (matrix diffusion).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Korsmeyer–Peppas : </w:t>
      </w:r>
      <w:r>
        <w:rPr>
          <w:rFonts w:ascii="Comic Sans MS" w:hAnsi="Comic Sans MS" w:cs="Comic Sans MS"/>
          <w:b w:val="0"/>
          <w:i w:val="0"/>
          <w:color w:val="000000"/>
          <w:sz w:val="28"/>
        </w:rPr>
        <w:t>Mt/M∞ = k·tⁿ; the exponent n indicates the mechanism (Fickian diffusion when n ≤ 0.43 for spheres; anomalous / non-Fickian for intermediate n; case-II / erosion when n → 0.85).</w:t>
      </w:r>
    </w:p>
    <w:p>
      <w:pPr>
        <w:spacing w:after="160"/>
        <w:jc w:val="both"/>
      </w:pPr>
      <w:r>
        <w:rPr>
          <w:rFonts w:ascii="Comic Sans MS" w:hAnsi="Comic Sans MS" w:cs="Comic Sans MS"/>
          <w:b w:val="0"/>
          <w:i w:val="0"/>
          <w:color w:val="000000"/>
          <w:sz w:val="28"/>
        </w:rPr>
        <w:t>Stability kinetics assess how the encapsulated drug degrades on storage. Because the coat protects the core from moisture, oxygen and light, microencapsulation usually increases the shelf-life; the degradation still follows the appropriate reaction order and can be predicted from accelerated data using the Arrhenius relationship.</w:t>
      </w:r>
    </w:p>
    <w:p>
      <w:pPr>
        <w:spacing w:before="200" w:after="100" w:line="276" w:lineRule="auto"/>
        <w:keepNext/>
      </w:pPr>
      <w:r>
        <w:rPr>
          <w:rFonts w:ascii="Comic Sans MS" w:hAnsi="Comic Sans MS" w:cs="Comic Sans MS"/>
          <w:b/>
          <w:color w:val="FF0000"/>
          <w:sz w:val="32"/>
        </w:rPr>
        <w:t>3.7 Evaluation of Microcapsules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Particle size &amp; shape : </w:t>
      </w:r>
      <w:r>
        <w:rPr>
          <w:rFonts w:ascii="Comic Sans MS" w:hAnsi="Comic Sans MS" w:cs="Comic Sans MS"/>
          <w:b w:val="0"/>
          <w:i w:val="0"/>
          <w:color w:val="000000"/>
          <w:sz w:val="28"/>
        </w:rPr>
        <w:t>microscopy, sieving, laser diffraction, SEM.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Surface morphology : </w:t>
      </w:r>
      <w:r>
        <w:rPr>
          <w:rFonts w:ascii="Comic Sans MS" w:hAnsi="Comic Sans MS" w:cs="Comic Sans MS"/>
          <w:b w:val="0"/>
          <w:i w:val="0"/>
          <w:color w:val="000000"/>
          <w:sz w:val="28"/>
        </w:rPr>
        <w:t>scanning electron microscopy (SEM).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Wall thickness &amp; core-shell structure.</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Drug content / loading &amp; encapsulation efficiency.</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Flow properties : </w:t>
      </w:r>
      <w:r>
        <w:rPr>
          <w:rFonts w:ascii="Comic Sans MS" w:hAnsi="Comic Sans MS" w:cs="Comic Sans MS"/>
          <w:b w:val="0"/>
          <w:i w:val="0"/>
          <w:color w:val="000000"/>
          <w:sz w:val="28"/>
        </w:rPr>
        <w:t>angle of repose, Carr's index, Hausner ratio.</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In-vitro drug release / dissolution and kinetic modelling.</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Isolation &amp; envelope characteristics; residual solvent.</w:t>
      </w:r>
      <w:r>
        <w:rPr>
          <w:rFonts w:ascii="Comic Sans MS" w:hAnsi="Comic Sans MS" w:cs="Comic Sans MS"/>
          <w:b w:val="0"/>
          <w:i w:val="0"/>
          <w:color w:val="000000"/>
          <w:sz w:val="28"/>
        </w:rPr>
      </w:r>
    </w:p>
    <w:p>
      <w:pPr>
        <w:spacing w:before="40" w:after="120"/>
        <w:jc w:val="center"/>
      </w:pPr>
      <w:r>
        <w:rPr>
          <w:rFonts w:ascii="Comic Sans MS" w:hAnsi="Comic Sans MS" w:cs="Comic Sans MS"/>
          <w:b/>
          <w:color w:val="6A1B9A"/>
          <w:sz w:val="28"/>
        </w:rPr>
        <w:t>% Encapsulation efficiency = (Actual drug content / Theoretical drug content) × 100</w:t>
      </w:r>
    </w:p>
    <w:p>
      <w:pPr>
        <w:spacing w:before="200" w:after="100" w:line="276" w:lineRule="auto"/>
        <w:keepNext/>
      </w:pPr>
      <w:r>
        <w:rPr>
          <w:rFonts w:ascii="Comic Sans MS" w:hAnsi="Comic Sans MS" w:cs="Comic Sans MS"/>
          <w:b/>
          <w:color w:val="FF0000"/>
          <w:sz w:val="32"/>
        </w:rPr>
        <w:t>3.8 Applications of Microencapsulation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Sustained / controlled release of drugs (e.g., aspirin, KCl, theophylline).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Taste and odour masking (e.g., paracetamol, chloramphenicol).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Protection of unstable drugs (vitamins, prostaglandins).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Conversion of liquids to solids (cod-liver oil, vitamin A/E).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Separation of incompatible substances.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Reduction of gastric irritation and toxicity.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Preparation of injectable depot microspheres (leuprolide PLGA).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Use in carbonless copy paper, cosmetics and food industries.</w:t>
      </w:r>
    </w:p>
    <w:p>
      <w:r>
        <w:br w:type="page"/>
      </w:r>
    </w:p>
    <w:p>
      <w:pPr>
        <w:spacing w:before="200" w:after="100" w:line="276" w:lineRule="auto"/>
        <w:keepNext/>
      </w:pPr>
      <w:r>
        <w:rPr>
          <w:rFonts w:ascii="Comic Sans MS" w:hAnsi="Comic Sans MS" w:cs="Comic Sans MS"/>
          <w:b/>
          <w:color w:val="FF0000"/>
          <w:sz w:val="32"/>
        </w:rPr>
        <w:t>3.9 Classification of Microencapsulation Methods</w:t>
      </w:r>
    </w:p>
    <w:p>
      <w:pPr>
        <w:spacing w:after="160"/>
        <w:jc w:val="both"/>
      </w:pPr>
      <w:r>
        <w:rPr>
          <w:rFonts w:ascii="Comic Sans MS" w:hAnsi="Comic Sans MS" w:cs="Comic Sans MS"/>
          <w:b w:val="0"/>
          <w:i w:val="0"/>
          <w:color w:val="000000"/>
          <w:sz w:val="28"/>
        </w:rPr>
        <w:t>The many techniques are conveniently grouped as physical, physico-chemical and chemical methods according to the principle by which the wall is formed around the core.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59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Class</w:t>
            </w:r>
          </w:p>
        </w:tc>
        <w:tc>
          <w:tcPr>
            <w:tcW w:type="dxa" w:w="67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Methods</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Physical / mechanical</w:t>
            </w:r>
          </w:p>
        </w:tc>
        <w:tc>
          <w:tcPr>
            <w:tcW w:type="dxa" w:w="67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Spray drying, spray congealing, air-suspension (Wurster) coating, pan coating, multiorifice-centrifugal, fluid-bed coating</w:t>
            </w:r>
          </w:p>
        </w:tc>
      </w:tr>
      <w:tr>
        <w:tc>
          <w:tcPr>
            <w:tcW w:type="dxa" w:w="259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Physico-chemical</w:t>
            </w:r>
          </w:p>
        </w:tc>
        <w:tc>
          <w:tcPr>
            <w:tcW w:type="dxa" w:w="67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Simple &amp; complex coacervation, solvent evaporation, ionotropic gelation, supercritical-fluid, layer-by-layer</w:t>
            </w:r>
          </w:p>
        </w:tc>
      </w:tr>
      <w:tr>
        <w:tc>
          <w:tcPr>
            <w:tcW w:type="dxa" w:w="259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Chemical</w:t>
            </w:r>
          </w:p>
        </w:tc>
        <w:tc>
          <w:tcPr>
            <w:tcW w:type="dxa" w:w="67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Interfacial polymerisation, in-situ polymerisation, polycondensation</w:t>
            </w:r>
          </w:p>
        </w:tc>
      </w:tr>
    </w:tbl>
    <w:p>
      <w:pPr>
        <w:spacing w:after="40"/>
      </w:pPr>
    </w:p>
    <w:p>
      <w:pPr>
        <w:spacing w:before="140" w:after="60" w:line="276" w:lineRule="auto"/>
        <w:keepNext/>
      </w:pPr>
      <w:r>
        <w:rPr>
          <w:rFonts w:ascii="Comic Sans MS" w:hAnsi="Comic Sans MS" w:cs="Comic Sans MS"/>
          <w:b/>
          <w:color w:val="000000"/>
          <w:sz w:val="28"/>
        </w:rPr>
        <w:t>Simple vs Complex Coacervation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Feature</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Simple coacervation</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Complex coacervation</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Number of polymers</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One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Two (oppositely charged)</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Driving force</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Desolvation (salt, alcohol, heat)</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Electrostatic attraction</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Typical system</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Gelatin + sodium sulphate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Gelatin (+) + acacia (−)</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pH dependence</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Low</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Strongly pH-dependent</w:t>
            </w:r>
          </w:p>
        </w:tc>
      </w:tr>
    </w:tbl>
    <w:p>
      <w:pPr>
        <w:spacing w:after="40"/>
      </w:pPr>
    </w:p>
    <w:p>
      <w:pPr>
        <w:spacing w:after="160"/>
        <w:jc w:val="both"/>
      </w:pPr>
      <w:r>
        <w:rPr>
          <w:rFonts w:ascii="Comic Sans MS" w:hAnsi="Comic Sans MS" w:cs="Comic Sans MS"/>
          <w:b w:val="0"/>
          <w:i w:val="0"/>
          <w:color w:val="000000"/>
          <w:sz w:val="28"/>
        </w:rPr>
        <w:t>In complex coacervation, the pH is adjusted below the isoelectric point of gelatin so that gelatin becomes positively charged and interacts with negatively charged acacia; the neutralised complex separates as a coacervate that deposits around the core. The coating is then hardened (cross-linked) with formaldehyde or glutaraldehyde and cooling.</w:t>
      </w:r>
    </w:p>
    <w:p>
      <w:pPr>
        <w:spacing w:before="200" w:after="100" w:line="276" w:lineRule="auto"/>
        <w:keepNext/>
      </w:pPr>
      <w:r>
        <w:rPr>
          <w:rFonts w:ascii="Comic Sans MS" w:hAnsi="Comic Sans MS" w:cs="Comic Sans MS"/>
          <w:b/>
          <w:color w:val="FF0000"/>
          <w:sz w:val="32"/>
        </w:rPr>
        <w:t>3.10 Factors affecting Microencapsulation &amp; Release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Core : coat ratio : </w:t>
      </w:r>
      <w:r>
        <w:rPr>
          <w:rFonts w:ascii="Comic Sans MS" w:hAnsi="Comic Sans MS" w:cs="Comic Sans MS"/>
          <w:b w:val="0"/>
          <w:i w:val="0"/>
          <w:color w:val="000000"/>
          <w:sz w:val="28"/>
        </w:rPr>
        <w:t>influences wall thickness and hence release rate.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Wall material &amp; its molecular weight : </w:t>
      </w:r>
      <w:r>
        <w:rPr>
          <w:rFonts w:ascii="Comic Sans MS" w:hAnsi="Comic Sans MS" w:cs="Comic Sans MS"/>
          <w:b w:val="0"/>
          <w:i w:val="0"/>
          <w:color w:val="000000"/>
          <w:sz w:val="28"/>
        </w:rPr>
        <w:t>determine permeability and mechanical strength.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Particle size of the core : </w:t>
      </w:r>
      <w:r>
        <w:rPr>
          <w:rFonts w:ascii="Comic Sans MS" w:hAnsi="Comic Sans MS" w:cs="Comic Sans MS"/>
          <w:b w:val="0"/>
          <w:i w:val="0"/>
          <w:color w:val="000000"/>
          <w:sz w:val="28"/>
        </w:rPr>
        <w:t>smaller cores give larger surface area and faster release.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Method &amp; process variables : </w:t>
      </w:r>
      <w:r>
        <w:rPr>
          <w:rFonts w:ascii="Comic Sans MS" w:hAnsi="Comic Sans MS" w:cs="Comic Sans MS"/>
          <w:b w:val="0"/>
          <w:i w:val="0"/>
          <w:color w:val="000000"/>
          <w:sz w:val="28"/>
        </w:rPr>
        <w:t>temperature, stirring speed, rate of addition of non-solvent, pH.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Solvent &amp; hardening conditions.</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Cross-linking density : </w:t>
      </w:r>
      <w:r>
        <w:rPr>
          <w:rFonts w:ascii="Comic Sans MS" w:hAnsi="Comic Sans MS" w:cs="Comic Sans MS"/>
          <w:b w:val="0"/>
          <w:i w:val="0"/>
          <w:color w:val="000000"/>
          <w:sz w:val="28"/>
        </w:rPr>
        <w:t>higher cross-linking slows release.</w:t>
      </w:r>
    </w:p>
    <w:p>
      <w:pPr>
        <w:spacing w:before="200" w:after="100" w:line="276" w:lineRule="auto"/>
        <w:keepNext/>
      </w:pPr>
      <w:r>
        <w:rPr>
          <w:rFonts w:ascii="Comic Sans MS" w:hAnsi="Comic Sans MS" w:cs="Comic Sans MS"/>
          <w:b/>
          <w:color w:val="FF0000"/>
          <w:sz w:val="32"/>
        </w:rPr>
        <w:t>3.11 Microspheres in Advanced Delivery</w:t>
      </w:r>
    </w:p>
    <w:p>
      <w:pPr>
        <w:spacing w:after="160"/>
        <w:jc w:val="both"/>
      </w:pPr>
      <w:r>
        <w:rPr>
          <w:rFonts w:ascii="Comic Sans MS" w:hAnsi="Comic Sans MS" w:cs="Comic Sans MS"/>
          <w:b w:val="0"/>
          <w:i w:val="0"/>
          <w:color w:val="000000"/>
          <w:sz w:val="28"/>
        </w:rPr>
        <w:t>Polymeric microspheres (matrix type) are extensively used as injectable depot systems and as carriers for targeted delivery. Biodegradable PLGA microspheres of peptides (leuprolide, octreotide, triptorelin) provide once-monthly to once-3-monthly therapy. Albumin and starch microspheres, magnetic microspheres and mucoadhesive microspheres extend the concept to targeting. Bio-adhesive microspheres prolong residence at mucosal sites; magnetic microspheres can be localised by an external magnetic field.</w:t>
      </w:r>
    </w:p>
    <w:p>
      <w:pPr>
        <w:spacing w:before="200" w:after="100" w:line="276" w:lineRule="auto"/>
        <w:keepNext/>
      </w:pPr>
      <w:r>
        <w:rPr>
          <w:rFonts w:ascii="Comic Sans MS" w:hAnsi="Comic Sans MS" w:cs="Comic Sans MS"/>
          <w:b/>
          <w:color w:val="FF0000"/>
          <w:sz w:val="32"/>
        </w:rPr>
        <w:t>3.12 Marketed / Representative Products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32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Product principle</w:t>
            </w:r>
          </w:p>
        </w:tc>
        <w:tc>
          <w:tcPr>
            <w:tcW w:type="dxa" w:w="504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Example</w:t>
            </w:r>
          </w:p>
        </w:tc>
      </w:tr>
      <w:tr>
        <w:tc>
          <w:tcPr>
            <w:tcW w:type="dxa" w:w="43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Taste-masked micro-capsules</w:t>
            </w:r>
          </w:p>
        </w:tc>
        <w:tc>
          <w:tcPr>
            <w:tcW w:type="dxa" w:w="504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Micro-encapsulated paracetamol / aspirin</w:t>
            </w:r>
          </w:p>
        </w:tc>
      </w:tr>
      <w:tr>
        <w:tc>
          <w:tcPr>
            <w:tcW w:type="dxa" w:w="43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Sustained-release beads</w:t>
            </w:r>
          </w:p>
        </w:tc>
        <w:tc>
          <w:tcPr>
            <w:tcW w:type="dxa" w:w="504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Theo-Dur®, Spansule® capsules</w:t>
            </w:r>
          </w:p>
        </w:tc>
      </w:tr>
      <w:tr>
        <w:tc>
          <w:tcPr>
            <w:tcW w:type="dxa" w:w="432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Depot PLGA microspheres</w:t>
            </w:r>
          </w:p>
        </w:tc>
        <w:tc>
          <w:tcPr>
            <w:tcW w:type="dxa" w:w="504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Lupron Depot® (leuprolide)</w:t>
            </w:r>
          </w:p>
        </w:tc>
      </w:tr>
      <w:tr>
        <w:tc>
          <w:tcPr>
            <w:tcW w:type="dxa" w:w="432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Enteric micro-capsules</w:t>
            </w:r>
          </w:p>
        </w:tc>
        <w:tc>
          <w:tcPr>
            <w:tcW w:type="dxa" w:w="504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Enteric-coated omeprazole pellets</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Microencapsulation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Size range 1–1000 µm; below 1 µm = nanocapsule.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Complex coacervation classic pair = gelatin + acacia (gum arabic); hardened with glutaraldehyde.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Spray drying = fastest, single-step, good for heat-labile drugs (brief heat exposure).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Encapsulation efficiency = actual / theoretical drug content × 100.</w:t>
            </w:r>
          </w:p>
        </w:tc>
      </w:tr>
    </w:tbl>
    <w:p>
      <w:pPr>
        <w:spacing w:after="40"/>
      </w:pPr>
    </w:p>
    <w:p>
      <w:r>
        <w:br w:type="page"/>
      </w:r>
    </w:p>
    <w:p>
      <w:pPr>
        <w:spacing w:before="200" w:after="100" w:line="276" w:lineRule="auto"/>
        <w:keepNext/>
      </w:pPr>
      <w:r>
        <w:rPr>
          <w:rFonts w:ascii="Comic Sans MS" w:hAnsi="Comic Sans MS" w:cs="Comic Sans MS"/>
          <w:b/>
          <w:color w:val="FF0000"/>
          <w:sz w:val="32"/>
        </w:rPr>
        <w:t>3.13 Interfacial &amp; In-situ Polymerisation</w:t>
      </w:r>
    </w:p>
    <w:p>
      <w:pPr>
        <w:spacing w:after="160"/>
        <w:jc w:val="both"/>
      </w:pPr>
      <w:r>
        <w:rPr>
          <w:rFonts w:ascii="Comic Sans MS" w:hAnsi="Comic Sans MS" w:cs="Comic Sans MS"/>
          <w:b w:val="0"/>
          <w:i w:val="0"/>
          <w:color w:val="000000"/>
          <w:sz w:val="28"/>
        </w:rPr>
        <w:t>In interfacial polymerisation, two reactive monomers (one water-soluble, one oil-soluble) react at the interface of an emulsion droplet to form a polymeric membrane around the core (e.g., polyamide / nylon shells by the reaction of a diamine with a diacid chloride). In in-situ polymerisation the monomer is supplied from one phase only and polymerises on the core surface. Both give thin, uniform walls but may leave traces of reactive monomer, which must be controlled.</w:t>
      </w:r>
    </w:p>
    <w:p>
      <w:pPr>
        <w:spacing w:before="200" w:after="100" w:line="276" w:lineRule="auto"/>
        <w:keepNext/>
      </w:pPr>
      <w:r>
        <w:rPr>
          <w:rFonts w:ascii="Comic Sans MS" w:hAnsi="Comic Sans MS" w:cs="Comic Sans MS"/>
          <w:b/>
          <w:color w:val="FF0000"/>
          <w:sz w:val="32"/>
        </w:rPr>
        <w:t>3.14 Solvent Evaporation &amp; Ionotropic Gelation – Detail</w:t>
      </w:r>
    </w:p>
    <w:p>
      <w:pPr>
        <w:spacing w:after="160"/>
        <w:jc w:val="both"/>
      </w:pPr>
      <w:r>
        <w:rPr>
          <w:rFonts w:ascii="Comic Sans MS" w:hAnsi="Comic Sans MS" w:cs="Comic Sans MS"/>
          <w:b w:val="0"/>
          <w:i w:val="0"/>
          <w:color w:val="000000"/>
          <w:sz w:val="28"/>
        </w:rPr>
        <w:t>In the solvent-evaporation (emulsion) method, the polymer (e.g., PLGA, ethylcellulose) and drug are dissolved in a volatile, water-immiscible solvent (dichloromethane); this organic phase is emulsified into an aqueous phase containing a stabiliser (PVA). Continuous stirring and gentle heat evaporate the solvent, hardening the droplets into microspheres, which are washed and dried. It is the standard route to biodegradable PLGA microspheres.</w:t>
      </w:r>
    </w:p>
    <w:p>
      <w:pPr>
        <w:spacing w:after="160"/>
        <w:jc w:val="both"/>
      </w:pPr>
      <w:r>
        <w:rPr>
          <w:rFonts w:ascii="Comic Sans MS" w:hAnsi="Comic Sans MS" w:cs="Comic Sans MS"/>
          <w:b w:val="0"/>
          <w:i w:val="0"/>
          <w:color w:val="000000"/>
          <w:sz w:val="28"/>
        </w:rPr>
        <w:t>In ionotropic gelation, a solution of a polyelectrolyte (sodium alginate or chitosan) containing the drug is dropped into a solution of a counter-ion (calcium chloride or tripolyphosphate); instantaneous cross-linking forms gelled beads. It is mild, aqueous and free of organic solvents – ideal for proteins and cells.</w:t>
      </w:r>
    </w:p>
    <w:p>
      <w:pPr>
        <w:spacing w:before="200" w:after="100" w:line="276" w:lineRule="auto"/>
        <w:keepNext/>
      </w:pPr>
      <w:r>
        <w:rPr>
          <w:rFonts w:ascii="Comic Sans MS" w:hAnsi="Comic Sans MS" w:cs="Comic Sans MS"/>
          <w:b/>
          <w:color w:val="FF0000"/>
          <w:sz w:val="32"/>
        </w:rPr>
        <w:t>3.15 Multiorifice-Centrifugal &amp; Fluidised-Bed Methods</w:t>
      </w:r>
    </w:p>
    <w:p>
      <w:pPr>
        <w:spacing w:after="160"/>
        <w:jc w:val="both"/>
      </w:pPr>
      <w:r>
        <w:rPr>
          <w:rFonts w:ascii="Comic Sans MS" w:hAnsi="Comic Sans MS" w:cs="Comic Sans MS"/>
          <w:b w:val="0"/>
          <w:i w:val="0"/>
          <w:color w:val="000000"/>
          <w:sz w:val="28"/>
        </w:rPr>
        <w:t>In the multiorifice-centrifugal process (developed by the Southwest Research Institute), core and coating are passed through a rotating cylinder with orifices; centrifugal force ejects coated droplets that solidify in flight. Fluidised-bed / Wurster coating suspends the cores in an air stream and sprays the coating repeatedly, giving very uniform films, and is widely used industrially for controlled-release pellets.</w:t>
      </w:r>
    </w:p>
    <w:p>
      <w:pPr>
        <w:spacing w:before="200" w:after="100" w:line="276" w:lineRule="auto"/>
        <w:keepNext/>
      </w:pPr>
      <w:r>
        <w:rPr>
          <w:rFonts w:ascii="Comic Sans MS" w:hAnsi="Comic Sans MS" w:cs="Comic Sans MS"/>
          <w:b/>
          <w:color w:val="FF0000"/>
          <w:sz w:val="32"/>
        </w:rPr>
        <w:t>3.16 Nanoparticles &amp; Nanocapsules (brief)</w:t>
      </w:r>
    </w:p>
    <w:p>
      <w:pPr>
        <w:spacing w:after="160"/>
        <w:jc w:val="both"/>
      </w:pPr>
      <w:r>
        <w:rPr>
          <w:rFonts w:ascii="Comic Sans MS" w:hAnsi="Comic Sans MS" w:cs="Comic Sans MS"/>
          <w:b w:val="0"/>
          <w:i w:val="0"/>
          <w:color w:val="000000"/>
          <w:sz w:val="28"/>
        </w:rPr>
        <w:t>When the particle size is reduced below 1 µm, the product is a nanoparticle (matrix) or nanocapsule (reservoir). The very large surface area, the ability to cross biological barriers and the possibility of surface functionalisation make nanoparticles important for targeted and intracellular delivery, although the general principles of wall material and release kinetics remain those of microencapsulation.</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IV – Implants and Inserts</w:t>
      </w:r>
    </w:p>
    <w:p>
      <w:pPr>
        <w:spacing w:before="200" w:after="100" w:line="276" w:lineRule="auto"/>
        <w:keepNext/>
      </w:pPr>
      <w:r>
        <w:rPr>
          <w:rFonts w:ascii="Comic Sans MS" w:hAnsi="Comic Sans MS" w:cs="Comic Sans MS"/>
          <w:b/>
          <w:color w:val="FF0000"/>
          <w:sz w:val="32"/>
        </w:rPr>
        <w:t>4.1 Introduction &amp; Definition</w:t>
      </w:r>
    </w:p>
    <w:p>
      <w:pPr>
        <w:spacing w:after="160"/>
        <w:jc w:val="both"/>
      </w:pPr>
      <w:r>
        <w:rPr>
          <w:rFonts w:ascii="Comic Sans MS" w:hAnsi="Comic Sans MS" w:cs="Comic Sans MS"/>
          <w:b/>
          <w:i w:val="0"/>
          <w:color w:val="000000"/>
          <w:sz w:val="28"/>
        </w:rPr>
        <w:t xml:space="preserve">An implant </w:t>
      </w:r>
      <w:r>
        <w:rPr>
          <w:rFonts w:ascii="Comic Sans MS" w:hAnsi="Comic Sans MS" w:cs="Comic Sans MS"/>
          <w:b w:val="0"/>
          <w:i w:val="0"/>
          <w:color w:val="000000"/>
          <w:sz w:val="28"/>
        </w:rPr>
        <w:t xml:space="preserve">is a sterile, solid dosage form (device) of a suitable size and shape that is placed into the body – usually subcutaneously or intramuscularly – by injection or surgical insertion, where it releases the drug over a prolonged period (weeks to years). An </w:t>
      </w:r>
      <w:r>
        <w:rPr>
          <w:rFonts w:ascii="Comic Sans MS" w:hAnsi="Comic Sans MS" w:cs="Comic Sans MS"/>
          <w:b/>
          <w:i w:val="0"/>
          <w:color w:val="000000"/>
          <w:sz w:val="28"/>
        </w:rPr>
        <w:t xml:space="preserve">insert </w:t>
      </w:r>
      <w:r>
        <w:rPr>
          <w:rFonts w:ascii="Comic Sans MS" w:hAnsi="Comic Sans MS" w:cs="Comic Sans MS"/>
          <w:b w:val="0"/>
          <w:i w:val="0"/>
          <w:color w:val="000000"/>
          <w:sz w:val="28"/>
        </w:rPr>
        <w:t>is a similar rate-controlled device placed into a body cavity or orifice such as the eye (ocular insert), vagina (vaginal ring) or uterus (intra-uterine device).</w:t>
      </w:r>
    </w:p>
    <w:p>
      <w:pPr>
        <w:spacing w:after="160"/>
        <w:jc w:val="both"/>
      </w:pPr>
      <w:r>
        <w:rPr>
          <w:rFonts w:ascii="Comic Sans MS" w:hAnsi="Comic Sans MS" w:cs="Comic Sans MS"/>
          <w:b w:val="0"/>
          <w:i w:val="0"/>
          <w:color w:val="000000"/>
          <w:sz w:val="28"/>
        </w:rPr>
        <w:t>Implants and inserts are the ultimate long-acting controlled-release systems. Because they bypass the GI tract, they avoid first-pass metabolism and GI degradation, deliver at a constant (often zero-order) rate, and dramatically improve patient compliance (a single insertion may last months). Their chief limitations are the need for a minor surgical / invasive procedure for insertion (and sometimes removal), the risk of local tissue reaction, and the difficulty of terminating therapy abruptly.</w:t>
      </w:r>
    </w:p>
    <w:p>
      <w:pPr>
        <w:spacing w:before="80" w:after="40"/>
        <w:jc w:val="center"/>
      </w:pPr>
      <w:r>
        <w:drawing>
          <wp:inline xmlns:a="http://schemas.openxmlformats.org/drawingml/2006/main" xmlns:pic="http://schemas.openxmlformats.org/drawingml/2006/picture">
            <wp:extent cx="3108960" cy="3908249"/>
            <wp:docPr id="15" name="Picture 15"/>
            <wp:cNvGraphicFramePr>
              <a:graphicFrameLocks noChangeAspect="1"/>
            </wp:cNvGraphicFramePr>
            <a:graphic>
              <a:graphicData uri="http://schemas.openxmlformats.org/drawingml/2006/picture">
                <pic:pic>
                  <pic:nvPicPr>
                    <pic:cNvPr id="0" name="implant_sites.png"/>
                    <pic:cNvPicPr/>
                  </pic:nvPicPr>
                  <pic:blipFill>
                    <a:blip r:embed="rId25"/>
                    <a:stretch>
                      <a:fillRect/>
                    </a:stretch>
                  </pic:blipFill>
                  <pic:spPr>
                    <a:xfrm>
                      <a:off x="0" y="0"/>
                      <a:ext cx="3108960" cy="3908249"/>
                    </a:xfrm>
                    <a:prstGeom prst="rect"/>
                  </pic:spPr>
                </pic:pic>
              </a:graphicData>
            </a:graphic>
          </wp:inline>
        </w:drawing>
      </w:r>
    </w:p>
    <w:p>
      <w:pPr>
        <w:spacing w:after="160" w:line="264" w:lineRule="auto"/>
        <w:jc w:val="center"/>
      </w:pPr>
      <w:r>
        <w:rPr>
          <w:rFonts w:ascii="Comic Sans MS" w:hAnsi="Comic Sans MS" w:cs="Comic Sans MS"/>
          <w:b/>
          <w:i/>
          <w:color w:val="595959"/>
          <w:sz w:val="22"/>
        </w:rPr>
        <w:t>Fig. 15 : Common sites for implants and inserts in the body</w:t>
      </w:r>
    </w:p>
    <w:p>
      <w:pPr>
        <w:spacing w:before="140" w:after="60" w:line="276" w:lineRule="auto"/>
        <w:keepNext/>
      </w:pPr>
      <w:r>
        <w:rPr>
          <w:rFonts w:ascii="Comic Sans MS" w:hAnsi="Comic Sans MS" w:cs="Comic Sans MS"/>
          <w:b/>
          <w:color w:val="000000"/>
          <w:sz w:val="28"/>
        </w:rPr>
        <w:t>Classification of implantable systems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Non-biodegradable implants : </w:t>
      </w:r>
      <w:r>
        <w:rPr>
          <w:rFonts w:ascii="Comic Sans MS" w:hAnsi="Comic Sans MS" w:cs="Comic Sans MS"/>
          <w:b w:val="0"/>
          <w:i w:val="0"/>
          <w:color w:val="000000"/>
          <w:sz w:val="28"/>
        </w:rPr>
        <w:t>made of inert polymers (silicone / PDMS, ethylene-vinyl acetate, polyurethane); must be surgically removed after use (e.g., Norplant®).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Biodegradable implants : </w:t>
      </w:r>
      <w:r>
        <w:rPr>
          <w:rFonts w:ascii="Comic Sans MS" w:hAnsi="Comic Sans MS" w:cs="Comic Sans MS"/>
          <w:b w:val="0"/>
          <w:i w:val="0"/>
          <w:color w:val="000000"/>
          <w:sz w:val="28"/>
        </w:rPr>
        <w:t>made of erodible polymers (PLA, PLGA, polyanhydrides); do not require removal (e.g., Zoladex®, Gliadel® wafer).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Pump / osmotic implants : </w:t>
      </w:r>
      <w:r>
        <w:rPr>
          <w:rFonts w:ascii="Comic Sans MS" w:hAnsi="Comic Sans MS" w:cs="Comic Sans MS"/>
          <w:b w:val="0"/>
          <w:i w:val="0"/>
          <w:color w:val="000000"/>
          <w:sz w:val="28"/>
        </w:rPr>
        <w:t>e.g., the DUROS® osmotic implant and implantable infusion pumps that deliver at a programmable rate.</w:t>
      </w:r>
    </w:p>
    <w:p>
      <w:pPr>
        <w:spacing w:before="200" w:after="100" w:line="276" w:lineRule="auto"/>
        <w:keepNext/>
      </w:pPr>
      <w:r>
        <w:rPr>
          <w:rFonts w:ascii="Comic Sans MS" w:hAnsi="Comic Sans MS" w:cs="Comic Sans MS"/>
          <w:b/>
          <w:color w:val="FF0000"/>
          <w:sz w:val="32"/>
        </w:rPr>
        <w:t>4.2 Biocompatibility : Reaction of Host to Implant &amp; Implant to Host</w:t>
      </w:r>
    </w:p>
    <w:p>
      <w:pPr>
        <w:spacing w:after="160"/>
        <w:jc w:val="both"/>
      </w:pPr>
      <w:r>
        <w:rPr>
          <w:rFonts w:ascii="Comic Sans MS" w:hAnsi="Comic Sans MS" w:cs="Comic Sans MS"/>
          <w:b w:val="0"/>
          <w:i w:val="0"/>
          <w:color w:val="000000"/>
          <w:sz w:val="28"/>
        </w:rPr>
        <w:t>Biocompatibility is the ability of a material to perform with an appropriate host response in a specific application. Because an implant is a foreign body, the tissue and the implant interact in two directions.</w:t>
      </w:r>
    </w:p>
    <w:p>
      <w:pPr>
        <w:spacing w:before="140" w:after="60" w:line="276" w:lineRule="auto"/>
        <w:keepNext/>
      </w:pPr>
      <w:r>
        <w:rPr>
          <w:rFonts w:ascii="Comic Sans MS" w:hAnsi="Comic Sans MS" w:cs="Comic Sans MS"/>
          <w:b/>
          <w:color w:val="000000"/>
          <w:sz w:val="28"/>
        </w:rPr>
        <w:t>Reaction of the Host to the Implant (tissue response)</w:t>
      </w:r>
    </w:p>
    <w:p>
      <w:pPr>
        <w:spacing w:after="160"/>
        <w:jc w:val="both"/>
      </w:pPr>
      <w:r>
        <w:rPr>
          <w:rFonts w:ascii="Comic Sans MS" w:hAnsi="Comic Sans MS" w:cs="Comic Sans MS"/>
          <w:b w:val="0"/>
          <w:i w:val="0"/>
          <w:color w:val="000000"/>
          <w:sz w:val="28"/>
        </w:rPr>
        <w:t>When a device is implanted it causes injury and initiates the classical foreign-body reaction, which proceeds through the following overlapping stages :</w:t>
      </w:r>
    </w:p>
    <w:p>
      <w:pPr>
        <w:spacing w:before="80" w:after="40"/>
        <w:jc w:val="center"/>
      </w:pPr>
      <w:r>
        <w:drawing>
          <wp:inline xmlns:a="http://schemas.openxmlformats.org/drawingml/2006/main" xmlns:pic="http://schemas.openxmlformats.org/drawingml/2006/picture">
            <wp:extent cx="5120640" cy="2344745"/>
            <wp:docPr id="16" name="Picture 16"/>
            <wp:cNvGraphicFramePr>
              <a:graphicFrameLocks noChangeAspect="1"/>
            </wp:cNvGraphicFramePr>
            <a:graphic>
              <a:graphicData uri="http://schemas.openxmlformats.org/drawingml/2006/picture">
                <pic:pic>
                  <pic:nvPicPr>
                    <pic:cNvPr id="0" name="host_reaction.png"/>
                    <pic:cNvPicPr/>
                  </pic:nvPicPr>
                  <pic:blipFill>
                    <a:blip r:embed="rId26"/>
                    <a:stretch>
                      <a:fillRect/>
                    </a:stretch>
                  </pic:blipFill>
                  <pic:spPr>
                    <a:xfrm>
                      <a:off x="0" y="0"/>
                      <a:ext cx="5120640" cy="2344745"/>
                    </a:xfrm>
                    <a:prstGeom prst="rect"/>
                  </pic:spPr>
                </pic:pic>
              </a:graphicData>
            </a:graphic>
          </wp:inline>
        </w:drawing>
      </w:r>
    </w:p>
    <w:p>
      <w:pPr>
        <w:spacing w:after="160" w:line="264" w:lineRule="auto"/>
        <w:jc w:val="center"/>
      </w:pPr>
      <w:r>
        <w:rPr>
          <w:rFonts w:ascii="Comic Sans MS" w:hAnsi="Comic Sans MS" w:cs="Comic Sans MS"/>
          <w:b/>
          <w:i/>
          <w:color w:val="595959"/>
          <w:sz w:val="22"/>
        </w:rPr>
        <w:t>Fig. 16 : Sequence of host response (foreign-body reaction) to an implant</w:t>
      </w:r>
    </w:p>
    <w:p>
      <w:pPr>
        <w:spacing w:after="80"/>
        <w:ind w:left="576" w:hanging="403"/>
        <w:jc w:val="both"/>
      </w:pPr>
      <w:r>
        <w:rPr>
          <w:rFonts w:ascii="Comic Sans MS" w:hAnsi="Comic Sans MS" w:cs="Comic Sans MS"/>
          <w:b/>
          <w:sz w:val="28"/>
        </w:rPr>
        <w:t xml:space="preserve">1. </w:t>
      </w:r>
      <w:r>
        <w:rPr>
          <w:rFonts w:ascii="Comic Sans MS" w:hAnsi="Comic Sans MS" w:cs="Comic Sans MS"/>
          <w:b/>
          <w:i w:val="0"/>
          <w:color w:val="000000"/>
          <w:sz w:val="28"/>
        </w:rPr>
        <w:t xml:space="preserve">Injury &amp; protein adsorption : </w:t>
      </w:r>
      <w:r>
        <w:rPr>
          <w:rFonts w:ascii="Comic Sans MS" w:hAnsi="Comic Sans MS" w:cs="Comic Sans MS"/>
          <w:b w:val="0"/>
          <w:i w:val="0"/>
          <w:color w:val="000000"/>
          <w:sz w:val="28"/>
        </w:rPr>
        <w:t>implantation injures tissue; blood proteins immediately adsorb onto the surface forming a provisional matrix.</w:t>
      </w:r>
    </w:p>
    <w:p>
      <w:pPr>
        <w:spacing w:after="80"/>
        <w:ind w:left="576" w:hanging="403"/>
        <w:jc w:val="both"/>
      </w:pPr>
      <w:r>
        <w:rPr>
          <w:rFonts w:ascii="Comic Sans MS" w:hAnsi="Comic Sans MS" w:cs="Comic Sans MS"/>
          <w:b/>
          <w:sz w:val="28"/>
        </w:rPr>
        <w:t xml:space="preserve">2. </w:t>
      </w:r>
      <w:r>
        <w:rPr>
          <w:rFonts w:ascii="Comic Sans MS" w:hAnsi="Comic Sans MS" w:cs="Comic Sans MS"/>
          <w:b/>
          <w:i w:val="0"/>
          <w:color w:val="000000"/>
          <w:sz w:val="28"/>
        </w:rPr>
        <w:t xml:space="preserve">Acute inflammation : </w:t>
      </w:r>
      <w:r>
        <w:rPr>
          <w:rFonts w:ascii="Comic Sans MS" w:hAnsi="Comic Sans MS" w:cs="Comic Sans MS"/>
          <w:b w:val="0"/>
          <w:i w:val="0"/>
          <w:color w:val="000000"/>
          <w:sz w:val="28"/>
        </w:rPr>
        <w:t>neutrophils and exudate arrive (minutes to days).</w:t>
      </w:r>
    </w:p>
    <w:p>
      <w:pPr>
        <w:spacing w:after="80"/>
        <w:ind w:left="576" w:hanging="403"/>
        <w:jc w:val="both"/>
      </w:pPr>
      <w:r>
        <w:rPr>
          <w:rFonts w:ascii="Comic Sans MS" w:hAnsi="Comic Sans MS" w:cs="Comic Sans MS"/>
          <w:b/>
          <w:sz w:val="28"/>
        </w:rPr>
        <w:t xml:space="preserve">3. </w:t>
      </w:r>
      <w:r>
        <w:rPr>
          <w:rFonts w:ascii="Comic Sans MS" w:hAnsi="Comic Sans MS" w:cs="Comic Sans MS"/>
          <w:b/>
          <w:i w:val="0"/>
          <w:color w:val="000000"/>
          <w:sz w:val="28"/>
        </w:rPr>
        <w:t xml:space="preserve">Chronic inflammation : </w:t>
      </w:r>
      <w:r>
        <w:rPr>
          <w:rFonts w:ascii="Comic Sans MS" w:hAnsi="Comic Sans MS" w:cs="Comic Sans MS"/>
          <w:b w:val="0"/>
          <w:i w:val="0"/>
          <w:color w:val="000000"/>
          <w:sz w:val="28"/>
        </w:rPr>
        <w:t>monocytes / macrophages and lymphocytes predominate (days to weeks).</w:t>
      </w:r>
    </w:p>
    <w:p>
      <w:pPr>
        <w:spacing w:after="80"/>
        <w:ind w:left="576" w:hanging="403"/>
        <w:jc w:val="both"/>
      </w:pPr>
      <w:r>
        <w:rPr>
          <w:rFonts w:ascii="Comic Sans MS" w:hAnsi="Comic Sans MS" w:cs="Comic Sans MS"/>
          <w:b/>
          <w:sz w:val="28"/>
        </w:rPr>
        <w:t xml:space="preserve">4. </w:t>
      </w:r>
      <w:r>
        <w:rPr>
          <w:rFonts w:ascii="Comic Sans MS" w:hAnsi="Comic Sans MS" w:cs="Comic Sans MS"/>
          <w:b/>
          <w:i w:val="0"/>
          <w:color w:val="000000"/>
          <w:sz w:val="28"/>
        </w:rPr>
        <w:t xml:space="preserve">Granulation tissue : </w:t>
      </w:r>
      <w:r>
        <w:rPr>
          <w:rFonts w:ascii="Comic Sans MS" w:hAnsi="Comic Sans MS" w:cs="Comic Sans MS"/>
          <w:b w:val="0"/>
          <w:i w:val="0"/>
          <w:color w:val="000000"/>
          <w:sz w:val="28"/>
        </w:rPr>
        <w:t>fibroblasts and new capillaries proliferate.</w:t>
      </w:r>
    </w:p>
    <w:p>
      <w:pPr>
        <w:spacing w:after="80"/>
        <w:ind w:left="576" w:hanging="403"/>
        <w:jc w:val="both"/>
      </w:pPr>
      <w:r>
        <w:rPr>
          <w:rFonts w:ascii="Comic Sans MS" w:hAnsi="Comic Sans MS" w:cs="Comic Sans MS"/>
          <w:b/>
          <w:sz w:val="28"/>
        </w:rPr>
        <w:t xml:space="preserve">5. </w:t>
      </w:r>
      <w:r>
        <w:rPr>
          <w:rFonts w:ascii="Comic Sans MS" w:hAnsi="Comic Sans MS" w:cs="Comic Sans MS"/>
          <w:b/>
          <w:i w:val="0"/>
          <w:color w:val="000000"/>
          <w:sz w:val="28"/>
        </w:rPr>
        <w:t xml:space="preserve">Foreign-body giant cells : </w:t>
      </w:r>
      <w:r>
        <w:rPr>
          <w:rFonts w:ascii="Comic Sans MS" w:hAnsi="Comic Sans MS" w:cs="Comic Sans MS"/>
          <w:b w:val="0"/>
          <w:i w:val="0"/>
          <w:color w:val="000000"/>
          <w:sz w:val="28"/>
        </w:rPr>
        <w:t>macrophages fuse on the surface in an attempt to engulf the implant.</w:t>
      </w:r>
    </w:p>
    <w:p>
      <w:pPr>
        <w:spacing w:after="80"/>
        <w:ind w:left="576" w:hanging="403"/>
        <w:jc w:val="both"/>
      </w:pPr>
      <w:r>
        <w:rPr>
          <w:rFonts w:ascii="Comic Sans MS" w:hAnsi="Comic Sans MS" w:cs="Comic Sans MS"/>
          <w:b/>
          <w:sz w:val="28"/>
        </w:rPr>
        <w:t xml:space="preserve">6. </w:t>
      </w:r>
      <w:r>
        <w:rPr>
          <w:rFonts w:ascii="Comic Sans MS" w:hAnsi="Comic Sans MS" w:cs="Comic Sans MS"/>
          <w:b/>
          <w:i w:val="0"/>
          <w:color w:val="000000"/>
          <w:sz w:val="28"/>
        </w:rPr>
        <w:t xml:space="preserve">Fibrous encapsulation : </w:t>
      </w:r>
      <w:r>
        <w:rPr>
          <w:rFonts w:ascii="Comic Sans MS" w:hAnsi="Comic Sans MS" w:cs="Comic Sans MS"/>
          <w:b w:val="0"/>
          <w:i w:val="0"/>
          <w:color w:val="000000"/>
          <w:sz w:val="28"/>
        </w:rPr>
        <w:t>a collagenous fibrous capsule walls off the implant. A thick capsule can act as an additional diffusion barrier and slow release.</w:t>
      </w:r>
    </w:p>
    <w:p>
      <w:pPr>
        <w:spacing w:after="160"/>
        <w:jc w:val="both"/>
      </w:pPr>
      <w:r>
        <w:rPr>
          <w:rFonts w:ascii="Comic Sans MS" w:hAnsi="Comic Sans MS" w:cs="Comic Sans MS"/>
          <w:b w:val="0"/>
          <w:i w:val="0"/>
          <w:color w:val="000000"/>
          <w:sz w:val="28"/>
        </w:rPr>
        <w:t>The intensity of this response depends on the size, shape, surface chemistry, roughness, degradation products and the movement of the implant. A biocompatible material provokes only a thin, quiescent capsule.</w:t>
      </w:r>
    </w:p>
    <w:p>
      <w:pPr>
        <w:spacing w:before="140" w:after="60" w:line="276" w:lineRule="auto"/>
        <w:keepNext/>
      </w:pPr>
      <w:r>
        <w:rPr>
          <w:rFonts w:ascii="Comic Sans MS" w:hAnsi="Comic Sans MS" w:cs="Comic Sans MS"/>
          <w:b/>
          <w:color w:val="000000"/>
          <w:sz w:val="28"/>
        </w:rPr>
        <w:t>Reaction of the Implant to the Host (material response)</w:t>
      </w:r>
    </w:p>
    <w:p>
      <w:pPr>
        <w:spacing w:after="160"/>
        <w:jc w:val="both"/>
      </w:pPr>
      <w:r>
        <w:rPr>
          <w:rFonts w:ascii="Comic Sans MS" w:hAnsi="Comic Sans MS" w:cs="Comic Sans MS"/>
          <w:b w:val="0"/>
          <w:i w:val="0"/>
          <w:color w:val="000000"/>
          <w:sz w:val="28"/>
        </w:rPr>
        <w:t>Conversely, the biological environment acts on the implant : body fluids, enzymes, pH, ions and mechanical stress can cause the material to degrade, swell, corrode, leach additives, absorb lipids or lose mechanical strength. For biodegradable implants this degradation is intentional and controlled; for non-biodegradable implants any degradation is undesirable and may release toxic products. The degradation products must be non-toxic, non-carcinogenic and readily eliminated.</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Requirements of an ideal implant material</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Biocompatible, non-toxic, non-carcinogenic and non-allergenic.</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Chemically &amp; physically stable (or predictably biodegradable) in the body.</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Adequate mechanical strength; easy to sterilise; able to give the desired release rate.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Degradation products (if any) must be safe and eliminable.</w:t>
            </w:r>
          </w:p>
        </w:tc>
      </w:tr>
    </w:tbl>
    <w:p>
      <w:pPr>
        <w:spacing w:after="40"/>
      </w:pPr>
    </w:p>
    <w:p>
      <w:pPr>
        <w:spacing w:before="200" w:after="100" w:line="276" w:lineRule="auto"/>
        <w:keepNext/>
      </w:pPr>
      <w:r>
        <w:rPr>
          <w:rFonts w:ascii="Comic Sans MS" w:hAnsi="Comic Sans MS" w:cs="Comic Sans MS"/>
          <w:b/>
          <w:color w:val="FF0000"/>
          <w:sz w:val="32"/>
        </w:rPr>
        <w:t>4.3 Subcutaneous Implants</w:t>
      </w:r>
    </w:p>
    <w:p>
      <w:pPr>
        <w:spacing w:after="160"/>
        <w:jc w:val="both"/>
      </w:pPr>
      <w:r>
        <w:rPr>
          <w:rFonts w:ascii="Comic Sans MS" w:hAnsi="Comic Sans MS" w:cs="Comic Sans MS"/>
          <w:b w:val="0"/>
          <w:i w:val="0"/>
          <w:color w:val="000000"/>
          <w:sz w:val="28"/>
        </w:rPr>
        <w:t>Subcutaneous implants are small rods, pellets, capsules or discs inserted under the skin (usually of the upper arm) using a trocar or a minor incision. Because the subcutaneous tissue is relatively avascular and easily accessible, it is the preferred site for long-acting implants; insertion and removal are simple.</w:t>
      </w:r>
    </w:p>
    <w:p>
      <w:pPr>
        <w:spacing w:before="80" w:after="40"/>
        <w:jc w:val="center"/>
      </w:pPr>
      <w:r>
        <w:drawing>
          <wp:inline xmlns:a="http://schemas.openxmlformats.org/drawingml/2006/main" xmlns:pic="http://schemas.openxmlformats.org/drawingml/2006/picture">
            <wp:extent cx="4389120" cy="2767628"/>
            <wp:docPr id="17" name="Picture 17"/>
            <wp:cNvGraphicFramePr>
              <a:graphicFrameLocks noChangeAspect="1"/>
            </wp:cNvGraphicFramePr>
            <a:graphic>
              <a:graphicData uri="http://schemas.openxmlformats.org/drawingml/2006/picture">
                <pic:pic>
                  <pic:nvPicPr>
                    <pic:cNvPr id="0" name="implant_release.png"/>
                    <pic:cNvPicPr/>
                  </pic:nvPicPr>
                  <pic:blipFill>
                    <a:blip r:embed="rId27"/>
                    <a:stretch>
                      <a:fillRect/>
                    </a:stretch>
                  </pic:blipFill>
                  <pic:spPr>
                    <a:xfrm>
                      <a:off x="0" y="0"/>
                      <a:ext cx="4389120" cy="2767628"/>
                    </a:xfrm>
                    <a:prstGeom prst="rect"/>
                  </pic:spPr>
                </pic:pic>
              </a:graphicData>
            </a:graphic>
          </wp:inline>
        </w:drawing>
      </w:r>
    </w:p>
    <w:p>
      <w:pPr>
        <w:spacing w:after="160" w:line="264" w:lineRule="auto"/>
        <w:jc w:val="center"/>
      </w:pPr>
      <w:r>
        <w:rPr>
          <w:rFonts w:ascii="Comic Sans MS" w:hAnsi="Comic Sans MS" w:cs="Comic Sans MS"/>
          <w:b/>
          <w:i/>
          <w:color w:val="595959"/>
          <w:sz w:val="22"/>
        </w:rPr>
        <w:t>Fig. 17 : Zero-order release characteristic of a well-designed implant</w:t>
      </w:r>
    </w:p>
    <w:p>
      <w:pPr>
        <w:spacing w:before="140" w:after="60" w:line="276" w:lineRule="auto"/>
        <w:keepNext/>
      </w:pPr>
      <w:r>
        <w:rPr>
          <w:rFonts w:ascii="Comic Sans MS" w:hAnsi="Comic Sans MS" w:cs="Comic Sans MS"/>
          <w:b/>
          <w:color w:val="000000"/>
          <w:sz w:val="28"/>
        </w:rPr>
        <w:t>Design types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Reservoir (membrane) implants : </w:t>
      </w:r>
      <w:r>
        <w:rPr>
          <w:rFonts w:ascii="Comic Sans MS" w:hAnsi="Comic Sans MS" w:cs="Comic Sans MS"/>
          <w:b w:val="0"/>
          <w:i w:val="0"/>
          <w:color w:val="000000"/>
          <w:sz w:val="28"/>
        </w:rPr>
        <w:t>a drug core within a rate-controlling silicone or EVA membrane – gives near zero-order release (e.g., Norplant® levonorgestrel rods; Implanon® / Nexplanon® etonogestrel).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Matrix (monolithic) implants : </w:t>
      </w:r>
      <w:r>
        <w:rPr>
          <w:rFonts w:ascii="Comic Sans MS" w:hAnsi="Comic Sans MS" w:cs="Comic Sans MS"/>
          <w:b w:val="0"/>
          <w:i w:val="0"/>
          <w:color w:val="000000"/>
          <w:sz w:val="28"/>
        </w:rPr>
        <w:t>drug dispersed in a polymer rod; release declines with √t.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Biodegradable implants : </w:t>
      </w:r>
      <w:r>
        <w:rPr>
          <w:rFonts w:ascii="Comic Sans MS" w:hAnsi="Comic Sans MS" w:cs="Comic Sans MS"/>
          <w:b w:val="0"/>
          <w:i w:val="0"/>
          <w:color w:val="000000"/>
          <w:sz w:val="28"/>
        </w:rPr>
        <w:t>e.g., Zoladex® (goserelin in PLGA depot) for prostate cancer; no removal needed.</w:t>
      </w:r>
    </w:p>
    <w:p>
      <w:pPr>
        <w:spacing w:before="140" w:after="60" w:line="276" w:lineRule="auto"/>
        <w:keepNext/>
      </w:pPr>
      <w:r>
        <w:rPr>
          <w:rFonts w:ascii="Comic Sans MS" w:hAnsi="Comic Sans MS" w:cs="Comic Sans MS"/>
          <w:b/>
          <w:color w:val="000000"/>
          <w:sz w:val="28"/>
        </w:rPr>
        <w:t>Applications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Long-acting contraception (levonorgestrel, etonogestrel implants – up to 3–5 yr).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Hormone therapy (testosterone, estradiol pellets).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Cancer therapy (goserelin, leuprolide depots).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Narcotic antagonist / de-addiction (naltrexone implants).</w:t>
      </w:r>
    </w:p>
    <w:p>
      <w:pPr>
        <w:spacing w:before="200" w:after="100" w:line="276" w:lineRule="auto"/>
        <w:keepNext/>
      </w:pPr>
      <w:r>
        <w:rPr>
          <w:rFonts w:ascii="Comic Sans MS" w:hAnsi="Comic Sans MS" w:cs="Comic Sans MS"/>
          <w:b/>
          <w:color w:val="FF0000"/>
          <w:sz w:val="32"/>
        </w:rPr>
        <w:t>4.4 Intramuscular Implants &amp; Depot Injections</w:t>
      </w:r>
    </w:p>
    <w:p>
      <w:pPr>
        <w:spacing w:after="160"/>
        <w:jc w:val="both"/>
      </w:pPr>
      <w:r>
        <w:rPr>
          <w:rFonts w:ascii="Comic Sans MS" w:hAnsi="Comic Sans MS" w:cs="Comic Sans MS"/>
          <w:b w:val="0"/>
          <w:i w:val="0"/>
          <w:color w:val="000000"/>
          <w:sz w:val="28"/>
        </w:rPr>
        <w:t>The intramuscular site is highly vascular, so absorption is faster than from the subcutaneous site; it is therefore used for injectable depot systems (oily solutions, aqueous suspensions, microspheres and in-situ forming implants) rather than for solid rods that would be difficult to remove. Drug is released slowly by dissolution / partitioning from the depot.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Oily / esterified depots : </w:t>
      </w:r>
      <w:r>
        <w:rPr>
          <w:rFonts w:ascii="Comic Sans MS" w:hAnsi="Comic Sans MS" w:cs="Comic Sans MS"/>
          <w:b w:val="0"/>
          <w:i w:val="0"/>
          <w:color w:val="000000"/>
          <w:sz w:val="28"/>
        </w:rPr>
        <w:t>lipophilic esters in an oily vehicle (e.g., testosterone enanthate, fluphenazine decanoate) release drug over weeks.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Aqueous microcrystalline suspensions : </w:t>
      </w:r>
      <w:r>
        <w:rPr>
          <w:rFonts w:ascii="Comic Sans MS" w:hAnsi="Comic Sans MS" w:cs="Comic Sans MS"/>
          <w:b w:val="0"/>
          <w:i w:val="0"/>
          <w:color w:val="000000"/>
          <w:sz w:val="28"/>
        </w:rPr>
        <w:t>e.g., procaine penicillin, medroxyprogesterone acetate (Depo-Provera®).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Biodegradable microspheres : </w:t>
      </w:r>
      <w:r>
        <w:rPr>
          <w:rFonts w:ascii="Comic Sans MS" w:hAnsi="Comic Sans MS" w:cs="Comic Sans MS"/>
          <w:b w:val="0"/>
          <w:i w:val="0"/>
          <w:color w:val="000000"/>
          <w:sz w:val="28"/>
        </w:rPr>
        <w:t>PLGA microspheres of leuprolide (Lupron Depot®).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In-situ forming implants : </w:t>
      </w:r>
      <w:r>
        <w:rPr>
          <w:rFonts w:ascii="Comic Sans MS" w:hAnsi="Comic Sans MS" w:cs="Comic Sans MS"/>
          <w:b w:val="0"/>
          <w:i w:val="0"/>
          <w:color w:val="000000"/>
          <w:sz w:val="28"/>
        </w:rPr>
        <w:t>a polymer solution that solidifies into a depot on injection (e.g., Atrigel®, Eligard® leuprolide).</w:t>
      </w:r>
    </w:p>
    <w:p>
      <w:pPr>
        <w:spacing w:before="200" w:after="100" w:line="276" w:lineRule="auto"/>
        <w:keepNext/>
      </w:pPr>
      <w:r>
        <w:rPr>
          <w:rFonts w:ascii="Comic Sans MS" w:hAnsi="Comic Sans MS" w:cs="Comic Sans MS"/>
          <w:b/>
          <w:color w:val="FF0000"/>
          <w:sz w:val="32"/>
        </w:rPr>
        <w:t>4.5 Intra-ocular Inserts</w:t>
      </w:r>
    </w:p>
    <w:p>
      <w:pPr>
        <w:spacing w:after="160"/>
        <w:jc w:val="both"/>
      </w:pPr>
      <w:r>
        <w:rPr>
          <w:rFonts w:ascii="Comic Sans MS" w:hAnsi="Comic Sans MS" w:cs="Comic Sans MS"/>
          <w:b w:val="0"/>
          <w:i w:val="0"/>
          <w:color w:val="000000"/>
          <w:sz w:val="28"/>
        </w:rPr>
        <w:t>Conventional eye drops have very poor ocular bioavailability (&lt; 5 %) because of rapid drainage, tear turnover and naso-lacrimal loss, and give large pulses in concentration. Ocular inserts are solid or semisolid rate-controlled devices placed in the cul-de-sac (conjunctival sac) that release drug at a constant rate for prolonged periods, greatly improving bioavailability and patient compliance.</w:t>
      </w:r>
    </w:p>
    <w:p>
      <w:pPr>
        <w:spacing w:before="80" w:after="40"/>
        <w:jc w:val="center"/>
      </w:pPr>
      <w:r>
        <w:drawing>
          <wp:inline xmlns:a="http://schemas.openxmlformats.org/drawingml/2006/main" xmlns:pic="http://schemas.openxmlformats.org/drawingml/2006/picture">
            <wp:extent cx="3840480" cy="2439834"/>
            <wp:docPr id="18" name="Picture 18"/>
            <wp:cNvGraphicFramePr>
              <a:graphicFrameLocks noChangeAspect="1"/>
            </wp:cNvGraphicFramePr>
            <a:graphic>
              <a:graphicData uri="http://schemas.openxmlformats.org/drawingml/2006/picture">
                <pic:pic>
                  <pic:nvPicPr>
                    <pic:cNvPr id="0" name="ocular_insert.png"/>
                    <pic:cNvPicPr/>
                  </pic:nvPicPr>
                  <pic:blipFill>
                    <a:blip r:embed="rId28"/>
                    <a:stretch>
                      <a:fillRect/>
                    </a:stretch>
                  </pic:blipFill>
                  <pic:spPr>
                    <a:xfrm>
                      <a:off x="0" y="0"/>
                      <a:ext cx="3840480" cy="2439834"/>
                    </a:xfrm>
                    <a:prstGeom prst="rect"/>
                  </pic:spPr>
                </pic:pic>
              </a:graphicData>
            </a:graphic>
          </wp:inline>
        </w:drawing>
      </w:r>
    </w:p>
    <w:p>
      <w:pPr>
        <w:spacing w:after="160" w:line="264" w:lineRule="auto"/>
        <w:jc w:val="center"/>
      </w:pPr>
      <w:r>
        <w:rPr>
          <w:rFonts w:ascii="Comic Sans MS" w:hAnsi="Comic Sans MS" w:cs="Comic Sans MS"/>
          <w:b/>
          <w:i/>
          <w:color w:val="595959"/>
          <w:sz w:val="22"/>
        </w:rPr>
        <w:t>Fig. 18 : Ocusert® reservoir-type ocular insert (cross-section)</w:t>
      </w:r>
    </w:p>
    <w:p>
      <w:pPr>
        <w:spacing w:before="140" w:after="60" w:line="276" w:lineRule="auto"/>
        <w:keepNext/>
      </w:pPr>
      <w:r>
        <w:rPr>
          <w:rFonts w:ascii="Comic Sans MS" w:hAnsi="Comic Sans MS" w:cs="Comic Sans MS"/>
          <w:b/>
          <w:color w:val="000000"/>
          <w:sz w:val="28"/>
        </w:rPr>
        <w:t>Classification of ocular inserts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Insoluble inserts : </w:t>
      </w:r>
      <w:r>
        <w:rPr>
          <w:rFonts w:ascii="Comic Sans MS" w:hAnsi="Comic Sans MS" w:cs="Comic Sans MS"/>
          <w:b w:val="0"/>
          <w:i w:val="0"/>
          <w:color w:val="000000"/>
          <w:sz w:val="28"/>
        </w:rPr>
        <w:t>reservoir (Ocusert® Pilo – pilocarpine between two EVA membranes for glaucoma; zero-order for 7 days) and diffusional / osmotic types; must be removed.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Soluble inserts : </w:t>
      </w:r>
      <w:r>
        <w:rPr>
          <w:rFonts w:ascii="Comic Sans MS" w:hAnsi="Comic Sans MS" w:cs="Comic Sans MS"/>
          <w:b w:val="0"/>
          <w:i w:val="0"/>
          <w:color w:val="000000"/>
          <w:sz w:val="28"/>
        </w:rPr>
        <w:t>made of soluble natural or synthetic polymers (e.g., SODI®, Lacrisert® hydroxypropylcellulose) that dissolve and need no removal.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Bio-erodible inserts : </w:t>
      </w:r>
      <w:r>
        <w:rPr>
          <w:rFonts w:ascii="Comic Sans MS" w:hAnsi="Comic Sans MS" w:cs="Comic Sans MS"/>
          <w:b w:val="0"/>
          <w:i w:val="0"/>
          <w:color w:val="000000"/>
          <w:sz w:val="28"/>
        </w:rPr>
        <w:t>made of erodible polymers.</w:t>
      </w:r>
    </w:p>
    <w:p>
      <w:pPr>
        <w:spacing w:after="160"/>
        <w:jc w:val="both"/>
      </w:pPr>
      <w:r>
        <w:rPr>
          <w:rFonts w:ascii="Comic Sans MS" w:hAnsi="Comic Sans MS" w:cs="Comic Sans MS"/>
          <w:b w:val="0"/>
          <w:i w:val="0"/>
          <w:color w:val="000000"/>
          <w:sz w:val="28"/>
        </w:rPr>
        <w:t>Advantages : prolonged contact and increased bioavailability, accurate dosing, reduced systemic side effects and better compliance. Disadvantages : foreign-body sensation, occasional movement / loss of the insert and difficulty of self-insertion.</w:t>
      </w:r>
    </w:p>
    <w:p>
      <w:pPr>
        <w:spacing w:before="200" w:after="100" w:line="276" w:lineRule="auto"/>
        <w:keepNext/>
      </w:pPr>
      <w:r>
        <w:rPr>
          <w:rFonts w:ascii="Comic Sans MS" w:hAnsi="Comic Sans MS" w:cs="Comic Sans MS"/>
          <w:b/>
          <w:color w:val="FF0000"/>
          <w:sz w:val="32"/>
        </w:rPr>
        <w:t>4.6 Intra-vaginal Inserts (Vaginal Rings)</w:t>
      </w:r>
    </w:p>
    <w:p>
      <w:pPr>
        <w:spacing w:after="160"/>
        <w:jc w:val="both"/>
      </w:pPr>
      <w:r>
        <w:rPr>
          <w:rFonts w:ascii="Comic Sans MS" w:hAnsi="Comic Sans MS" w:cs="Comic Sans MS"/>
          <w:b w:val="0"/>
          <w:i w:val="0"/>
          <w:color w:val="000000"/>
          <w:sz w:val="28"/>
        </w:rPr>
        <w:t>The vaginal mucosa is richly vascularised and permeable, allowing systemic delivery that avoids the GI tract and first-pass metabolism, as well as local therapy. Vaginal rings are flexible, doughnut-shaped elastomeric (silicone / EVA) devices that a woman can insert and remove herself and that release steroids at a controlled rate for weeks to months.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Reservoir / core rings : </w:t>
      </w:r>
      <w:r>
        <w:rPr>
          <w:rFonts w:ascii="Comic Sans MS" w:hAnsi="Comic Sans MS" w:cs="Comic Sans MS"/>
          <w:b w:val="0"/>
          <w:i w:val="0"/>
          <w:color w:val="000000"/>
          <w:sz w:val="28"/>
        </w:rPr>
        <w:t>drug core surrounded by a rate-controlling sheath.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Matrix rings : </w:t>
      </w:r>
      <w:r>
        <w:rPr>
          <w:rFonts w:ascii="Comic Sans MS" w:hAnsi="Comic Sans MS" w:cs="Comic Sans MS"/>
          <w:b w:val="0"/>
          <w:i w:val="0"/>
          <w:color w:val="000000"/>
          <w:sz w:val="28"/>
        </w:rPr>
        <w:t>drug dispersed throughout the elastomer.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Examples : </w:t>
      </w:r>
      <w:r>
        <w:rPr>
          <w:rFonts w:ascii="Comic Sans MS" w:hAnsi="Comic Sans MS" w:cs="Comic Sans MS"/>
          <w:b w:val="0"/>
          <w:i w:val="0"/>
          <w:color w:val="000000"/>
          <w:sz w:val="28"/>
        </w:rPr>
        <w:t>NuvaRing® (etonogestrel + ethinyl-estradiol, monthly contraception); Estring® / Femring® (estradiol for menopausal therapy).</w:t>
      </w:r>
    </w:p>
    <w:p>
      <w:pPr>
        <w:spacing w:before="200" w:after="100" w:line="276" w:lineRule="auto"/>
        <w:keepNext/>
      </w:pPr>
      <w:r>
        <w:rPr>
          <w:rFonts w:ascii="Comic Sans MS" w:hAnsi="Comic Sans MS" w:cs="Comic Sans MS"/>
          <w:b/>
          <w:color w:val="FF0000"/>
          <w:sz w:val="32"/>
        </w:rPr>
        <w:t>4.7 Intra-uterine Systems (IUDs / IUS)</w:t>
      </w:r>
    </w:p>
    <w:p>
      <w:pPr>
        <w:spacing w:after="160"/>
        <w:jc w:val="both"/>
      </w:pPr>
      <w:r>
        <w:rPr>
          <w:rFonts w:ascii="Comic Sans MS" w:hAnsi="Comic Sans MS" w:cs="Comic Sans MS"/>
          <w:b w:val="0"/>
          <w:i w:val="0"/>
          <w:color w:val="000000"/>
          <w:sz w:val="28"/>
        </w:rPr>
        <w:t>Intra-uterine devices deliver drug directly to the uterine cavity, giving high local concentration with minimal systemic exposure, for very long durations (up to 5–10 years). Modern medicated intra-uterine systems combine the mechanical contraceptive action of the device with the pharmacological action of a released agent.</w:t>
      </w:r>
    </w:p>
    <w:p>
      <w:pPr>
        <w:spacing w:before="80" w:after="40"/>
        <w:jc w:val="center"/>
      </w:pPr>
      <w:r>
        <w:drawing>
          <wp:inline xmlns:a="http://schemas.openxmlformats.org/drawingml/2006/main" xmlns:pic="http://schemas.openxmlformats.org/drawingml/2006/picture">
            <wp:extent cx="2377440" cy="3028586"/>
            <wp:docPr id="19" name="Picture 19"/>
            <wp:cNvGraphicFramePr>
              <a:graphicFrameLocks noChangeAspect="1"/>
            </wp:cNvGraphicFramePr>
            <a:graphic>
              <a:graphicData uri="http://schemas.openxmlformats.org/drawingml/2006/picture">
                <pic:pic>
                  <pic:nvPicPr>
                    <pic:cNvPr id="0" name="iud_device.png"/>
                    <pic:cNvPicPr/>
                  </pic:nvPicPr>
                  <pic:blipFill>
                    <a:blip r:embed="rId29"/>
                    <a:stretch>
                      <a:fillRect/>
                    </a:stretch>
                  </pic:blipFill>
                  <pic:spPr>
                    <a:xfrm>
                      <a:off x="0" y="0"/>
                      <a:ext cx="2377440" cy="3028586"/>
                    </a:xfrm>
                    <a:prstGeom prst="rect"/>
                  </pic:spPr>
                </pic:pic>
              </a:graphicData>
            </a:graphic>
          </wp:inline>
        </w:drawing>
      </w:r>
    </w:p>
    <w:p>
      <w:pPr>
        <w:spacing w:after="160" w:line="264" w:lineRule="auto"/>
        <w:jc w:val="center"/>
      </w:pPr>
      <w:r>
        <w:rPr>
          <w:rFonts w:ascii="Comic Sans MS" w:hAnsi="Comic Sans MS" w:cs="Comic Sans MS"/>
          <w:b/>
          <w:i/>
          <w:color w:val="595959"/>
          <w:sz w:val="22"/>
        </w:rPr>
        <w:t>Fig. 19 : T-shaped medicated intra-uterine system (Progestasert® type)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Progesterone-releasing IUS : </w:t>
      </w:r>
      <w:r>
        <w:rPr>
          <w:rFonts w:ascii="Comic Sans MS" w:hAnsi="Comic Sans MS" w:cs="Comic Sans MS"/>
          <w:b w:val="0"/>
          <w:i w:val="0"/>
          <w:color w:val="000000"/>
          <w:sz w:val="28"/>
        </w:rPr>
        <w:t>Progestasert® released progesterone from a T-shaped reservoir for ~1 year.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Levonorgestrel IUS : </w:t>
      </w:r>
      <w:r>
        <w:rPr>
          <w:rFonts w:ascii="Comic Sans MS" w:hAnsi="Comic Sans MS" w:cs="Comic Sans MS"/>
          <w:b w:val="0"/>
          <w:i w:val="0"/>
          <w:color w:val="000000"/>
          <w:sz w:val="28"/>
        </w:rPr>
        <w:t>Mirena® releases levonorgestrel for up to 5 years; used for contraception and menorrhagia.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Copper IUDs : </w:t>
      </w:r>
      <w:r>
        <w:rPr>
          <w:rFonts w:ascii="Comic Sans MS" w:hAnsi="Comic Sans MS" w:cs="Comic Sans MS"/>
          <w:b w:val="0"/>
          <w:i w:val="0"/>
          <w:color w:val="000000"/>
          <w:sz w:val="28"/>
        </w:rPr>
        <w:t>release cupric ions that are spermicidal (e.g., CuT-380A).</w:t>
      </w:r>
    </w:p>
    <w:p>
      <w:pPr>
        <w:spacing w:after="160"/>
        <w:jc w:val="both"/>
      </w:pPr>
      <w:r>
        <w:rPr>
          <w:rFonts w:ascii="Comic Sans MS" w:hAnsi="Comic Sans MS" w:cs="Comic Sans MS"/>
          <w:b w:val="0"/>
          <w:i w:val="0"/>
          <w:color w:val="000000"/>
          <w:sz w:val="28"/>
        </w:rPr>
        <w:t>Advantages : very long action, high compliance, reversible, local action with low systemic levels. Disadvantages : insertion by a trained professional, risk of expulsion, uterine irritation, cramping or bleeding.</w:t>
      </w:r>
    </w:p>
    <w:p>
      <w:pPr>
        <w:spacing w:before="200" w:after="100" w:line="276" w:lineRule="auto"/>
        <w:keepNext/>
      </w:pPr>
      <w:r>
        <w:rPr>
          <w:rFonts w:ascii="Comic Sans MS" w:hAnsi="Comic Sans MS" w:cs="Comic Sans MS"/>
          <w:b/>
          <w:color w:val="FF0000"/>
          <w:sz w:val="32"/>
        </w:rPr>
        <w:t>4.8 Comparative Summary of Implant / Insert Sites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Site</w:t>
            </w:r>
          </w:p>
        </w:tc>
        <w:tc>
          <w:tcPr>
            <w:tcW w:type="dxa" w:w="31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Typical system</w:t>
            </w:r>
          </w:p>
        </w:tc>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Duration</w:t>
            </w:r>
          </w:p>
        </w:tc>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Example</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Subcutaneous</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Reservoir / matrix rod</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Months–years</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Norplant, Implanon</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Intramuscular</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Depot injection / microspheres</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Weeks–months</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Lupron Depot</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Intra-ocular</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Reservoir insert</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Up to 1 week+</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Ocusert Pilo</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Intra-vaginal</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Elastomeric ring</w:t>
            </w:r>
          </w:p>
        </w:tc>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Weeks–months</w:t>
            </w:r>
          </w:p>
        </w:tc>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NuvaRing, Estring</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Intra-uterine</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Medicated T-device</w:t>
            </w:r>
          </w:p>
        </w:tc>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1–10 years</w:t>
            </w:r>
          </w:p>
        </w:tc>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Mirena, Progestasert</w:t>
            </w:r>
          </w:p>
        </w:tc>
      </w:tr>
    </w:tbl>
    <w:p>
      <w:pPr>
        <w:spacing w:after="40"/>
      </w:pPr>
    </w:p>
    <w:p>
      <w:r>
        <w:br w:type="page"/>
      </w:r>
    </w:p>
    <w:p>
      <w:pPr>
        <w:spacing w:before="200" w:after="100" w:line="276" w:lineRule="auto"/>
        <w:keepNext/>
      </w:pPr>
      <w:r>
        <w:rPr>
          <w:rFonts w:ascii="Comic Sans MS" w:hAnsi="Comic Sans MS" w:cs="Comic Sans MS"/>
          <w:b/>
          <w:color w:val="FF0000"/>
          <w:sz w:val="32"/>
        </w:rPr>
        <w:t>4.9 Advantages &amp; Disadvantages of Implantable Systems</w:t>
      </w:r>
    </w:p>
    <w:p>
      <w:pPr>
        <w:spacing w:before="140" w:after="60" w:line="276" w:lineRule="auto"/>
        <w:keepNext/>
      </w:pPr>
      <w:r>
        <w:rPr>
          <w:rFonts w:ascii="Comic Sans MS" w:hAnsi="Comic Sans MS" w:cs="Comic Sans MS"/>
          <w:b/>
          <w:color w:val="000000"/>
          <w:sz w:val="28"/>
        </w:rPr>
        <w:t>Advantages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Very long duration of action (weeks to years) from a single administration.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Constant, often zero-order release and predictable plasma levels.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Bypass first-pass metabolism and GI degradation.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Excellent patient compliance; useful when oral therapy is unreliable.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Localised delivery with high local and low systemic concentration (inserts).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Lower total dose and fewer systemic side effects.</w:t>
      </w:r>
    </w:p>
    <w:p>
      <w:pPr>
        <w:spacing w:before="140" w:after="60" w:line="276" w:lineRule="auto"/>
        <w:keepNext/>
      </w:pPr>
      <w:r>
        <w:rPr>
          <w:rFonts w:ascii="Comic Sans MS" w:hAnsi="Comic Sans MS" w:cs="Comic Sans MS"/>
          <w:b/>
          <w:color w:val="000000"/>
          <w:sz w:val="28"/>
        </w:rPr>
        <w:t>Disadvantages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Require a minor surgical / invasive procedure for insertion (and removal of non-degradable types).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Risk of local tissue reaction, infection or fibrous encapsulation.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Difficult to terminate therapy quickly (device must be removed).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Possibility of dose dumping if a reservoir membrane ruptures.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Patient acceptability and cost.</w:t>
      </w:r>
    </w:p>
    <w:p>
      <w:pPr>
        <w:spacing w:before="200" w:after="100" w:line="276" w:lineRule="auto"/>
        <w:keepNext/>
      </w:pPr>
      <w:r>
        <w:rPr>
          <w:rFonts w:ascii="Comic Sans MS" w:hAnsi="Comic Sans MS" w:cs="Comic Sans MS"/>
          <w:b/>
          <w:color w:val="FF0000"/>
          <w:sz w:val="32"/>
        </w:rPr>
        <w:t>4.10 Biodegradable Polymers for Implants</w:t>
      </w:r>
    </w:p>
    <w:p>
      <w:pPr>
        <w:spacing w:after="160"/>
        <w:jc w:val="both"/>
      </w:pPr>
      <w:r>
        <w:rPr>
          <w:rFonts w:ascii="Comic Sans MS" w:hAnsi="Comic Sans MS" w:cs="Comic Sans MS"/>
          <w:b w:val="0"/>
          <w:i w:val="0"/>
          <w:color w:val="000000"/>
          <w:sz w:val="28"/>
        </w:rPr>
        <w:t>Biodegradable implants avoid the need for surgical removal. The most important polymers are the aliphatic polyesters PLA, PGA and their copolymer PLGA, which hydrolyse to lactic and glycolic acids that enter normal metabolic pathways.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PLA / PGA / PLGA : </w:t>
      </w:r>
      <w:r>
        <w:rPr>
          <w:rFonts w:ascii="Comic Sans MS" w:hAnsi="Comic Sans MS" w:cs="Comic Sans MS"/>
          <w:b w:val="0"/>
          <w:i w:val="0"/>
          <w:color w:val="000000"/>
          <w:sz w:val="28"/>
        </w:rPr>
        <w:t>degrade by bulk hydrolysis of ester bonds; the lactide : glycolide ratio and molecular weight control the degradation time (weeks to months). Higher glycolide content degrades faster.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Polyanhydrides &amp; poly-ortho-esters : </w:t>
      </w:r>
      <w:r>
        <w:rPr>
          <w:rFonts w:ascii="Comic Sans MS" w:hAnsi="Comic Sans MS" w:cs="Comic Sans MS"/>
          <w:b w:val="0"/>
          <w:i w:val="0"/>
          <w:color w:val="000000"/>
          <w:sz w:val="28"/>
        </w:rPr>
        <w:t>degrade by surface erosion, giving more nearly zero-order release (e.g., Gliadel® carmustine wafer for brain tumours).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Poly-ε-caprolactone : </w:t>
      </w:r>
      <w:r>
        <w:rPr>
          <w:rFonts w:ascii="Comic Sans MS" w:hAnsi="Comic Sans MS" w:cs="Comic Sans MS"/>
          <w:b w:val="0"/>
          <w:i w:val="0"/>
          <w:color w:val="000000"/>
          <w:sz w:val="28"/>
        </w:rPr>
        <w:t>very slow degradation – suited to long-term (&gt; 1 yr) systems (e.g., Capronor® contraceptive).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Natural polymers : </w:t>
      </w:r>
      <w:r>
        <w:rPr>
          <w:rFonts w:ascii="Comic Sans MS" w:hAnsi="Comic Sans MS" w:cs="Comic Sans MS"/>
          <w:b w:val="0"/>
          <w:i w:val="0"/>
          <w:color w:val="000000"/>
          <w:sz w:val="28"/>
        </w:rPr>
        <w:t>collagen, gelatin, albumin and chitosan.</w:t>
      </w:r>
    </w:p>
    <w:p>
      <w:pPr>
        <w:spacing w:before="200" w:after="100" w:line="276" w:lineRule="auto"/>
        <w:keepNext/>
      </w:pPr>
      <w:r>
        <w:rPr>
          <w:rFonts w:ascii="Comic Sans MS" w:hAnsi="Comic Sans MS" w:cs="Comic Sans MS"/>
          <w:b/>
          <w:color w:val="FF0000"/>
          <w:sz w:val="32"/>
        </w:rPr>
        <w:t>4.11 In-Situ Forming Implants</w:t>
      </w:r>
    </w:p>
    <w:p>
      <w:pPr>
        <w:spacing w:after="160"/>
        <w:jc w:val="both"/>
      </w:pPr>
      <w:r>
        <w:rPr>
          <w:rFonts w:ascii="Comic Sans MS" w:hAnsi="Comic Sans MS" w:cs="Comic Sans MS"/>
          <w:b w:val="0"/>
          <w:i w:val="0"/>
          <w:color w:val="000000"/>
          <w:sz w:val="28"/>
        </w:rPr>
        <w:t>These are injectable liquid systems that transform into a solid or semisolid depot after administration, avoiding surgery. Formation can be triggered by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Solvent removal / phase inversion : </w:t>
      </w:r>
      <w:r>
        <w:rPr>
          <w:rFonts w:ascii="Comic Sans MS" w:hAnsi="Comic Sans MS" w:cs="Comic Sans MS"/>
          <w:b w:val="0"/>
          <w:i w:val="0"/>
          <w:color w:val="000000"/>
          <w:sz w:val="28"/>
        </w:rPr>
        <w:t>a polymer (PLGA) dissolved in a biocompatible solvent (NMP) precipitates as the solvent diffuses away (Atrigel® / Eligard®).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Thermal gelation : </w:t>
      </w:r>
      <w:r>
        <w:rPr>
          <w:rFonts w:ascii="Comic Sans MS" w:hAnsi="Comic Sans MS" w:cs="Comic Sans MS"/>
          <w:b w:val="0"/>
          <w:i w:val="0"/>
          <w:color w:val="000000"/>
          <w:sz w:val="28"/>
        </w:rPr>
        <w:t>a polymer solution (e.g., poloxamer) that is liquid at room temperature and gels at body temperature.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In-situ cross-linking : </w:t>
      </w:r>
      <w:r>
        <w:rPr>
          <w:rFonts w:ascii="Comic Sans MS" w:hAnsi="Comic Sans MS" w:cs="Comic Sans MS"/>
          <w:b w:val="0"/>
          <w:i w:val="0"/>
          <w:color w:val="000000"/>
          <w:sz w:val="28"/>
        </w:rPr>
        <w:t>chemical or photo cross-linking after injection.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Ionic gelation : </w:t>
      </w:r>
      <w:r>
        <w:rPr>
          <w:rFonts w:ascii="Comic Sans MS" w:hAnsi="Comic Sans MS" w:cs="Comic Sans MS"/>
          <w:b w:val="0"/>
          <w:i w:val="0"/>
          <w:color w:val="000000"/>
          <w:sz w:val="28"/>
        </w:rPr>
        <w:t>alginate gelling with body calcium.</w:t>
      </w:r>
    </w:p>
    <w:p>
      <w:pPr>
        <w:spacing w:before="200" w:after="100" w:line="276" w:lineRule="auto"/>
        <w:keepNext/>
      </w:pPr>
      <w:r>
        <w:rPr>
          <w:rFonts w:ascii="Comic Sans MS" w:hAnsi="Comic Sans MS" w:cs="Comic Sans MS"/>
          <w:b/>
          <w:color w:val="FF0000"/>
          <w:sz w:val="32"/>
        </w:rPr>
        <w:t>4.12 Implantable Pumps</w:t>
      </w:r>
    </w:p>
    <w:p>
      <w:pPr>
        <w:spacing w:after="160"/>
        <w:jc w:val="both"/>
      </w:pPr>
      <w:r>
        <w:rPr>
          <w:rFonts w:ascii="Comic Sans MS" w:hAnsi="Comic Sans MS" w:cs="Comic Sans MS"/>
          <w:b w:val="0"/>
          <w:i w:val="0"/>
          <w:color w:val="000000"/>
          <w:sz w:val="28"/>
        </w:rPr>
        <w:t>Implantable pumps deliver drug at a programmable or constant rate for very long periods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Osmotic implantable pumps : </w:t>
      </w:r>
      <w:r>
        <w:rPr>
          <w:rFonts w:ascii="Comic Sans MS" w:hAnsi="Comic Sans MS" w:cs="Comic Sans MS"/>
          <w:b w:val="0"/>
          <w:i w:val="0"/>
          <w:color w:val="000000"/>
          <w:sz w:val="28"/>
        </w:rPr>
        <w:t>the DUROS® system and the ALZET® research pump use osmosis to deliver at a constant rate for months (e.g., Viadur® leuprolide for 12 months).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Infusion / peristaltic pumps : </w:t>
      </w:r>
      <w:r>
        <w:rPr>
          <w:rFonts w:ascii="Comic Sans MS" w:hAnsi="Comic Sans MS" w:cs="Comic Sans MS"/>
          <w:b w:val="0"/>
          <w:i w:val="0"/>
          <w:color w:val="000000"/>
          <w:sz w:val="28"/>
        </w:rPr>
        <w:t>electromechanical pumps for insulin, chemotherapy or intrathecal analgesia (baclofen, morphine).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Programmable pumps : </w:t>
      </w:r>
      <w:r>
        <w:rPr>
          <w:rFonts w:ascii="Comic Sans MS" w:hAnsi="Comic Sans MS" w:cs="Comic Sans MS"/>
          <w:b w:val="0"/>
          <w:i w:val="0"/>
          <w:color w:val="000000"/>
          <w:sz w:val="28"/>
        </w:rPr>
        <w:t>allow the rate to be changed non-invasively by telemetry.</w:t>
      </w:r>
    </w:p>
    <w:p>
      <w:pPr>
        <w:spacing w:before="200" w:after="100" w:line="276" w:lineRule="auto"/>
        <w:keepNext/>
      </w:pPr>
      <w:r>
        <w:rPr>
          <w:rFonts w:ascii="Comic Sans MS" w:hAnsi="Comic Sans MS" w:cs="Comic Sans MS"/>
          <w:b/>
          <w:color w:val="FF0000"/>
          <w:sz w:val="32"/>
        </w:rPr>
        <w:t>4.13 Sterilisation &amp; Evaluation of Implants</w:t>
      </w:r>
    </w:p>
    <w:p>
      <w:pPr>
        <w:spacing w:after="160"/>
        <w:jc w:val="both"/>
      </w:pPr>
      <w:r>
        <w:rPr>
          <w:rFonts w:ascii="Comic Sans MS" w:hAnsi="Comic Sans MS" w:cs="Comic Sans MS"/>
          <w:b w:val="0"/>
          <w:i w:val="0"/>
          <w:color w:val="000000"/>
          <w:sz w:val="28"/>
        </w:rPr>
        <w:t>Because implants are placed in sterile tissue, they must themselves be sterile and free of pyrogens. Terminal sterilisation is preferred; heat-labile biodegradable polymers are often sterilised by gamma-irradiation or aseptically processed. Gamma-irradiation, however, can accelerate degradation of PLGA and must be validated.</w:t>
      </w:r>
    </w:p>
    <w:p>
      <w:pPr>
        <w:spacing w:before="140" w:after="60" w:line="276" w:lineRule="auto"/>
        <w:keepNext/>
      </w:pPr>
      <w:r>
        <w:rPr>
          <w:rFonts w:ascii="Comic Sans MS" w:hAnsi="Comic Sans MS" w:cs="Comic Sans MS"/>
          <w:b/>
          <w:color w:val="000000"/>
          <w:sz w:val="28"/>
        </w:rPr>
        <w:t>Evaluation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Physical : </w:t>
      </w:r>
      <w:r>
        <w:rPr>
          <w:rFonts w:ascii="Comic Sans MS" w:hAnsi="Comic Sans MS" w:cs="Comic Sans MS"/>
          <w:b w:val="0"/>
          <w:i w:val="0"/>
          <w:color w:val="000000"/>
          <w:sz w:val="28"/>
        </w:rPr>
        <w:t>dimensions, weight, surface morphology (SEM), mechanical strength.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Drug content &amp; uniformity.</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In-vitro release : </w:t>
      </w:r>
      <w:r>
        <w:rPr>
          <w:rFonts w:ascii="Comic Sans MS" w:hAnsi="Comic Sans MS" w:cs="Comic Sans MS"/>
          <w:b w:val="0"/>
          <w:i w:val="0"/>
          <w:color w:val="000000"/>
          <w:sz w:val="28"/>
        </w:rPr>
        <w:t>in a suitable medium, fitted to kinetic models; accelerated release testing at elevated temperature.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Degradation studies : </w:t>
      </w:r>
      <w:r>
        <w:rPr>
          <w:rFonts w:ascii="Comic Sans MS" w:hAnsi="Comic Sans MS" w:cs="Comic Sans MS"/>
          <w:b w:val="0"/>
          <w:i w:val="0"/>
          <w:color w:val="000000"/>
          <w:sz w:val="28"/>
        </w:rPr>
        <w:t>molecular-weight loss, mass loss, morphology over time (for biodegradable types).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Sterility &amp; pyrogen (endotoxin) tests.</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Biocompatibility / tissue-irritation studies in animals.</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In-vivo release &amp; pharmacokinetics.</w:t>
      </w:r>
      <w:r>
        <w:rPr>
          <w:rFonts w:ascii="Comic Sans MS" w:hAnsi="Comic Sans MS" w:cs="Comic Sans MS"/>
          <w:b w:val="0"/>
          <w:i w:val="0"/>
          <w:color w:val="000000"/>
          <w:sz w:val="28"/>
        </w:rPr>
      </w:r>
    </w:p>
    <w:p>
      <w:pPr>
        <w:spacing w:before="200" w:after="100" w:line="276" w:lineRule="auto"/>
        <w:keepNext/>
      </w:pPr>
      <w:r>
        <w:rPr>
          <w:rFonts w:ascii="Comic Sans MS" w:hAnsi="Comic Sans MS" w:cs="Comic Sans MS"/>
          <w:b/>
          <w:color w:val="FF0000"/>
          <w:sz w:val="32"/>
        </w:rPr>
        <w:t>4.14 Representative Marketed Implants &amp; Inserts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Product</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Drug / use</w:t>
            </w:r>
          </w:p>
        </w:tc>
        <w:tc>
          <w:tcPr>
            <w:tcW w:type="dxa" w:w="302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Type</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Norplant®</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Levonorgestrel (contraception)</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Non-degradable s.c. rods</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Implanon / Nexplanon®</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Etonogestrel (contraception)</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s.c. rod</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Zoladex®</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Goserelin (prostate cancer)</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Biodegradable s.c. depot</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Gliadel® wafer</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Carmustine (brain tumour)</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Biodegradable (polyanhydride)</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Ocusert® Pilo</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Pilocarpine (glaucoma)</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Ocular reservoir insert</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Vitrasert®</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Ganciclovir (CMV retinitis)</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Intra-ocular implant</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Mirena®</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Levonorgestrel (5 yr)</w:t>
            </w:r>
          </w:p>
        </w:tc>
        <w:tc>
          <w:tcPr>
            <w:tcW w:type="dxa" w:w="302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Intra-uterine system</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NuvaRing®</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Etonogestrel + estrogen</w:t>
            </w:r>
          </w:p>
        </w:tc>
        <w:tc>
          <w:tcPr>
            <w:tcW w:type="dxa" w:w="302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Vaginal ring</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Implants &amp; Inserts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Foreign-body reaction ends in fibrous encapsulation – a thick capsule slows release.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PLGA = bulk erosion; polyanhydrides / poly-ortho-esters = surface erosion (nearer zero-order).</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Ocusert delivers pilocarpine at zero-order for 7 days using EVA membranes.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Mirena (levonorgestrel IUS) acts up to 5 years; Progestasert released progesterone for ~1 year.</w:t>
            </w:r>
          </w:p>
        </w:tc>
      </w:tr>
    </w:tbl>
    <w:p>
      <w:pPr>
        <w:spacing w:after="40"/>
      </w:pPr>
    </w:p>
    <w:p>
      <w:r>
        <w:br w:type="page"/>
      </w:r>
    </w:p>
    <w:p>
      <w:pPr>
        <w:spacing w:before="200" w:after="100" w:line="276" w:lineRule="auto"/>
        <w:keepNext/>
      </w:pPr>
      <w:r>
        <w:rPr>
          <w:rFonts w:ascii="Comic Sans MS" w:hAnsi="Comic Sans MS" w:cs="Comic Sans MS"/>
          <w:b/>
          <w:color w:val="FF0000"/>
          <w:sz w:val="32"/>
        </w:rPr>
        <w:t>4.15 Ocular Anatomy &amp; Barriers to Ocular Delivery</w:t>
      </w:r>
    </w:p>
    <w:p>
      <w:pPr>
        <w:spacing w:after="160"/>
        <w:jc w:val="both"/>
      </w:pPr>
      <w:r>
        <w:rPr>
          <w:rFonts w:ascii="Comic Sans MS" w:hAnsi="Comic Sans MS" w:cs="Comic Sans MS"/>
          <w:b w:val="0"/>
          <w:i w:val="0"/>
          <w:color w:val="000000"/>
          <w:sz w:val="28"/>
        </w:rPr>
        <w:t>The design of ocular inserts is dictated by the anatomy and protective mechanisms of the eye, which make conventional topical delivery very inefficient.</w:t>
      </w:r>
    </w:p>
    <w:p>
      <w:pPr>
        <w:spacing w:before="140" w:after="60" w:line="276" w:lineRule="auto"/>
        <w:keepNext/>
      </w:pPr>
      <w:r>
        <w:rPr>
          <w:rFonts w:ascii="Comic Sans MS" w:hAnsi="Comic Sans MS" w:cs="Comic Sans MS"/>
          <w:b/>
          <w:color w:val="000000"/>
          <w:sz w:val="28"/>
        </w:rPr>
        <w:t>Pre-corneal factors limiting bioavailability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Rapid solution drainage : </w:t>
      </w:r>
      <w:r>
        <w:rPr>
          <w:rFonts w:ascii="Comic Sans MS" w:hAnsi="Comic Sans MS" w:cs="Comic Sans MS"/>
          <w:b w:val="0"/>
          <w:i w:val="0"/>
          <w:color w:val="000000"/>
          <w:sz w:val="28"/>
        </w:rPr>
        <w:t>the eye holds only ~7–10 µL; an instilled drop (~50 µL) is largely lost by drainage within minutes.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Tear turnover &amp; dilution : </w:t>
      </w:r>
      <w:r>
        <w:rPr>
          <w:rFonts w:ascii="Comic Sans MS" w:hAnsi="Comic Sans MS" w:cs="Comic Sans MS"/>
          <w:b w:val="0"/>
          <w:i w:val="0"/>
          <w:color w:val="000000"/>
          <w:sz w:val="28"/>
        </w:rPr>
        <w:t>tears are replaced at ~16 % per minute, diluting and washing away the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Naso-lacrimal drainage : </w:t>
      </w:r>
      <w:r>
        <w:rPr>
          <w:rFonts w:ascii="Comic Sans MS" w:hAnsi="Comic Sans MS" w:cs="Comic Sans MS"/>
          <w:b w:val="0"/>
          <w:i w:val="0"/>
          <w:color w:val="000000"/>
          <w:sz w:val="28"/>
        </w:rPr>
        <w:t>drug drains into the nasolacrimal duct and can be absorbed systemically, causing side effects.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Non-productive absorption : </w:t>
      </w:r>
      <w:r>
        <w:rPr>
          <w:rFonts w:ascii="Comic Sans MS" w:hAnsi="Comic Sans MS" w:cs="Comic Sans MS"/>
          <w:b w:val="0"/>
          <w:i w:val="0"/>
          <w:color w:val="000000"/>
          <w:sz w:val="28"/>
        </w:rPr>
        <w:t>loss to the conjunctiva and sclera.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Corneal barrier : </w:t>
      </w:r>
      <w:r>
        <w:rPr>
          <w:rFonts w:ascii="Comic Sans MS" w:hAnsi="Comic Sans MS" w:cs="Comic Sans MS"/>
          <w:b w:val="0"/>
          <w:i w:val="0"/>
          <w:color w:val="000000"/>
          <w:sz w:val="28"/>
        </w:rPr>
        <w:t>the cornea (lipophilic epithelium – hydrophilic stroma – lipophilic endothelium) requires the drug to be both lipophilic and hydrophilic (amphiphilic) to penetrate.</w:t>
      </w:r>
    </w:p>
    <w:p>
      <w:pPr>
        <w:spacing w:after="160"/>
        <w:jc w:val="both"/>
      </w:pPr>
      <w:r>
        <w:rPr>
          <w:rFonts w:ascii="Comic Sans MS" w:hAnsi="Comic Sans MS" w:cs="Comic Sans MS"/>
          <w:b w:val="0"/>
          <w:i w:val="0"/>
          <w:color w:val="000000"/>
          <w:sz w:val="28"/>
        </w:rPr>
        <w:t>Consequently, ocular bioavailability from drops is typically &lt; 5 %. Ocular inserts overcome this by providing prolonged, controlled contact, thereby increasing bioavailability, reducing dosing frequency and lowering systemic side effects.</w:t>
      </w:r>
    </w:p>
    <w:p>
      <w:pPr>
        <w:spacing w:before="140" w:after="60" w:line="276" w:lineRule="auto"/>
        <w:keepNext/>
      </w:pPr>
      <w:r>
        <w:rPr>
          <w:rFonts w:ascii="Comic Sans MS" w:hAnsi="Comic Sans MS" w:cs="Comic Sans MS"/>
          <w:b/>
          <w:color w:val="000000"/>
          <w:sz w:val="28"/>
        </w:rPr>
        <w:t>The Ocusert system in detail</w:t>
      </w:r>
    </w:p>
    <w:p>
      <w:pPr>
        <w:spacing w:after="160"/>
        <w:jc w:val="both"/>
      </w:pPr>
      <w:r>
        <w:rPr>
          <w:rFonts w:ascii="Comic Sans MS" w:hAnsi="Comic Sans MS" w:cs="Comic Sans MS"/>
          <w:b w:val="0"/>
          <w:i w:val="0"/>
          <w:color w:val="000000"/>
          <w:sz w:val="28"/>
        </w:rPr>
        <w:t>The Ocusert® Pilo-20 / Pilo-40 is a flat, flexible, elliptical reservoir insert. A core of pilocarpine gelled with alginic acid is sandwiched between two rate-controlling ethylene-vinyl acetate (EVA) membranes and bordered by a titanium-dioxide-filled white retaining ring for visibility. It is placed in the conjunctival cul-de-sac and delivers pilocarpine at a constant rate (20 or 40 µg/h) for 7 days for the control of glaucoma, replacing four-times-daily drops.</w:t>
      </w:r>
    </w:p>
    <w:p>
      <w:pPr>
        <w:spacing w:before="200" w:after="100" w:line="276" w:lineRule="auto"/>
        <w:keepNext/>
      </w:pPr>
      <w:r>
        <w:rPr>
          <w:rFonts w:ascii="Comic Sans MS" w:hAnsi="Comic Sans MS" w:cs="Comic Sans MS"/>
          <w:b/>
          <w:color w:val="FF0000"/>
          <w:sz w:val="32"/>
        </w:rPr>
        <w:t>4.16 Vaginal Route – Anatomy &amp; Advantages</w:t>
      </w:r>
    </w:p>
    <w:p>
      <w:pPr>
        <w:spacing w:after="160"/>
        <w:jc w:val="both"/>
      </w:pPr>
      <w:r>
        <w:rPr>
          <w:rFonts w:ascii="Comic Sans MS" w:hAnsi="Comic Sans MS" w:cs="Comic Sans MS"/>
          <w:b w:val="0"/>
          <w:i w:val="0"/>
          <w:color w:val="000000"/>
          <w:sz w:val="28"/>
        </w:rPr>
        <w:t>The vaginal epithelium is a stratified squamous mucosa richly supplied with blood; drug absorbed here enters the systemic circulation directly, avoiding hepatic first-pass metabolism. Permeability varies with the menstrual cycle (thickness and hydration change with oestrogen). The route is used both for local action (antifungals, spermicides) and for systemic hormone delivery. Advantages : self-insertion and removal, avoidance of first-pass, prolonged controlled release from rings, and reversibility. Limitations : cultural acceptability, local irritation, influence of cycle and discharge, and gender specificity.</w:t>
      </w:r>
    </w:p>
    <w:p>
      <w:pPr>
        <w:spacing w:before="200" w:after="100" w:line="276" w:lineRule="auto"/>
        <w:keepNext/>
      </w:pPr>
      <w:r>
        <w:rPr>
          <w:rFonts w:ascii="Comic Sans MS" w:hAnsi="Comic Sans MS" w:cs="Comic Sans MS"/>
          <w:b/>
          <w:color w:val="FF0000"/>
          <w:sz w:val="32"/>
        </w:rPr>
        <w:t>4.17 Intra-uterine Route – Mechanism &amp; History</w:t>
      </w:r>
    </w:p>
    <w:p>
      <w:pPr>
        <w:spacing w:after="160"/>
        <w:jc w:val="both"/>
      </w:pPr>
      <w:r>
        <w:rPr>
          <w:rFonts w:ascii="Comic Sans MS" w:hAnsi="Comic Sans MS" w:cs="Comic Sans MS"/>
          <w:b w:val="0"/>
          <w:i w:val="0"/>
          <w:color w:val="000000"/>
          <w:sz w:val="28"/>
        </w:rPr>
        <w:t>Intra-uterine devices exploit the uterus as a site for very long-term local delivery. The earliest inert IUDs (Lippes loop) acted purely mechanically. Medicated systems greatly improved efficacy and reduced side effects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Copper IUDs (CuT-380A) : </w:t>
      </w:r>
      <w:r>
        <w:rPr>
          <w:rFonts w:ascii="Comic Sans MS" w:hAnsi="Comic Sans MS" w:cs="Comic Sans MS"/>
          <w:b w:val="0"/>
          <w:i w:val="0"/>
          <w:color w:val="000000"/>
          <w:sz w:val="28"/>
        </w:rPr>
        <w:t>release cupric ions that are toxic to sperm and impair implantation; effective for up to 10 years.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Progesterone IUS (Progestasert®) : </w:t>
      </w:r>
      <w:r>
        <w:rPr>
          <w:rFonts w:ascii="Comic Sans MS" w:hAnsi="Comic Sans MS" w:cs="Comic Sans MS"/>
          <w:b w:val="0"/>
          <w:i w:val="0"/>
          <w:color w:val="000000"/>
          <w:sz w:val="28"/>
        </w:rPr>
        <w:t>a T-shaped device releasing 65 µg/day progesterone from an ethylene-vinyl acetate reservoir for ~1 year; thickens cervical mucus and thins the endometrium.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Levonorgestrel IUS (Mirena®) : </w:t>
      </w:r>
      <w:r>
        <w:rPr>
          <w:rFonts w:ascii="Comic Sans MS" w:hAnsi="Comic Sans MS" w:cs="Comic Sans MS"/>
          <w:b w:val="0"/>
          <w:i w:val="0"/>
          <w:color w:val="000000"/>
          <w:sz w:val="28"/>
        </w:rPr>
        <w:t>releases ~20 µg/day levonorgestrel for up to 5 years; also used to treat menorrhagia.</w:t>
      </w:r>
    </w:p>
    <w:p>
      <w:pPr>
        <w:spacing w:after="160"/>
        <w:jc w:val="both"/>
      </w:pPr>
      <w:r>
        <w:rPr>
          <w:rFonts w:ascii="Comic Sans MS" w:hAnsi="Comic Sans MS" w:cs="Comic Sans MS"/>
          <w:b w:val="0"/>
          <w:i w:val="0"/>
          <w:color w:val="000000"/>
          <w:sz w:val="28"/>
        </w:rPr>
        <w:t>Advantages : extremely long action, high compliance, reversible, high local with low systemic exposure. Disadvantages : professional insertion, risk of expulsion, perforation, cramping, irregular bleeding and pelvic infection.</w:t>
      </w:r>
    </w:p>
    <w:p>
      <w:pPr>
        <w:spacing w:before="200" w:after="100" w:line="276" w:lineRule="auto"/>
        <w:keepNext/>
      </w:pPr>
      <w:r>
        <w:rPr>
          <w:rFonts w:ascii="Comic Sans MS" w:hAnsi="Comic Sans MS" w:cs="Comic Sans MS"/>
          <w:b/>
          <w:color w:val="FF0000"/>
          <w:sz w:val="32"/>
        </w:rPr>
        <w:t>4.18 Subcutaneous vs Intramuscular – Comparison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Feature</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Subcutaneous</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Intramuscular</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Vascularity</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Lower (slower absorption)</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Higher (faster absorption)</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Preferred form</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Solid rods / implants</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Depot injections / microspheres</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Removal</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Possible (non-degradable)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Not practical</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Volume tolerated</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Small</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Larger</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Example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Norplant, Implanon</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Depo-Provera, Lupron Depot</w:t>
            </w:r>
          </w:p>
        </w:tc>
      </w:tr>
    </w:tbl>
    <w:p>
      <w:pPr>
        <w:spacing w:after="40"/>
      </w:pPr>
    </w:p>
    <w:p>
      <w:pPr>
        <w:spacing w:before="200" w:after="100" w:line="276" w:lineRule="auto"/>
        <w:keepNext/>
      </w:pPr>
      <w:r>
        <w:rPr>
          <w:rFonts w:ascii="Comic Sans MS" w:hAnsi="Comic Sans MS" w:cs="Comic Sans MS"/>
          <w:b/>
          <w:color w:val="FF0000"/>
          <w:sz w:val="32"/>
        </w:rPr>
        <w:t>4.19 Ideal Requirements of Implants &amp; Inserts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Deliver the drug at the required (often zero-order) rate for the intended duration.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Be biocompatible and cause minimal tissue reaction.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Be sterile, pyrogen-free and of reproducible quality.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Be small and comfortable enough for the site; easy to insert (and remove if non-degradable).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For biodegradable types, degrade completely into safe, eliminable products.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Be physically and chemically stable during manufacture, sterilisation and storage.</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V – Transdermal Drug Delivery Systems</w:t>
      </w:r>
    </w:p>
    <w:p>
      <w:pPr>
        <w:spacing w:before="200" w:after="100" w:line="276" w:lineRule="auto"/>
        <w:keepNext/>
      </w:pPr>
      <w:r>
        <w:rPr>
          <w:rFonts w:ascii="Comic Sans MS" w:hAnsi="Comic Sans MS" w:cs="Comic Sans MS"/>
          <w:b/>
          <w:color w:val="FF0000"/>
          <w:sz w:val="32"/>
        </w:rPr>
        <w:t>5.1 Introduction &amp; Definition</w:t>
      </w:r>
    </w:p>
    <w:p>
      <w:pPr>
        <w:spacing w:after="160"/>
        <w:jc w:val="both"/>
      </w:pPr>
      <w:r>
        <w:rPr>
          <w:rFonts w:ascii="Comic Sans MS" w:hAnsi="Comic Sans MS" w:cs="Comic Sans MS"/>
          <w:b/>
          <w:i w:val="0"/>
          <w:color w:val="000000"/>
          <w:sz w:val="28"/>
        </w:rPr>
        <w:t xml:space="preserve">A transdermal drug delivery system (TDDS) </w:t>
      </w:r>
      <w:r>
        <w:rPr>
          <w:rFonts w:ascii="Comic Sans MS" w:hAnsi="Comic Sans MS" w:cs="Comic Sans MS"/>
          <w:b w:val="0"/>
          <w:i w:val="0"/>
          <w:color w:val="000000"/>
          <w:sz w:val="28"/>
        </w:rPr>
        <w:t>is a self-contained, discrete dosage form (a 'patch') which, when applied to the intact skin, delivers the drug through the skin at a controlled rate into the systemic circulation. It provides a non-invasive, painless and continuous route that bypasses the gastrointestinal tract and hepatic first-pass metabolism.</w:t>
      </w:r>
    </w:p>
    <w:p>
      <w:pPr>
        <w:spacing w:before="140" w:after="60" w:line="276" w:lineRule="auto"/>
        <w:keepNext/>
      </w:pPr>
      <w:r>
        <w:rPr>
          <w:rFonts w:ascii="Comic Sans MS" w:hAnsi="Comic Sans MS" w:cs="Comic Sans MS"/>
          <w:b/>
          <w:color w:val="000000"/>
          <w:sz w:val="28"/>
        </w:rPr>
        <w:t>Advantages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Avoids first-pass metabolism and GI degradation / irritation.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Provides controlled, constant (often zero-order) plasma levels for a prolonged time.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Reduces dosing frequency and improves compliance.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Therapy can be terminated simply by removing the patch.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Useful for drugs with a short half-life and narrow therapeutic index.</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Suitable for unconscious or nauseated patients.</w:t>
      </w:r>
    </w:p>
    <w:p>
      <w:pPr>
        <w:spacing w:before="140" w:after="60" w:line="276" w:lineRule="auto"/>
        <w:keepNext/>
      </w:pPr>
      <w:r>
        <w:rPr>
          <w:rFonts w:ascii="Comic Sans MS" w:hAnsi="Comic Sans MS" w:cs="Comic Sans MS"/>
          <w:b/>
          <w:color w:val="000000"/>
          <w:sz w:val="28"/>
        </w:rPr>
        <w:t>Disadvantages / Limitations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Only potent drugs (dose usually &lt; 10–20 mg/day) can be delivered because skin permeability is limited.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The stratum corneum is a formidable barrier – large or hydrophilic molecules permeate poorly.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Possibility of local skin irritation, erythema or sensitisation.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Not suitable for drugs that irritate the skin or are extensively metabolised in skin.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Comparatively expensive; adhesion problems with sweat / movement.</w:t>
      </w:r>
    </w:p>
    <w:p>
      <w:pPr>
        <w:spacing w:before="200" w:after="100" w:line="276" w:lineRule="auto"/>
        <w:keepNext/>
      </w:pPr>
      <w:r>
        <w:rPr>
          <w:rFonts w:ascii="Comic Sans MS" w:hAnsi="Comic Sans MS" w:cs="Comic Sans MS"/>
          <w:b/>
          <w:color w:val="FF0000"/>
          <w:sz w:val="32"/>
        </w:rPr>
        <w:t>5.2 Fundamentals of Skin Permeation</w:t>
      </w:r>
    </w:p>
    <w:p>
      <w:pPr>
        <w:spacing w:after="160"/>
        <w:jc w:val="both"/>
      </w:pPr>
      <w:r>
        <w:rPr>
          <w:rFonts w:ascii="Comic Sans MS" w:hAnsi="Comic Sans MS" w:cs="Comic Sans MS"/>
          <w:b w:val="0"/>
          <w:i w:val="0"/>
          <w:color w:val="000000"/>
          <w:sz w:val="28"/>
        </w:rPr>
        <w:t>The skin comprises three principal layers : the epidermis (whose outermost, dead, keratinised layer, the stratum corneum, is the main permeation barrier), the dermis (vascularised connective tissue containing the capillaries that carry absorbed drug away), and the subcutaneous fat. The stratum corneum behaves as a 'brick-and-mortar' structure – keratin-filled corneocytes (bricks) embedded in intercellular lipid lamellae (mortar).</w:t>
      </w:r>
    </w:p>
    <w:p>
      <w:pPr>
        <w:spacing w:before="80" w:after="40"/>
        <w:jc w:val="center"/>
      </w:pPr>
      <w:r>
        <w:drawing>
          <wp:inline xmlns:a="http://schemas.openxmlformats.org/drawingml/2006/main" xmlns:pic="http://schemas.openxmlformats.org/drawingml/2006/picture">
            <wp:extent cx="4937760" cy="3388902"/>
            <wp:docPr id="20" name="Picture 20"/>
            <wp:cNvGraphicFramePr>
              <a:graphicFrameLocks noChangeAspect="1"/>
            </wp:cNvGraphicFramePr>
            <a:graphic>
              <a:graphicData uri="http://schemas.openxmlformats.org/drawingml/2006/picture">
                <pic:pic>
                  <pic:nvPicPr>
                    <pic:cNvPr id="0" name="skin_structure.png"/>
                    <pic:cNvPicPr/>
                  </pic:nvPicPr>
                  <pic:blipFill>
                    <a:blip r:embed="rId30"/>
                    <a:stretch>
                      <a:fillRect/>
                    </a:stretch>
                  </pic:blipFill>
                  <pic:spPr>
                    <a:xfrm>
                      <a:off x="0" y="0"/>
                      <a:ext cx="4937760" cy="3388902"/>
                    </a:xfrm>
                    <a:prstGeom prst="rect"/>
                  </pic:spPr>
                </pic:pic>
              </a:graphicData>
            </a:graphic>
          </wp:inline>
        </w:drawing>
      </w:r>
    </w:p>
    <w:p>
      <w:pPr>
        <w:spacing w:after="160" w:line="264" w:lineRule="auto"/>
        <w:jc w:val="center"/>
      </w:pPr>
      <w:r>
        <w:rPr>
          <w:rFonts w:ascii="Comic Sans MS" w:hAnsi="Comic Sans MS" w:cs="Comic Sans MS"/>
          <w:b/>
          <w:i/>
          <w:color w:val="595959"/>
          <w:sz w:val="22"/>
        </w:rPr>
        <w:t>Fig. 20 : Structure of skin and the path of transdermal permeation</w:t>
      </w:r>
    </w:p>
    <w:p>
      <w:pPr>
        <w:spacing w:before="140" w:after="60" w:line="276" w:lineRule="auto"/>
        <w:keepNext/>
      </w:pPr>
      <w:r>
        <w:rPr>
          <w:rFonts w:ascii="Comic Sans MS" w:hAnsi="Comic Sans MS" w:cs="Comic Sans MS"/>
          <w:b/>
          <w:color w:val="000000"/>
          <w:sz w:val="28"/>
        </w:rPr>
        <w:t>Routes of permeation across the skin</w:t>
      </w:r>
    </w:p>
    <w:p>
      <w:pPr>
        <w:spacing w:before="80" w:after="40"/>
        <w:jc w:val="center"/>
      </w:pPr>
      <w:r>
        <w:drawing>
          <wp:inline xmlns:a="http://schemas.openxmlformats.org/drawingml/2006/main" xmlns:pic="http://schemas.openxmlformats.org/drawingml/2006/picture">
            <wp:extent cx="4754880" cy="2851735"/>
            <wp:docPr id="21" name="Picture 21"/>
            <wp:cNvGraphicFramePr>
              <a:graphicFrameLocks noChangeAspect="1"/>
            </wp:cNvGraphicFramePr>
            <a:graphic>
              <a:graphicData uri="http://schemas.openxmlformats.org/drawingml/2006/picture">
                <pic:pic>
                  <pic:nvPicPr>
                    <pic:cNvPr id="0" name="permeation_routes.png"/>
                    <pic:cNvPicPr/>
                  </pic:nvPicPr>
                  <pic:blipFill>
                    <a:blip r:embed="rId31"/>
                    <a:stretch>
                      <a:fillRect/>
                    </a:stretch>
                  </pic:blipFill>
                  <pic:spPr>
                    <a:xfrm>
                      <a:off x="0" y="0"/>
                      <a:ext cx="4754880" cy="2851735"/>
                    </a:xfrm>
                    <a:prstGeom prst="rect"/>
                  </pic:spPr>
                </pic:pic>
              </a:graphicData>
            </a:graphic>
          </wp:inline>
        </w:drawing>
      </w:r>
    </w:p>
    <w:p>
      <w:pPr>
        <w:spacing w:after="160" w:line="264" w:lineRule="auto"/>
        <w:jc w:val="center"/>
      </w:pPr>
      <w:r>
        <w:rPr>
          <w:rFonts w:ascii="Comic Sans MS" w:hAnsi="Comic Sans MS" w:cs="Comic Sans MS"/>
          <w:b/>
          <w:i/>
          <w:color w:val="595959"/>
          <w:sz w:val="22"/>
        </w:rPr>
        <w:t>Fig. 21 : Transcellular, intercellular and appendageal routes of skin permeation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Transcellular (intracellular) route : </w:t>
      </w:r>
      <w:r>
        <w:rPr>
          <w:rFonts w:ascii="Comic Sans MS" w:hAnsi="Comic Sans MS" w:cs="Comic Sans MS"/>
          <w:b w:val="0"/>
          <w:i w:val="0"/>
          <w:color w:val="000000"/>
          <w:sz w:val="28"/>
        </w:rPr>
        <w:t>directly through the corneocytes and lipid – requires repeated partitioning; shorter path but many barriers.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Intercellular route : </w:t>
      </w:r>
      <w:r>
        <w:rPr>
          <w:rFonts w:ascii="Comic Sans MS" w:hAnsi="Comic Sans MS" w:cs="Comic Sans MS"/>
          <w:b w:val="0"/>
          <w:i w:val="0"/>
          <w:color w:val="000000"/>
          <w:sz w:val="28"/>
        </w:rPr>
        <w:t>through the tortuous lipid matrix between corneocytes – the predominant pathway for most drugs.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Appendageal (trans-follicular) route : </w:t>
      </w:r>
      <w:r>
        <w:rPr>
          <w:rFonts w:ascii="Comic Sans MS" w:hAnsi="Comic Sans MS" w:cs="Comic Sans MS"/>
          <w:b w:val="0"/>
          <w:i w:val="0"/>
          <w:color w:val="000000"/>
          <w:sz w:val="28"/>
        </w:rPr>
        <w:t>through hair follicles, sebaceous and sweat glands – a minor pathway (~0.1 % of surface area) but important early and for ions / large molecules.</w:t>
      </w:r>
    </w:p>
    <w:p>
      <w:pPr>
        <w:spacing w:before="140" w:after="60" w:line="276" w:lineRule="auto"/>
        <w:keepNext/>
      </w:pPr>
      <w:r>
        <w:rPr>
          <w:rFonts w:ascii="Comic Sans MS" w:hAnsi="Comic Sans MS" w:cs="Comic Sans MS"/>
          <w:b/>
          <w:color w:val="000000"/>
          <w:sz w:val="28"/>
        </w:rPr>
        <w:t>Permeation kinetics – Fick's law, flux and lag time</w:t>
      </w:r>
    </w:p>
    <w:p>
      <w:pPr>
        <w:spacing w:after="160"/>
        <w:jc w:val="both"/>
      </w:pPr>
      <w:r>
        <w:rPr>
          <w:rFonts w:ascii="Comic Sans MS" w:hAnsi="Comic Sans MS" w:cs="Comic Sans MS"/>
          <w:b w:val="0"/>
          <w:i w:val="0"/>
          <w:color w:val="000000"/>
          <w:sz w:val="28"/>
        </w:rPr>
        <w:t>Steady-state permeation across the skin obeys Fick's first law of diffusion :</w:t>
      </w:r>
    </w:p>
    <w:p>
      <w:pPr>
        <w:spacing w:before="40" w:after="120"/>
        <w:jc w:val="center"/>
      </w:pPr>
      <w:r>
        <w:rPr>
          <w:rFonts w:ascii="Comic Sans MS" w:hAnsi="Comic Sans MS" w:cs="Comic Sans MS"/>
          <w:b/>
          <w:color w:val="6A1B9A"/>
          <w:sz w:val="28"/>
        </w:rPr>
        <w:t>Jₛₛ = (D × K × ΔC) / h = P × ΔC</w:t>
      </w:r>
    </w:p>
    <w:p>
      <w:pPr>
        <w:spacing w:after="160"/>
        <w:jc w:val="both"/>
      </w:pPr>
      <w:r>
        <w:rPr>
          <w:rFonts w:ascii="Comic Sans MS" w:hAnsi="Comic Sans MS" w:cs="Comic Sans MS"/>
          <w:b w:val="0"/>
          <w:i w:val="0"/>
          <w:color w:val="000000"/>
          <w:sz w:val="28"/>
        </w:rPr>
        <w:t>where Jₛₛ = steady-state flux, D = diffusion coefficient in the stratum corneum, K = partition coefficient (skin/vehicle), ΔC = concentration gradient, h = thickness of the barrier and P = permeability coefficient (P = D·K/h). The cumulative amount permeated plotted against time is linear at steady state; extrapolation of this line to the time-axis gives the lag time :</w:t>
      </w:r>
    </w:p>
    <w:p>
      <w:pPr>
        <w:spacing w:before="40" w:after="120"/>
        <w:jc w:val="center"/>
      </w:pPr>
      <w:r>
        <w:rPr>
          <w:rFonts w:ascii="Comic Sans MS" w:hAnsi="Comic Sans MS" w:cs="Comic Sans MS"/>
          <w:b/>
          <w:color w:val="6A1B9A"/>
          <w:sz w:val="28"/>
        </w:rPr>
        <w:t>Lag time  tₗ = h² / (6 × D)</w:t>
      </w:r>
    </w:p>
    <w:p>
      <w:pPr>
        <w:spacing w:before="80" w:after="40"/>
        <w:jc w:val="center"/>
      </w:pPr>
      <w:r>
        <w:drawing>
          <wp:inline xmlns:a="http://schemas.openxmlformats.org/drawingml/2006/main" xmlns:pic="http://schemas.openxmlformats.org/drawingml/2006/picture">
            <wp:extent cx="4206240" cy="2752169"/>
            <wp:docPr id="22" name="Picture 22"/>
            <wp:cNvGraphicFramePr>
              <a:graphicFrameLocks noChangeAspect="1"/>
            </wp:cNvGraphicFramePr>
            <a:graphic>
              <a:graphicData uri="http://schemas.openxmlformats.org/drawingml/2006/picture">
                <pic:pic>
                  <pic:nvPicPr>
                    <pic:cNvPr id="0" name="permeation_kinetics.png"/>
                    <pic:cNvPicPr/>
                  </pic:nvPicPr>
                  <pic:blipFill>
                    <a:blip r:embed="rId32"/>
                    <a:stretch>
                      <a:fillRect/>
                    </a:stretch>
                  </pic:blipFill>
                  <pic:spPr>
                    <a:xfrm>
                      <a:off x="0" y="0"/>
                      <a:ext cx="4206240" cy="2752169"/>
                    </a:xfrm>
                    <a:prstGeom prst="rect"/>
                  </pic:spPr>
                </pic:pic>
              </a:graphicData>
            </a:graphic>
          </wp:inline>
        </w:drawing>
      </w:r>
    </w:p>
    <w:p>
      <w:pPr>
        <w:spacing w:after="160" w:line="264" w:lineRule="auto"/>
        <w:jc w:val="center"/>
      </w:pPr>
      <w:r>
        <w:rPr>
          <w:rFonts w:ascii="Comic Sans MS" w:hAnsi="Comic Sans MS" w:cs="Comic Sans MS"/>
          <w:b/>
          <w:i/>
          <w:color w:val="595959"/>
          <w:sz w:val="22"/>
        </w:rPr>
        <w:t>Fig. 22 : Permeation profile showing steady-state flux (slope) and lag time</w:t>
      </w:r>
    </w:p>
    <w:p>
      <w:pPr>
        <w:spacing w:before="200" w:after="100" w:line="276" w:lineRule="auto"/>
        <w:keepNext/>
      </w:pPr>
      <w:r>
        <w:rPr>
          <w:rFonts w:ascii="Comic Sans MS" w:hAnsi="Comic Sans MS" w:cs="Comic Sans MS"/>
          <w:b/>
          <w:color w:val="FF0000"/>
          <w:sz w:val="32"/>
        </w:rPr>
        <w:t>5.3 Approaches / Penetration Enhancement</w:t>
      </w:r>
    </w:p>
    <w:p>
      <w:pPr>
        <w:spacing w:after="160"/>
        <w:jc w:val="both"/>
      </w:pPr>
      <w:r>
        <w:rPr>
          <w:rFonts w:ascii="Comic Sans MS" w:hAnsi="Comic Sans MS" w:cs="Comic Sans MS"/>
          <w:b w:val="0"/>
          <w:i w:val="0"/>
          <w:color w:val="000000"/>
          <w:sz w:val="28"/>
        </w:rPr>
        <w:t>Because the stratum corneum limits delivery, several chemical, physical and formulation approaches are used to enhance permeation.</w:t>
      </w:r>
    </w:p>
    <w:p>
      <w:pPr>
        <w:spacing w:before="140" w:after="60" w:line="276" w:lineRule="auto"/>
        <w:keepNext/>
      </w:pPr>
      <w:r>
        <w:rPr>
          <w:rFonts w:ascii="Comic Sans MS" w:hAnsi="Comic Sans MS" w:cs="Comic Sans MS"/>
          <w:b/>
          <w:color w:val="000000"/>
          <w:sz w:val="28"/>
        </w:rPr>
        <w:t>(a) Chemical penetration enhancers</w:t>
      </w:r>
    </w:p>
    <w:p>
      <w:pPr>
        <w:spacing w:after="160"/>
        <w:jc w:val="both"/>
      </w:pPr>
      <w:r>
        <w:rPr>
          <w:rFonts w:ascii="Comic Sans MS" w:hAnsi="Comic Sans MS" w:cs="Comic Sans MS"/>
          <w:b w:val="0"/>
          <w:i w:val="0"/>
          <w:color w:val="000000"/>
          <w:sz w:val="28"/>
        </w:rPr>
        <w:t>These reversibly reduce the barrier resistance of the stratum corneum by disrupting the ordered lipid, increasing drug partitioning or fluidising the membrane. Examples : water, alcohols (ethanol), sulphoxides (DMSO), fatty acids (oleic acid), Azone (laurocapram), surfactants, terpenes, propylene glycol and urea.</w:t>
      </w:r>
    </w:p>
    <w:p>
      <w:pPr>
        <w:spacing w:before="140" w:after="60" w:line="276" w:lineRule="auto"/>
        <w:keepNext/>
      </w:pPr>
      <w:r>
        <w:rPr>
          <w:rFonts w:ascii="Comic Sans MS" w:hAnsi="Comic Sans MS" w:cs="Comic Sans MS"/>
          <w:b/>
          <w:color w:val="000000"/>
          <w:sz w:val="28"/>
        </w:rPr>
        <w:t>(b) Physical / active enhancement techniques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Iontophoresis : </w:t>
      </w:r>
      <w:r>
        <w:rPr>
          <w:rFonts w:ascii="Comic Sans MS" w:hAnsi="Comic Sans MS" w:cs="Comic Sans MS"/>
          <w:b w:val="0"/>
          <w:i w:val="0"/>
          <w:color w:val="000000"/>
          <w:sz w:val="28"/>
        </w:rPr>
        <w:t>application of a small electric current to drive ionised / charged drug molecules across the skin (electro-repulsion) and to induce electro-osmotic flow. Delivery is proportional to the current and can be switched on/off – giving programmable delivery (e.g., lidocaine, pilocarpine).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Sonophoresis (phonophoresis) : </w:t>
      </w:r>
      <w:r>
        <w:rPr>
          <w:rFonts w:ascii="Comic Sans MS" w:hAnsi="Comic Sans MS" w:cs="Comic Sans MS"/>
          <w:b w:val="0"/>
          <w:i w:val="0"/>
          <w:color w:val="000000"/>
          <w:sz w:val="28"/>
        </w:rPr>
        <w:t>use of ultrasound to enhance permeation. Low-frequency ultrasound produces cavitation that transiently disrupts the stratum corneum lipids, greatly increasing permeability, even of macromolecules such as insulin.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Electroporation : </w:t>
      </w:r>
      <w:r>
        <w:rPr>
          <w:rFonts w:ascii="Comic Sans MS" w:hAnsi="Comic Sans MS" w:cs="Comic Sans MS"/>
          <w:b w:val="0"/>
          <w:i w:val="0"/>
          <w:color w:val="000000"/>
          <w:sz w:val="28"/>
        </w:rPr>
        <w:t>short high-voltage pulses create transient aqueous pores in the lipid bilayers.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Microneedles : </w:t>
      </w:r>
      <w:r>
        <w:rPr>
          <w:rFonts w:ascii="Comic Sans MS" w:hAnsi="Comic Sans MS" w:cs="Comic Sans MS"/>
          <w:b w:val="0"/>
          <w:i w:val="0"/>
          <w:color w:val="000000"/>
          <w:sz w:val="28"/>
        </w:rPr>
        <w:t>micron-sized needles painlessly create micro-channels through the stratum corneum.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Others : </w:t>
      </w:r>
      <w:r>
        <w:rPr>
          <w:rFonts w:ascii="Comic Sans MS" w:hAnsi="Comic Sans MS" w:cs="Comic Sans MS"/>
          <w:b w:val="0"/>
          <w:i w:val="0"/>
          <w:color w:val="000000"/>
          <w:sz w:val="28"/>
        </w:rPr>
        <w:t>magnetophoresis, thermal / laser ablation, needle-free jet injection.</w:t>
      </w:r>
    </w:p>
    <w:p>
      <w:pPr>
        <w:spacing w:before="80" w:after="40"/>
        <w:jc w:val="center"/>
      </w:pPr>
      <w:r>
        <w:drawing>
          <wp:inline xmlns:a="http://schemas.openxmlformats.org/drawingml/2006/main" xmlns:pic="http://schemas.openxmlformats.org/drawingml/2006/picture">
            <wp:extent cx="4206240" cy="2472660"/>
            <wp:docPr id="23" name="Picture 23"/>
            <wp:cNvGraphicFramePr>
              <a:graphicFrameLocks noChangeAspect="1"/>
            </wp:cNvGraphicFramePr>
            <a:graphic>
              <a:graphicData uri="http://schemas.openxmlformats.org/drawingml/2006/picture">
                <pic:pic>
                  <pic:nvPicPr>
                    <pic:cNvPr id="0" name="iontophoresis.png"/>
                    <pic:cNvPicPr/>
                  </pic:nvPicPr>
                  <pic:blipFill>
                    <a:blip r:embed="rId33"/>
                    <a:stretch>
                      <a:fillRect/>
                    </a:stretch>
                  </pic:blipFill>
                  <pic:spPr>
                    <a:xfrm>
                      <a:off x="0" y="0"/>
                      <a:ext cx="4206240" cy="2472660"/>
                    </a:xfrm>
                    <a:prstGeom prst="rect"/>
                  </pic:spPr>
                </pic:pic>
              </a:graphicData>
            </a:graphic>
          </wp:inline>
        </w:drawing>
      </w:r>
    </w:p>
    <w:p>
      <w:pPr>
        <w:spacing w:after="160" w:line="264" w:lineRule="auto"/>
        <w:jc w:val="center"/>
      </w:pPr>
      <w:r>
        <w:rPr>
          <w:rFonts w:ascii="Comic Sans MS" w:hAnsi="Comic Sans MS" w:cs="Comic Sans MS"/>
          <w:b/>
          <w:i/>
          <w:color w:val="595959"/>
          <w:sz w:val="22"/>
        </w:rPr>
        <w:t>Fig. 23 : Iontophoresis – electrically assisted transdermal delivery</w:t>
      </w:r>
    </w:p>
    <w:p>
      <w:pPr>
        <w:spacing w:before="80" w:after="40"/>
        <w:jc w:val="center"/>
      </w:pPr>
      <w:r>
        <w:drawing>
          <wp:inline xmlns:a="http://schemas.openxmlformats.org/drawingml/2006/main" xmlns:pic="http://schemas.openxmlformats.org/drawingml/2006/picture">
            <wp:extent cx="4023360" cy="2518059"/>
            <wp:docPr id="24" name="Picture 24"/>
            <wp:cNvGraphicFramePr>
              <a:graphicFrameLocks noChangeAspect="1"/>
            </wp:cNvGraphicFramePr>
            <a:graphic>
              <a:graphicData uri="http://schemas.openxmlformats.org/drawingml/2006/picture">
                <pic:pic>
                  <pic:nvPicPr>
                    <pic:cNvPr id="0" name="sonophoresis.png"/>
                    <pic:cNvPicPr/>
                  </pic:nvPicPr>
                  <pic:blipFill>
                    <a:blip r:embed="rId34"/>
                    <a:stretch>
                      <a:fillRect/>
                    </a:stretch>
                  </pic:blipFill>
                  <pic:spPr>
                    <a:xfrm>
                      <a:off x="0" y="0"/>
                      <a:ext cx="4023360" cy="2518059"/>
                    </a:xfrm>
                    <a:prstGeom prst="rect"/>
                  </pic:spPr>
                </pic:pic>
              </a:graphicData>
            </a:graphic>
          </wp:inline>
        </w:drawing>
      </w:r>
    </w:p>
    <w:p>
      <w:pPr>
        <w:spacing w:after="160" w:line="264" w:lineRule="auto"/>
        <w:jc w:val="center"/>
      </w:pPr>
      <w:r>
        <w:rPr>
          <w:rFonts w:ascii="Comic Sans MS" w:hAnsi="Comic Sans MS" w:cs="Comic Sans MS"/>
          <w:b/>
          <w:i/>
          <w:color w:val="595959"/>
          <w:sz w:val="22"/>
        </w:rPr>
        <w:t>Fig. 24 : Sonophoresis – ultrasound-assisted transdermal delivery</w:t>
      </w:r>
    </w:p>
    <w:p>
      <w:pPr>
        <w:spacing w:before="200" w:after="100" w:line="276" w:lineRule="auto"/>
        <w:keepNext/>
      </w:pPr>
      <w:r>
        <w:rPr>
          <w:rFonts w:ascii="Comic Sans MS" w:hAnsi="Comic Sans MS" w:cs="Comic Sans MS"/>
          <w:b/>
          <w:color w:val="FF0000"/>
          <w:sz w:val="32"/>
        </w:rPr>
        <w:t>5.4 Formulation Design &amp; Types of Transdermal Patches</w:t>
      </w:r>
    </w:p>
    <w:p>
      <w:pPr>
        <w:spacing w:after="160"/>
        <w:jc w:val="both"/>
      </w:pPr>
      <w:r>
        <w:rPr>
          <w:rFonts w:ascii="Comic Sans MS" w:hAnsi="Comic Sans MS" w:cs="Comic Sans MS"/>
          <w:b w:val="0"/>
          <w:i w:val="0"/>
          <w:color w:val="000000"/>
          <w:sz w:val="28"/>
        </w:rPr>
        <w:t>A transdermal patch consists of the following components : the backing membrane (occlusive, protects from the environment), the drug reservoir or matrix, the rate-controlling membrane (in reservoir types), the pressure-sensitive adhesive that attaches the patch to the skin, and the release liner (removed before use).</w:t>
      </w:r>
    </w:p>
    <w:p>
      <w:pPr>
        <w:spacing w:before="80" w:after="40"/>
        <w:jc w:val="center"/>
      </w:pPr>
      <w:r>
        <w:drawing>
          <wp:inline xmlns:a="http://schemas.openxmlformats.org/drawingml/2006/main" xmlns:pic="http://schemas.openxmlformats.org/drawingml/2006/picture">
            <wp:extent cx="5120640" cy="2392124"/>
            <wp:docPr id="25" name="Picture 25"/>
            <wp:cNvGraphicFramePr>
              <a:graphicFrameLocks noChangeAspect="1"/>
            </wp:cNvGraphicFramePr>
            <a:graphic>
              <a:graphicData uri="http://schemas.openxmlformats.org/drawingml/2006/picture">
                <pic:pic>
                  <pic:nvPicPr>
                    <pic:cNvPr id="0" name="tdds_types.png"/>
                    <pic:cNvPicPr/>
                  </pic:nvPicPr>
                  <pic:blipFill>
                    <a:blip r:embed="rId35"/>
                    <a:stretch>
                      <a:fillRect/>
                    </a:stretch>
                  </pic:blipFill>
                  <pic:spPr>
                    <a:xfrm>
                      <a:off x="0" y="0"/>
                      <a:ext cx="5120640" cy="2392124"/>
                    </a:xfrm>
                    <a:prstGeom prst="rect"/>
                  </pic:spPr>
                </pic:pic>
              </a:graphicData>
            </a:graphic>
          </wp:inline>
        </w:drawing>
      </w:r>
    </w:p>
    <w:p>
      <w:pPr>
        <w:spacing w:after="160" w:line="264" w:lineRule="auto"/>
        <w:jc w:val="center"/>
      </w:pPr>
      <w:r>
        <w:rPr>
          <w:rFonts w:ascii="Comic Sans MS" w:hAnsi="Comic Sans MS" w:cs="Comic Sans MS"/>
          <w:b/>
          <w:i/>
          <w:color w:val="595959"/>
          <w:sz w:val="22"/>
        </w:rPr>
        <w:t>Fig. 25 : Reservoir, drug-in-adhesive and matrix-dispersion transdermal patches</w:t>
      </w:r>
    </w:p>
    <w:p>
      <w:pPr>
        <w:spacing w:before="140" w:after="60" w:line="276" w:lineRule="auto"/>
        <w:keepNext/>
      </w:pPr>
      <w:r>
        <w:rPr>
          <w:rFonts w:ascii="Comic Sans MS" w:hAnsi="Comic Sans MS" w:cs="Comic Sans MS"/>
          <w:b/>
          <w:color w:val="000000"/>
          <w:sz w:val="28"/>
        </w:rPr>
        <w:t>Types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Reservoir (membrane-controlled) system : </w:t>
      </w:r>
      <w:r>
        <w:rPr>
          <w:rFonts w:ascii="Comic Sans MS" w:hAnsi="Comic Sans MS" w:cs="Comic Sans MS"/>
          <w:b w:val="0"/>
          <w:i w:val="0"/>
          <w:color w:val="000000"/>
          <w:sz w:val="28"/>
        </w:rPr>
        <w:t>drug solution / gel held between the backing and a rate-controlling polymeric membrane; gives zero-order release but risk of dose dumping on membrane rupture.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Matrix / monolithic system : </w:t>
      </w:r>
      <w:r>
        <w:rPr>
          <w:rFonts w:ascii="Comic Sans MS" w:hAnsi="Comic Sans MS" w:cs="Comic Sans MS"/>
          <w:b w:val="0"/>
          <w:i w:val="0"/>
          <w:color w:val="000000"/>
          <w:sz w:val="28"/>
        </w:rPr>
        <w:t>drug dispersed in a polymer matrix; the matrix itself controls release (Higuchi kinetics).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Drug-in-adhesive system : </w:t>
      </w:r>
      <w:r>
        <w:rPr>
          <w:rFonts w:ascii="Comic Sans MS" w:hAnsi="Comic Sans MS" w:cs="Comic Sans MS"/>
          <w:b w:val="0"/>
          <w:i w:val="0"/>
          <w:color w:val="000000"/>
          <w:sz w:val="28"/>
        </w:rPr>
        <w:t>drug incorporated directly in the adhesive layer – thin, comfortable, single-layer; the commonest modern design.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Micro-reservoir system : </w:t>
      </w:r>
      <w:r>
        <w:rPr>
          <w:rFonts w:ascii="Comic Sans MS" w:hAnsi="Comic Sans MS" w:cs="Comic Sans MS"/>
          <w:b w:val="0"/>
          <w:i w:val="0"/>
          <w:color w:val="000000"/>
          <w:sz w:val="28"/>
        </w:rPr>
        <w:t>hybrid combining reservoir and matrix principles – tiny drug reservoirs dispersed in a polymer matrix.</w:t>
      </w:r>
    </w:p>
    <w:p>
      <w:pPr>
        <w:spacing w:before="200" w:after="100" w:line="276" w:lineRule="auto"/>
        <w:keepNext/>
      </w:pPr>
      <w:r>
        <w:rPr>
          <w:rFonts w:ascii="Comic Sans MS" w:hAnsi="Comic Sans MS" w:cs="Comic Sans MS"/>
          <w:b/>
          <w:color w:val="FF0000"/>
          <w:sz w:val="32"/>
        </w:rPr>
        <w:t>5.5 Formulation Considerations &amp; Optimization</w:t>
      </w:r>
    </w:p>
    <w:p>
      <w:pPr>
        <w:spacing w:before="140" w:after="60" w:line="276" w:lineRule="auto"/>
        <w:keepNext/>
      </w:pPr>
      <w:r>
        <w:rPr>
          <w:rFonts w:ascii="Comic Sans MS" w:hAnsi="Comic Sans MS" w:cs="Comic Sans MS"/>
          <w:b/>
          <w:color w:val="000000"/>
          <w:sz w:val="28"/>
        </w:rPr>
        <w:t>Drug selection criteria for TDDS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Molecular weight preferably &lt; 500 Da.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Adequate lipophilicity : log P about 1–3 (balanced partitioning).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Low melting point (&lt; 200 °C) and moderate solubility in both oil and water.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Potent drug – effective daily dose low (ideally &lt; 10–20 mg).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Short biological half-life and non-irritant, non-sensitising to skin.</w:t>
      </w:r>
    </w:p>
    <w:p>
      <w:pPr>
        <w:spacing w:before="140" w:after="60" w:line="276" w:lineRule="auto"/>
        <w:keepNext/>
      </w:pPr>
      <w:r>
        <w:rPr>
          <w:rFonts w:ascii="Comic Sans MS" w:hAnsi="Comic Sans MS" w:cs="Comic Sans MS"/>
          <w:b/>
          <w:color w:val="000000"/>
          <w:sz w:val="28"/>
        </w:rPr>
        <w:t>Optimization of the formulation</w:t>
      </w:r>
    </w:p>
    <w:p>
      <w:pPr>
        <w:spacing w:after="160"/>
        <w:jc w:val="both"/>
      </w:pPr>
      <w:r>
        <w:rPr>
          <w:rFonts w:ascii="Comic Sans MS" w:hAnsi="Comic Sans MS" w:cs="Comic Sans MS"/>
          <w:b w:val="0"/>
          <w:i w:val="0"/>
          <w:color w:val="000000"/>
          <w:sz w:val="28"/>
        </w:rPr>
        <w:t>The formulation is optimised (often using factorial / response-surface design of experiments) with respect to the type and amount of polymer, plasticiser, penetration enhancer and adhesive, so as to obtain the target flux, adequate adhesion and skin compatibility. In-vitro permeation studies through excised skin or synthetic membranes in Franz diffusion cells are used to measure flux, permeability coefficient and lag time, and to establish an in-vitro / in-vivo correlation.</w:t>
      </w:r>
    </w:p>
    <w:p>
      <w:pPr>
        <w:spacing w:before="200" w:after="100" w:line="276" w:lineRule="auto"/>
        <w:keepNext/>
      </w:pPr>
      <w:r>
        <w:rPr>
          <w:rFonts w:ascii="Comic Sans MS" w:hAnsi="Comic Sans MS" w:cs="Comic Sans MS"/>
          <w:b/>
          <w:color w:val="FF0000"/>
          <w:sz w:val="32"/>
        </w:rPr>
        <w:t>5.6 Evaluation of Transdermal Systems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Physical : </w:t>
      </w:r>
      <w:r>
        <w:rPr>
          <w:rFonts w:ascii="Comic Sans MS" w:hAnsi="Comic Sans MS" w:cs="Comic Sans MS"/>
          <w:b w:val="0"/>
          <w:i w:val="0"/>
          <w:color w:val="000000"/>
          <w:sz w:val="28"/>
        </w:rPr>
        <w:t>thickness, weight uniformity, folding endurance, moisture content / uptake, tensile strength.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Adhesion tests : </w:t>
      </w:r>
      <w:r>
        <w:rPr>
          <w:rFonts w:ascii="Comic Sans MS" w:hAnsi="Comic Sans MS" w:cs="Comic Sans MS"/>
          <w:b w:val="0"/>
          <w:i w:val="0"/>
          <w:color w:val="000000"/>
          <w:sz w:val="28"/>
        </w:rPr>
        <w:t>peel adhesion, tack and shear strength.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Drug content &amp; content uniformity.</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In-vitro release &amp; permeation : </w:t>
      </w:r>
      <w:r>
        <w:rPr>
          <w:rFonts w:ascii="Comic Sans MS" w:hAnsi="Comic Sans MS" w:cs="Comic Sans MS"/>
          <w:b w:val="0"/>
          <w:i w:val="0"/>
          <w:color w:val="000000"/>
          <w:sz w:val="28"/>
        </w:rPr>
        <w:t>Franz diffusion cell across skin / membrane; flux, permeability, lag time.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Skin irritation / sensitisation studies.</w:t>
      </w:r>
      <w:r>
        <w:rPr>
          <w:rFonts w:ascii="Comic Sans MS" w:hAnsi="Comic Sans MS" w:cs="Comic Sans MS"/>
          <w:b w:val="0"/>
          <w:i w:val="0"/>
          <w:color w:val="000000"/>
          <w:sz w:val="28"/>
        </w:rPr>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Stability studies as per ICH.</w:t>
      </w:r>
      <w:r>
        <w:rPr>
          <w:rFonts w:ascii="Comic Sans MS" w:hAnsi="Comic Sans MS" w:cs="Comic Sans MS"/>
          <w:b w:val="0"/>
          <w:i w:val="0"/>
          <w:color w:val="000000"/>
          <w:sz w:val="28"/>
        </w:rPr>
      </w:r>
    </w:p>
    <w:p>
      <w:pPr>
        <w:spacing w:before="200" w:after="100" w:line="276" w:lineRule="auto"/>
        <w:keepNext/>
      </w:pPr>
      <w:r>
        <w:rPr>
          <w:rFonts w:ascii="Comic Sans MS" w:hAnsi="Comic Sans MS" w:cs="Comic Sans MS"/>
          <w:b/>
          <w:color w:val="FF0000"/>
          <w:sz w:val="32"/>
        </w:rPr>
        <w:t>5.7 Latest Developments &amp; Applications</w:t>
      </w:r>
    </w:p>
    <w:p>
      <w:pPr>
        <w:spacing w:after="160"/>
        <w:jc w:val="both"/>
      </w:pPr>
      <w:r>
        <w:rPr>
          <w:rFonts w:ascii="Comic Sans MS" w:hAnsi="Comic Sans MS" w:cs="Comic Sans MS"/>
          <w:b w:val="0"/>
          <w:i w:val="0"/>
          <w:color w:val="000000"/>
          <w:sz w:val="28"/>
        </w:rPr>
        <w:t>Recent advances include microneedle patches (solid, coated, dissolving and hollow), 'smart' feedback-controlled iontophoretic patches, needle-free delivery of vaccines and biologics, and transdermal delivery of peptides / proteins using low-frequency sonophoresis. Marketed TDDS include nitroglycerin, nicotine, fentanyl, clonidine, scopolamine, estradiol, testosterone and rivastigmine patches.</w:t>
      </w:r>
    </w:p>
    <w:p>
      <w:r>
        <w:br w:type="page"/>
      </w:r>
    </w:p>
    <w:p>
      <w:pPr>
        <w:spacing w:before="200" w:after="100" w:line="276" w:lineRule="auto"/>
        <w:keepNext/>
      </w:pPr>
      <w:r>
        <w:rPr>
          <w:rFonts w:ascii="Comic Sans MS" w:hAnsi="Comic Sans MS" w:cs="Comic Sans MS"/>
          <w:b/>
          <w:color w:val="FF0000"/>
          <w:sz w:val="32"/>
        </w:rPr>
        <w:t>5.8 Detailed Skin Anatomy relevant to Permeation</w:t>
      </w:r>
    </w:p>
    <w:p>
      <w:pPr>
        <w:spacing w:after="160"/>
        <w:jc w:val="both"/>
      </w:pPr>
      <w:r>
        <w:rPr>
          <w:rFonts w:ascii="Comic Sans MS" w:hAnsi="Comic Sans MS" w:cs="Comic Sans MS"/>
          <w:b w:val="0"/>
          <w:i w:val="0"/>
          <w:color w:val="000000"/>
          <w:sz w:val="28"/>
        </w:rPr>
        <w:t>A sound knowledge of skin structure explains why transdermal delivery is so restricted. The skin is the largest organ (~1.8 m², ~10 % of body weight) and comprises three regions.</w:t>
      </w:r>
    </w:p>
    <w:p>
      <w:pPr>
        <w:spacing w:before="140" w:after="60" w:line="276" w:lineRule="auto"/>
        <w:keepNext/>
      </w:pPr>
      <w:r>
        <w:rPr>
          <w:rFonts w:ascii="Comic Sans MS" w:hAnsi="Comic Sans MS" w:cs="Comic Sans MS"/>
          <w:b/>
          <w:color w:val="000000"/>
          <w:sz w:val="28"/>
        </w:rPr>
        <w:t>Epidermis</w:t>
      </w:r>
    </w:p>
    <w:p>
      <w:pPr>
        <w:spacing w:after="160"/>
        <w:jc w:val="both"/>
      </w:pPr>
      <w:r>
        <w:rPr>
          <w:rFonts w:ascii="Comic Sans MS" w:hAnsi="Comic Sans MS" w:cs="Comic Sans MS"/>
          <w:b w:val="0"/>
          <w:i w:val="0"/>
          <w:color w:val="000000"/>
          <w:sz w:val="28"/>
        </w:rPr>
        <w:t>The avascular epidermis (50–100 µm) is a stratified epithelium. Its innermost basal layer continuously produces keratinocytes that migrate outward, differentiate and die, forming the stratum corneum. The stratum corneum (10–20 µm, ~15–20 layers of flattened corneocytes) is the principal rate-limiting barrier – a 'brick-and-mortar' arrangement of keratin-rich cells in a matrix of ordered intercellular lipids (ceramides, cholesterol, free fatty acids).</w:t>
      </w:r>
    </w:p>
    <w:p>
      <w:pPr>
        <w:spacing w:before="140" w:after="60" w:line="276" w:lineRule="auto"/>
        <w:keepNext/>
      </w:pPr>
      <w:r>
        <w:rPr>
          <w:rFonts w:ascii="Comic Sans MS" w:hAnsi="Comic Sans MS" w:cs="Comic Sans MS"/>
          <w:b/>
          <w:color w:val="000000"/>
          <w:sz w:val="28"/>
        </w:rPr>
        <w:t>Dermis</w:t>
      </w:r>
    </w:p>
    <w:p>
      <w:pPr>
        <w:spacing w:after="160"/>
        <w:jc w:val="both"/>
      </w:pPr>
      <w:r>
        <w:rPr>
          <w:rFonts w:ascii="Comic Sans MS" w:hAnsi="Comic Sans MS" w:cs="Comic Sans MS"/>
          <w:b w:val="0"/>
          <w:i w:val="0"/>
          <w:color w:val="000000"/>
          <w:sz w:val="28"/>
        </w:rPr>
        <w:t>The dermis (3–5 mm) is vascular connective tissue containing collagen, elastin, blood and lymph vessels, nerves and the skin appendages (hair follicles, sebaceous and sweat glands). The rich capillary network here carries the permeated drug into the systemic circulation, so the dermis usually offers little resistance to lipophilic drugs but can be a barrier to very lipophilic molecules.</w:t>
      </w:r>
    </w:p>
    <w:p>
      <w:pPr>
        <w:spacing w:before="140" w:after="60" w:line="276" w:lineRule="auto"/>
        <w:keepNext/>
      </w:pPr>
      <w:r>
        <w:rPr>
          <w:rFonts w:ascii="Comic Sans MS" w:hAnsi="Comic Sans MS" w:cs="Comic Sans MS"/>
          <w:b/>
          <w:color w:val="000000"/>
          <w:sz w:val="28"/>
        </w:rPr>
        <w:t>Subcutaneous tissue (hypodermis)</w:t>
      </w:r>
    </w:p>
    <w:p>
      <w:pPr>
        <w:spacing w:after="160"/>
        <w:jc w:val="both"/>
      </w:pPr>
      <w:r>
        <w:rPr>
          <w:rFonts w:ascii="Comic Sans MS" w:hAnsi="Comic Sans MS" w:cs="Comic Sans MS"/>
          <w:b w:val="0"/>
          <w:i w:val="0"/>
          <w:color w:val="000000"/>
          <w:sz w:val="28"/>
        </w:rPr>
        <w:t>A layer of fat and connective tissue that anchors the skin and acts as a depot for highly lipophilic drugs.</w:t>
      </w:r>
    </w:p>
    <w:p>
      <w:pPr>
        <w:spacing w:before="200" w:after="100" w:line="276" w:lineRule="auto"/>
        <w:keepNext/>
      </w:pPr>
      <w:r>
        <w:rPr>
          <w:rFonts w:ascii="Comic Sans MS" w:hAnsi="Comic Sans MS" w:cs="Comic Sans MS"/>
          <w:b/>
          <w:color w:val="FF0000"/>
          <w:sz w:val="32"/>
        </w:rPr>
        <w:t>5.9 Factors influencing Transdermal Permeation</w:t>
      </w:r>
    </w:p>
    <w:p>
      <w:pPr>
        <w:spacing w:before="140" w:after="60" w:line="276" w:lineRule="auto"/>
        <w:keepNext/>
      </w:pPr>
      <w:r>
        <w:rPr>
          <w:rFonts w:ascii="Comic Sans MS" w:hAnsi="Comic Sans MS" w:cs="Comic Sans MS"/>
          <w:b/>
          <w:color w:val="000000"/>
          <w:sz w:val="28"/>
        </w:rPr>
        <w:t>Biological factors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Skin condition : </w:t>
      </w:r>
      <w:r>
        <w:rPr>
          <w:rFonts w:ascii="Comic Sans MS" w:hAnsi="Comic Sans MS" w:cs="Comic Sans MS"/>
          <w:b w:val="0"/>
          <w:i w:val="0"/>
          <w:color w:val="000000"/>
          <w:sz w:val="28"/>
        </w:rPr>
        <w:t>damaged / diseased skin (eczema, burns) is far more permeable; solvents and vesicants damage the barrier.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Skin age : </w:t>
      </w:r>
      <w:r>
        <w:rPr>
          <w:rFonts w:ascii="Comic Sans MS" w:hAnsi="Comic Sans MS" w:cs="Comic Sans MS"/>
          <w:b w:val="0"/>
          <w:i w:val="0"/>
          <w:color w:val="000000"/>
          <w:sz w:val="28"/>
        </w:rPr>
        <w:t>infant and elderly skin differ in permeability.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Regional variation : </w:t>
      </w:r>
      <w:r>
        <w:rPr>
          <w:rFonts w:ascii="Comic Sans MS" w:hAnsi="Comic Sans MS" w:cs="Comic Sans MS"/>
          <w:b w:val="0"/>
          <w:i w:val="0"/>
          <w:color w:val="000000"/>
          <w:sz w:val="28"/>
        </w:rPr>
        <w:t>permeability varies with body site (postauricular, scrotal and forehead skin are more permeable than the forearm).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Skin hydration : </w:t>
      </w:r>
      <w:r>
        <w:rPr>
          <w:rFonts w:ascii="Comic Sans MS" w:hAnsi="Comic Sans MS" w:cs="Comic Sans MS"/>
          <w:b w:val="0"/>
          <w:i w:val="0"/>
          <w:color w:val="000000"/>
          <w:sz w:val="28"/>
        </w:rPr>
        <w:t>hydration (occlusion) swells the corneocytes and increases permeation.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Skin temperature &amp; blood flow : </w:t>
      </w:r>
      <w:r>
        <w:rPr>
          <w:rFonts w:ascii="Comic Sans MS" w:hAnsi="Comic Sans MS" w:cs="Comic Sans MS"/>
          <w:b w:val="0"/>
          <w:i w:val="0"/>
          <w:color w:val="000000"/>
          <w:sz w:val="28"/>
        </w:rPr>
        <w:t>higher temperature and blood flow enhance flux.</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Skin metabolism : </w:t>
      </w:r>
      <w:r>
        <w:rPr>
          <w:rFonts w:ascii="Comic Sans MS" w:hAnsi="Comic Sans MS" w:cs="Comic Sans MS"/>
          <w:b w:val="0"/>
          <w:i w:val="0"/>
          <w:color w:val="000000"/>
          <w:sz w:val="28"/>
        </w:rPr>
        <w:t>cutaneous enzymes can metabolise the drug (relevant to prodrugs).</w:t>
      </w:r>
    </w:p>
    <w:p>
      <w:pPr>
        <w:spacing w:before="140" w:after="60" w:line="276" w:lineRule="auto"/>
        <w:keepNext/>
      </w:pPr>
      <w:r>
        <w:rPr>
          <w:rFonts w:ascii="Comic Sans MS" w:hAnsi="Comic Sans MS" w:cs="Comic Sans MS"/>
          <w:b/>
          <w:color w:val="000000"/>
          <w:sz w:val="28"/>
        </w:rPr>
        <w:t>Physicochemical factors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Partition coefficient : </w:t>
      </w:r>
      <w:r>
        <w:rPr>
          <w:rFonts w:ascii="Comic Sans MS" w:hAnsi="Comic Sans MS" w:cs="Comic Sans MS"/>
          <w:b w:val="0"/>
          <w:i w:val="0"/>
          <w:color w:val="000000"/>
          <w:sz w:val="28"/>
        </w:rPr>
        <w:t>a balanced log P (~1–3) is optimum; too hydrophilic cannot cross lipid, too lipophilic cannot leave the stratum corneum into the aqueous dermis.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Molecular size : </w:t>
      </w:r>
      <w:r>
        <w:rPr>
          <w:rFonts w:ascii="Comic Sans MS" w:hAnsi="Comic Sans MS" w:cs="Comic Sans MS"/>
          <w:b w:val="0"/>
          <w:i w:val="0"/>
          <w:color w:val="000000"/>
          <w:sz w:val="28"/>
        </w:rPr>
        <w:t>flux falls sharply above ~500 Da.</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Solubility &amp; melting point : </w:t>
      </w:r>
      <w:r>
        <w:rPr>
          <w:rFonts w:ascii="Comic Sans MS" w:hAnsi="Comic Sans MS" w:cs="Comic Sans MS"/>
          <w:b w:val="0"/>
          <w:i w:val="0"/>
          <w:color w:val="000000"/>
          <w:sz w:val="28"/>
        </w:rPr>
        <w:t>low melting point correlates with higher solubility and flux.</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Degree of ionisation : </w:t>
      </w:r>
      <w:r>
        <w:rPr>
          <w:rFonts w:ascii="Comic Sans MS" w:hAnsi="Comic Sans MS" w:cs="Comic Sans MS"/>
          <w:b w:val="0"/>
          <w:i w:val="0"/>
          <w:color w:val="000000"/>
          <w:sz w:val="28"/>
        </w:rPr>
        <w:t>the unionised form permeates far better; hence pH of the vehicle matters.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Drug concentration &amp; thermodynamic activity : </w:t>
      </w:r>
      <w:r>
        <w:rPr>
          <w:rFonts w:ascii="Comic Sans MS" w:hAnsi="Comic Sans MS" w:cs="Comic Sans MS"/>
          <w:b w:val="0"/>
          <w:i w:val="0"/>
          <w:color w:val="000000"/>
          <w:sz w:val="28"/>
        </w:rPr>
        <w:t>flux is proportional to the thermodynamic activity; supersaturated systems enhance delivery.</w:t>
      </w:r>
    </w:p>
    <w:p>
      <w:pPr>
        <w:spacing w:before="200" w:after="100" w:line="276" w:lineRule="auto"/>
        <w:keepNext/>
      </w:pPr>
      <w:r>
        <w:rPr>
          <w:rFonts w:ascii="Comic Sans MS" w:hAnsi="Comic Sans MS" w:cs="Comic Sans MS"/>
          <w:b/>
          <w:color w:val="FF0000"/>
          <w:sz w:val="32"/>
        </w:rPr>
        <w:t>5.10 Permeation Mathematics (Michaels / steady state)</w:t>
      </w:r>
    </w:p>
    <w:p>
      <w:pPr>
        <w:spacing w:after="160"/>
        <w:jc w:val="both"/>
      </w:pPr>
      <w:r>
        <w:rPr>
          <w:rFonts w:ascii="Comic Sans MS" w:hAnsi="Comic Sans MS" w:cs="Comic Sans MS"/>
          <w:b w:val="0"/>
          <w:i w:val="0"/>
          <w:color w:val="000000"/>
          <w:sz w:val="28"/>
        </w:rPr>
        <w:t>For a drug permeating a membrane of thickness h under sink conditions, the amount permeated per unit area (Q) versus time is initially curved and becomes linear at steady state :</w:t>
      </w:r>
    </w:p>
    <w:p>
      <w:pPr>
        <w:spacing w:before="40" w:after="120"/>
        <w:jc w:val="center"/>
      </w:pPr>
      <w:r>
        <w:rPr>
          <w:rFonts w:ascii="Comic Sans MS" w:hAnsi="Comic Sans MS" w:cs="Comic Sans MS"/>
          <w:b/>
          <w:color w:val="6A1B9A"/>
          <w:sz w:val="28"/>
        </w:rPr>
        <w:t>Q = (D·Cs / h) × [ t – (h² / 6D) ]</w:t>
      </w:r>
    </w:p>
    <w:p>
      <w:pPr>
        <w:spacing w:after="160"/>
        <w:jc w:val="both"/>
      </w:pPr>
      <w:r>
        <w:rPr>
          <w:rFonts w:ascii="Comic Sans MS" w:hAnsi="Comic Sans MS" w:cs="Comic Sans MS"/>
          <w:b w:val="0"/>
          <w:i w:val="0"/>
          <w:color w:val="000000"/>
          <w:sz w:val="28"/>
        </w:rPr>
        <w:t>The slope of the linear portion gives the steady-state flux Jss = D·Cs/h and the intercept on the time-axis gives the lag time tₗ = h²/6D, from which the diffusion coefficient D can be estimated. The permeability coefficient is P = Jss / Cv (Cv = donor concentration).</w:t>
      </w:r>
    </w:p>
    <w:p>
      <w:pPr>
        <w:spacing w:before="200" w:after="100" w:line="276" w:lineRule="auto"/>
        <w:keepNext/>
      </w:pPr>
      <w:r>
        <w:rPr>
          <w:rFonts w:ascii="Comic Sans MS" w:hAnsi="Comic Sans MS" w:cs="Comic Sans MS"/>
          <w:b/>
          <w:color w:val="FF0000"/>
          <w:sz w:val="32"/>
        </w:rPr>
        <w:t>5.11 Microneedle Technology</w:t>
      </w:r>
    </w:p>
    <w:p>
      <w:pPr>
        <w:spacing w:after="160"/>
        <w:jc w:val="both"/>
      </w:pPr>
      <w:r>
        <w:rPr>
          <w:rFonts w:ascii="Comic Sans MS" w:hAnsi="Comic Sans MS" w:cs="Comic Sans MS"/>
          <w:b w:val="0"/>
          <w:i w:val="0"/>
          <w:color w:val="000000"/>
          <w:sz w:val="28"/>
        </w:rPr>
        <w:t>Microneedles are arrays of micron-scale projections that pierce only the stratum corneum, creating micro-conduits for drug (including macromolecules and vaccines) without reaching the pain nerves or blood vessels of the deeper dermis – hence painless. Four types are recognised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Solid microneedles : </w:t>
      </w:r>
      <w:r>
        <w:rPr>
          <w:rFonts w:ascii="Comic Sans MS" w:hAnsi="Comic Sans MS" w:cs="Comic Sans MS"/>
          <w:b w:val="0"/>
          <w:i w:val="0"/>
          <w:color w:val="000000"/>
          <w:sz w:val="28"/>
        </w:rPr>
        <w:t>'poke-and-patch' – pierce the skin, then apply a drug patch/formulation.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Coated microneedles : </w:t>
      </w:r>
      <w:r>
        <w:rPr>
          <w:rFonts w:ascii="Comic Sans MS" w:hAnsi="Comic Sans MS" w:cs="Comic Sans MS"/>
          <w:b w:val="0"/>
          <w:i w:val="0"/>
          <w:color w:val="000000"/>
          <w:sz w:val="28"/>
        </w:rPr>
        <w:t>drug coated on the needle dissolves after insertion.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Dissolving microneedles : </w:t>
      </w:r>
      <w:r>
        <w:rPr>
          <w:rFonts w:ascii="Comic Sans MS" w:hAnsi="Comic Sans MS" w:cs="Comic Sans MS"/>
          <w:b w:val="0"/>
          <w:i w:val="0"/>
          <w:color w:val="000000"/>
          <w:sz w:val="28"/>
        </w:rPr>
        <w:t>made of soluble polymer / sugar containing the drug; dissolve completely, leaving no sharps waste.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Hollow microneedles : </w:t>
      </w:r>
      <w:r>
        <w:rPr>
          <w:rFonts w:ascii="Comic Sans MS" w:hAnsi="Comic Sans MS" w:cs="Comic Sans MS"/>
          <w:b w:val="0"/>
          <w:i w:val="0"/>
          <w:color w:val="000000"/>
          <w:sz w:val="28"/>
        </w:rPr>
        <w:t>permit active infusion of liquid formulation.</w:t>
      </w:r>
    </w:p>
    <w:p>
      <w:pPr>
        <w:spacing w:before="200" w:after="100" w:line="276" w:lineRule="auto"/>
        <w:keepNext/>
      </w:pPr>
      <w:r>
        <w:rPr>
          <w:rFonts w:ascii="Comic Sans MS" w:hAnsi="Comic Sans MS" w:cs="Comic Sans MS"/>
          <w:b/>
          <w:color w:val="FF0000"/>
          <w:sz w:val="32"/>
        </w:rPr>
        <w:t>5.12 Methods of Preparation of Transdermal Patches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Solvent-casting (film-casting) : </w:t>
      </w:r>
      <w:r>
        <w:rPr>
          <w:rFonts w:ascii="Comic Sans MS" w:hAnsi="Comic Sans MS" w:cs="Comic Sans MS"/>
          <w:b w:val="0"/>
          <w:i w:val="0"/>
          <w:color w:val="000000"/>
          <w:sz w:val="28"/>
        </w:rPr>
        <w:t>polymer, drug, plasticiser and enhancer dissolved in a volatile solvent, cast on a backing and dried – the commonest matrix method.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Hot-melt extrusion : </w:t>
      </w:r>
      <w:r>
        <w:rPr>
          <w:rFonts w:ascii="Comic Sans MS" w:hAnsi="Comic Sans MS" w:cs="Comic Sans MS"/>
          <w:b w:val="0"/>
          <w:i w:val="0"/>
          <w:color w:val="000000"/>
          <w:sz w:val="28"/>
        </w:rPr>
        <w:t>drug and thermoplastic polymer melted and extruded into a film (solvent-free).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Asymmetric-membrane / phase-inversion methods.</w:t>
      </w:r>
      <w:r>
        <w:rPr>
          <w:rFonts w:ascii="Comic Sans MS" w:hAnsi="Comic Sans MS" w:cs="Comic Sans MS"/>
          <w:b w:val="0"/>
          <w:i w:val="0"/>
          <w:color w:val="000000"/>
          <w:sz w:val="28"/>
        </w:rPr>
      </w:r>
    </w:p>
    <w:p>
      <w:pPr>
        <w:spacing w:before="200" w:after="100" w:line="276" w:lineRule="auto"/>
        <w:keepNext/>
      </w:pPr>
      <w:r>
        <w:rPr>
          <w:rFonts w:ascii="Comic Sans MS" w:hAnsi="Comic Sans MS" w:cs="Comic Sans MS"/>
          <w:b/>
          <w:color w:val="FF0000"/>
          <w:sz w:val="32"/>
        </w:rPr>
        <w:t>5.13 Representative Marketed Transdermal Products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7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Drug</w:t>
            </w:r>
          </w:p>
        </w:tc>
        <w:tc>
          <w:tcPr>
            <w:tcW w:type="dxa" w:w="56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Indication</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Nitroglycerin</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Angina prophylaxis</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Nicotine</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Smoking cessation</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Fentanyl</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Chronic pain</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Scopolamine (hyoscine)</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Motion sickness</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Clonidine</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Hypertension</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Estradiol / testosterone</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Hormone replacement</w:t>
            </w:r>
          </w:p>
        </w:tc>
      </w:tr>
      <w:tr>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Rivastigmine</w:t>
            </w:r>
          </w:p>
        </w:tc>
        <w:tc>
          <w:tcPr>
            <w:tcW w:type="dxa" w:w="56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Alzheimer's dementia</w:t>
            </w:r>
          </w:p>
        </w:tc>
      </w:tr>
      <w:tr>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Rotigotine</w:t>
            </w:r>
          </w:p>
        </w:tc>
        <w:tc>
          <w:tcPr>
            <w:tcW w:type="dxa" w:w="56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Parkinson's disease</w:t>
            </w:r>
          </w:p>
        </w:tc>
      </w:tr>
    </w:tbl>
    <w:p>
      <w:pPr>
        <w:spacing w:after="40"/>
      </w:pP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TDDS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Stratum corneum = rate-limiting barrier; intercellular lipid route predominates.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Ideal drug : MW &lt; 500, log P 1–3, potent (&lt; ~20 mg/day), low melting point, non-irritant.</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Iontophoresis drives charged drugs by current; sonophoresis uses ultrasound cavitation.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Scopolamine (postauricular) was the first marketed transdermal patch (1979).</w:t>
            </w:r>
          </w:p>
        </w:tc>
      </w:tr>
    </w:tbl>
    <w:p>
      <w:pPr>
        <w:spacing w:after="40"/>
      </w:pPr>
    </w:p>
    <w:p>
      <w:r>
        <w:br w:type="page"/>
      </w:r>
    </w:p>
    <w:p>
      <w:pPr>
        <w:spacing w:before="200" w:after="100" w:line="276" w:lineRule="auto"/>
        <w:keepNext/>
      </w:pPr>
      <w:r>
        <w:rPr>
          <w:rFonts w:ascii="Comic Sans MS" w:hAnsi="Comic Sans MS" w:cs="Comic Sans MS"/>
          <w:b/>
          <w:color w:val="FF0000"/>
          <w:sz w:val="32"/>
        </w:rPr>
        <w:t>5.14 Vesicular Carriers for Skin Delivery (latest developments)</w:t>
      </w:r>
    </w:p>
    <w:p>
      <w:pPr>
        <w:spacing w:after="160"/>
        <w:jc w:val="both"/>
      </w:pPr>
      <w:r>
        <w:rPr>
          <w:rFonts w:ascii="Comic Sans MS" w:hAnsi="Comic Sans MS" w:cs="Comic Sans MS"/>
          <w:b w:val="0"/>
          <w:i w:val="0"/>
          <w:color w:val="000000"/>
          <w:sz w:val="28"/>
        </w:rPr>
        <w:t>Vesicular systems are among the most important recent developments in skin delivery. They can entrap both hydrophilic and lipophilic drugs, act as a local depot in the skin, and (for the deformable types) enhance penetration through the stratum corneum.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Liposomes : </w:t>
      </w:r>
      <w:r>
        <w:rPr>
          <w:rFonts w:ascii="Comic Sans MS" w:hAnsi="Comic Sans MS" w:cs="Comic Sans MS"/>
          <w:b w:val="0"/>
          <w:i w:val="0"/>
          <w:color w:val="000000"/>
          <w:sz w:val="28"/>
        </w:rPr>
        <w:t>concentric phospholipid bilayer vesicles; localise drug in the upper skin layers and reduce systemic side effects, but classical liposomes penetrate the stratum corneum poorly.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Transfersomes : </w:t>
      </w:r>
      <w:r>
        <w:rPr>
          <w:rFonts w:ascii="Comic Sans MS" w:hAnsi="Comic Sans MS" w:cs="Comic Sans MS"/>
          <w:b w:val="0"/>
          <w:i w:val="0"/>
          <w:color w:val="000000"/>
          <w:sz w:val="28"/>
        </w:rPr>
        <w:t>ultra-deformable ('elastic') liposomes containing an edge activator (surfactant) that lets them squeeze through the intercellular lipid channels along the trans-epidermal hydration gradient – capable of delivering even macromolecules.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Ethosomes : </w:t>
      </w:r>
      <w:r>
        <w:rPr>
          <w:rFonts w:ascii="Comic Sans MS" w:hAnsi="Comic Sans MS" w:cs="Comic Sans MS"/>
          <w:b w:val="0"/>
          <w:i w:val="0"/>
          <w:color w:val="000000"/>
          <w:sz w:val="28"/>
        </w:rPr>
        <w:t>vesicles with a high ethanol content; the ethanol fluidises both the vesicle and the stratum-corneum lipids, giving deep penetration.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Niosomes : </w:t>
      </w:r>
      <w:r>
        <w:rPr>
          <w:rFonts w:ascii="Comic Sans MS" w:hAnsi="Comic Sans MS" w:cs="Comic Sans MS"/>
          <w:b w:val="0"/>
          <w:i w:val="0"/>
          <w:color w:val="000000"/>
          <w:sz w:val="28"/>
        </w:rPr>
        <w:t>non-ionic surfactant vesicles – cheaper and more stable than liposomes.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Pharmacosomes / aquasomes : </w:t>
      </w:r>
      <w:r>
        <w:rPr>
          <w:rFonts w:ascii="Comic Sans MS" w:hAnsi="Comic Sans MS" w:cs="Comic Sans MS"/>
          <w:b w:val="0"/>
          <w:i w:val="0"/>
          <w:color w:val="000000"/>
          <w:sz w:val="28"/>
        </w:rPr>
        <w:t>other colloidal carriers explored for skin delivery.</w:t>
      </w:r>
    </w:p>
    <w:p>
      <w:pPr>
        <w:spacing w:before="200" w:after="100" w:line="276" w:lineRule="auto"/>
        <w:keepNext/>
      </w:pPr>
      <w:r>
        <w:rPr>
          <w:rFonts w:ascii="Comic Sans MS" w:hAnsi="Comic Sans MS" w:cs="Comic Sans MS"/>
          <w:b/>
          <w:color w:val="FF0000"/>
          <w:sz w:val="32"/>
        </w:rPr>
        <w:t>5.15 Mechanisms of Chemical Penetration Enhancement</w:t>
      </w:r>
    </w:p>
    <w:p>
      <w:pPr>
        <w:spacing w:after="160"/>
        <w:jc w:val="both"/>
      </w:pPr>
      <w:r>
        <w:rPr>
          <w:rFonts w:ascii="Comic Sans MS" w:hAnsi="Comic Sans MS" w:cs="Comic Sans MS"/>
          <w:b w:val="0"/>
          <w:i w:val="0"/>
          <w:color w:val="000000"/>
          <w:sz w:val="28"/>
        </w:rPr>
        <w:t>Chemical enhancers act by one or more of the following mechanisms (the 'lipid-protein-partitioning' or LPP theory)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Disruption / fluidisation of the intercellular lipid : </w:t>
      </w:r>
      <w:r>
        <w:rPr>
          <w:rFonts w:ascii="Comic Sans MS" w:hAnsi="Comic Sans MS" w:cs="Comic Sans MS"/>
          <w:b w:val="0"/>
          <w:i w:val="0"/>
          <w:color w:val="000000"/>
          <w:sz w:val="28"/>
        </w:rPr>
        <w:t>e.g., oleic acid, terpenes, Azone insert into and disorder the lipid bilayers.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Interaction with keratin (protein) : </w:t>
      </w:r>
      <w:r>
        <w:rPr>
          <w:rFonts w:ascii="Comic Sans MS" w:hAnsi="Comic Sans MS" w:cs="Comic Sans MS"/>
          <w:b w:val="0"/>
          <w:i w:val="0"/>
          <w:color w:val="000000"/>
          <w:sz w:val="28"/>
        </w:rPr>
        <w:t>e.g., DMSO, surfactants alter the keratin conformation, opening the corneocytes.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Increasing drug partitioning / solubility : </w:t>
      </w:r>
      <w:r>
        <w:rPr>
          <w:rFonts w:ascii="Comic Sans MS" w:hAnsi="Comic Sans MS" w:cs="Comic Sans MS"/>
          <w:b w:val="0"/>
          <w:i w:val="0"/>
          <w:color w:val="000000"/>
          <w:sz w:val="28"/>
        </w:rPr>
        <w:t>co-solvents such as propylene glycol and ethanol increase the drug's partitioning into the stratum corneum.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Increasing hydration : </w:t>
      </w:r>
      <w:r>
        <w:rPr>
          <w:rFonts w:ascii="Comic Sans MS" w:hAnsi="Comic Sans MS" w:cs="Comic Sans MS"/>
          <w:b w:val="0"/>
          <w:i w:val="0"/>
          <w:color w:val="000000"/>
          <w:sz w:val="28"/>
        </w:rPr>
        <w:t>water and occlusion swell the tissue and open the structure.</w:t>
      </w:r>
    </w:p>
    <w:p>
      <w:pPr>
        <w:spacing w:before="200" w:after="100" w:line="276" w:lineRule="auto"/>
        <w:keepNext/>
      </w:pPr>
      <w:r>
        <w:rPr>
          <w:rFonts w:ascii="Comic Sans MS" w:hAnsi="Comic Sans MS" w:cs="Comic Sans MS"/>
          <w:b/>
          <w:color w:val="FF0000"/>
          <w:sz w:val="32"/>
        </w:rPr>
        <w:t>5.16 Iontophoresis – Mechanisms &amp; Factors</w:t>
      </w:r>
    </w:p>
    <w:p>
      <w:pPr>
        <w:spacing w:after="160"/>
        <w:jc w:val="both"/>
      </w:pPr>
      <w:r>
        <w:rPr>
          <w:rFonts w:ascii="Comic Sans MS" w:hAnsi="Comic Sans MS" w:cs="Comic Sans MS"/>
          <w:b w:val="0"/>
          <w:i w:val="0"/>
          <w:color w:val="000000"/>
          <w:sz w:val="28"/>
        </w:rPr>
        <w:t>Iontophoresis moves drug by two mechanisms : electro-repulsion (like charges repel, so a cationic drug is driven from the anode and an anionic drug from the cathode) and electro-osmosis (bulk solvent flow from anode to cathode carries neutral and large molecules). Delivery is governed by the current density, duration, drug charge and concentration, pH and the electrode system. Because it can be switched on and off and the rate set by the current, iontophoresis allows programmable, feedback-controlled delivery (e.g., the GlucoWatch® reverse-iontophoresis glucose monitor, and fentanyl iontophoretic patches).</w:t>
      </w:r>
    </w:p>
    <w:p>
      <w:pPr>
        <w:spacing w:before="200" w:after="100" w:line="276" w:lineRule="auto"/>
        <w:keepNext/>
      </w:pPr>
      <w:r>
        <w:rPr>
          <w:rFonts w:ascii="Comic Sans MS" w:hAnsi="Comic Sans MS" w:cs="Comic Sans MS"/>
          <w:b/>
          <w:color w:val="FF0000"/>
          <w:sz w:val="32"/>
        </w:rPr>
        <w:t>5.17 Sonophoresis &amp; Other Physical Methods</w:t>
      </w:r>
    </w:p>
    <w:p>
      <w:pPr>
        <w:spacing w:after="160"/>
        <w:jc w:val="both"/>
      </w:pPr>
      <w:r>
        <w:rPr>
          <w:rFonts w:ascii="Comic Sans MS" w:hAnsi="Comic Sans MS" w:cs="Comic Sans MS"/>
          <w:b w:val="0"/>
          <w:i w:val="0"/>
          <w:color w:val="000000"/>
          <w:sz w:val="28"/>
        </w:rPr>
        <w:t>Sonophoresis uses ultrasound (low frequency 20–100 kHz is most effective) to enhance permeation, chiefly through cavitation – the formation and violent collapse of gas bubbles that transiently disorganise the stratum-corneum lipids. It can deliver macromolecules such as insulin and heparin. Related physical methods include electroporation (high-voltage pulses forming transient pores), thermal ablation, laser microporation and needle-free jet injection.</w:t>
      </w:r>
    </w:p>
    <w:p>
      <w:pPr>
        <w:spacing w:before="200" w:after="100" w:line="276" w:lineRule="auto"/>
        <w:keepNext/>
      </w:pPr>
      <w:r>
        <w:rPr>
          <w:rFonts w:ascii="Comic Sans MS" w:hAnsi="Comic Sans MS" w:cs="Comic Sans MS"/>
          <w:b/>
          <w:color w:val="FF0000"/>
          <w:sz w:val="32"/>
        </w:rPr>
        <w:t>5.18 Ideal Properties &amp; Components – Consolidated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Component</w:t>
            </w:r>
          </w:p>
        </w:tc>
        <w:tc>
          <w:tcPr>
            <w:tcW w:type="dxa" w:w="37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Function</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Example</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Backing membrane</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Occlusive protective outer layer</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Polyester, aluminised film</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Drug reservoir / matrix</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Holds the drug</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Silicone, acrylate, HPMC</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Rate-controlling membrane</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Controls release (reservoir type)</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EVA</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Pressure-sensitive adhesive</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Attaches patch to skin</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Polyacrylate, silicone</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Release liner</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Protects adhesive; removed before use</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Siliconised polyester</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Unit VI – Personalized Medicine</w:t>
      </w:r>
    </w:p>
    <w:p>
      <w:pPr>
        <w:spacing w:before="200" w:after="100" w:line="276" w:lineRule="auto"/>
        <w:keepNext/>
      </w:pPr>
      <w:r>
        <w:rPr>
          <w:rFonts w:ascii="Comic Sans MS" w:hAnsi="Comic Sans MS" w:cs="Comic Sans MS"/>
          <w:b/>
          <w:color w:val="FF0000"/>
          <w:sz w:val="32"/>
        </w:rPr>
        <w:t>6.1 Introduction &amp; Definition</w:t>
      </w:r>
    </w:p>
    <w:p>
      <w:pPr>
        <w:spacing w:after="160"/>
        <w:jc w:val="both"/>
      </w:pPr>
      <w:r>
        <w:rPr>
          <w:rFonts w:ascii="Comic Sans MS" w:hAnsi="Comic Sans MS" w:cs="Comic Sans MS"/>
          <w:b w:val="0"/>
          <w:i w:val="0"/>
          <w:color w:val="000000"/>
          <w:sz w:val="28"/>
        </w:rPr>
        <w:t>The traditional 'one-size-fits-all' approach to drug therapy assumes that a given dose of a given drug will produce a similar response in all patients. In reality, patients differ widely in their response owing to genetic, physiological, environmental and lifestyle differences, so that the same drug may be ineffective in some and toxic in others. Personalized (individualised / precision) medicine seeks to tailor the choice of drug, the dose and the delivery to the characteristics of the individual patient.</w:t>
      </w:r>
    </w:p>
    <w:p>
      <w:pPr>
        <w:spacing w:after="160"/>
        <w:jc w:val="both"/>
      </w:pPr>
      <w:r>
        <w:rPr>
          <w:rFonts w:ascii="Comic Sans MS" w:hAnsi="Comic Sans MS" w:cs="Comic Sans MS"/>
          <w:b/>
          <w:i w:val="0"/>
          <w:color w:val="000000"/>
          <w:sz w:val="28"/>
        </w:rPr>
        <w:t xml:space="preserve">Definition : </w:t>
      </w:r>
      <w:r>
        <w:rPr>
          <w:rFonts w:ascii="Comic Sans MS" w:hAnsi="Comic Sans MS" w:cs="Comic Sans MS"/>
          <w:b w:val="0"/>
          <w:i w:val="0"/>
          <w:color w:val="000000"/>
          <w:sz w:val="28"/>
        </w:rPr>
        <w:t>Personalized medicine is a medical model that uses an individual's genetic, molecular, biomarker and clinical information to tailor prevention, diagnosis and treatment – delivering the right drug, at the right dose, to the right patient, at the right time.</w:t>
      </w:r>
    </w:p>
    <w:p>
      <w:pPr>
        <w:spacing w:before="80" w:after="40"/>
        <w:jc w:val="center"/>
      </w:pPr>
      <w:r>
        <w:drawing>
          <wp:inline xmlns:a="http://schemas.openxmlformats.org/drawingml/2006/main" xmlns:pic="http://schemas.openxmlformats.org/drawingml/2006/picture">
            <wp:extent cx="4937760" cy="2211987"/>
            <wp:docPr id="26" name="Picture 26"/>
            <wp:cNvGraphicFramePr>
              <a:graphicFrameLocks noChangeAspect="1"/>
            </wp:cNvGraphicFramePr>
            <a:graphic>
              <a:graphicData uri="http://schemas.openxmlformats.org/drawingml/2006/picture">
                <pic:pic>
                  <pic:nvPicPr>
                    <pic:cNvPr id="0" name="personalized_workflow.png"/>
                    <pic:cNvPicPr/>
                  </pic:nvPicPr>
                  <pic:blipFill>
                    <a:blip r:embed="rId36"/>
                    <a:stretch>
                      <a:fillRect/>
                    </a:stretch>
                  </pic:blipFill>
                  <pic:spPr>
                    <a:xfrm>
                      <a:off x="0" y="0"/>
                      <a:ext cx="4937760" cy="2211987"/>
                    </a:xfrm>
                    <a:prstGeom prst="rect"/>
                  </pic:spPr>
                </pic:pic>
              </a:graphicData>
            </a:graphic>
          </wp:inline>
        </w:drawing>
      </w:r>
    </w:p>
    <w:p>
      <w:pPr>
        <w:spacing w:after="160" w:line="264" w:lineRule="auto"/>
        <w:jc w:val="center"/>
      </w:pPr>
      <w:r>
        <w:rPr>
          <w:rFonts w:ascii="Comic Sans MS" w:hAnsi="Comic Sans MS" w:cs="Comic Sans MS"/>
          <w:b/>
          <w:i/>
          <w:color w:val="595959"/>
          <w:sz w:val="22"/>
        </w:rPr>
        <w:t>Fig. 26 : Work-flow of personalized medicine</w:t>
      </w:r>
    </w:p>
    <w:p>
      <w:pPr>
        <w:spacing w:before="140" w:after="60" w:line="276" w:lineRule="auto"/>
        <w:keepNext/>
      </w:pPr>
      <w:r>
        <w:rPr>
          <w:rFonts w:ascii="Comic Sans MS" w:hAnsi="Comic Sans MS" w:cs="Comic Sans MS"/>
          <w:b/>
          <w:color w:val="000000"/>
          <w:sz w:val="28"/>
        </w:rPr>
        <w:t>Aims / advantages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Maximise efficacy while minimising adverse drug reactions.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Select responders and avoid treating non-responders (companion diagnostics).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Individualise the dose to the patient's metabolic capacity.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Enable early / predictive and preventive intervention.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Reduce trial-and-error prescribing and overall cost of therapy.</w:t>
      </w:r>
    </w:p>
    <w:p>
      <w:pPr>
        <w:spacing w:before="200" w:after="100" w:line="276" w:lineRule="auto"/>
        <w:keepNext/>
      </w:pPr>
      <w:r>
        <w:rPr>
          <w:rFonts w:ascii="Comic Sans MS" w:hAnsi="Comic Sans MS" w:cs="Comic Sans MS"/>
          <w:b/>
          <w:color w:val="FF0000"/>
          <w:sz w:val="32"/>
        </w:rPr>
        <w:t>6.2 Pharmacogenetics &amp; Pharmacogenomics</w:t>
      </w:r>
    </w:p>
    <w:p>
      <w:pPr>
        <w:spacing w:after="160"/>
        <w:jc w:val="both"/>
      </w:pPr>
      <w:r>
        <w:rPr>
          <w:rFonts w:ascii="Comic Sans MS" w:hAnsi="Comic Sans MS" w:cs="Comic Sans MS"/>
          <w:b/>
          <w:i w:val="0"/>
          <w:color w:val="000000"/>
          <w:sz w:val="28"/>
        </w:rPr>
        <w:t xml:space="preserve">Pharmacogenetics </w:t>
      </w:r>
      <w:r>
        <w:rPr>
          <w:rFonts w:ascii="Comic Sans MS" w:hAnsi="Comic Sans MS" w:cs="Comic Sans MS"/>
          <w:b w:val="0"/>
          <w:i w:val="0"/>
          <w:color w:val="000000"/>
          <w:sz w:val="28"/>
        </w:rPr>
        <w:t xml:space="preserve">is the study of how variations in a single gene influence an individual's response to a drug, whereas </w:t>
      </w:r>
      <w:r>
        <w:rPr>
          <w:rFonts w:ascii="Comic Sans MS" w:hAnsi="Comic Sans MS" w:cs="Comic Sans MS"/>
          <w:b/>
          <w:i w:val="0"/>
          <w:color w:val="000000"/>
          <w:sz w:val="28"/>
        </w:rPr>
        <w:t xml:space="preserve">pharmacogenomics </w:t>
      </w:r>
      <w:r>
        <w:rPr>
          <w:rFonts w:ascii="Comic Sans MS" w:hAnsi="Comic Sans MS" w:cs="Comic Sans MS"/>
          <w:b w:val="0"/>
          <w:i w:val="0"/>
          <w:color w:val="000000"/>
          <w:sz w:val="28"/>
        </w:rPr>
        <w:t>is the broader study of how the entire genome (many genes) affects drug response. Both form the scientific basis of personalized medicine.</w:t>
      </w:r>
    </w:p>
    <w:p>
      <w:pPr>
        <w:spacing w:after="160"/>
        <w:jc w:val="both"/>
      </w:pPr>
      <w:r>
        <w:rPr>
          <w:rFonts w:ascii="Comic Sans MS" w:hAnsi="Comic Sans MS" w:cs="Comic Sans MS"/>
          <w:b w:val="0"/>
          <w:i w:val="0"/>
          <w:color w:val="000000"/>
          <w:sz w:val="28"/>
        </w:rPr>
        <w:t>Genetic polymorphisms may affect pharmacokinetics (drug-metabolising enzymes, transporters) or pharmacodynamics (receptors, targets). The most important examples involve the cytochrome-P450 enzymes.</w:t>
      </w:r>
    </w:p>
    <w:p>
      <w:pPr>
        <w:spacing w:before="80" w:after="40"/>
        <w:jc w:val="center"/>
      </w:pPr>
      <w:r>
        <w:drawing>
          <wp:inline xmlns:a="http://schemas.openxmlformats.org/drawingml/2006/main" xmlns:pic="http://schemas.openxmlformats.org/drawingml/2006/picture">
            <wp:extent cx="4389120" cy="2831351"/>
            <wp:docPr id="27" name="Picture 27"/>
            <wp:cNvGraphicFramePr>
              <a:graphicFrameLocks noChangeAspect="1"/>
            </wp:cNvGraphicFramePr>
            <a:graphic>
              <a:graphicData uri="http://schemas.openxmlformats.org/drawingml/2006/picture">
                <pic:pic>
                  <pic:nvPicPr>
                    <pic:cNvPr id="0" name="metabolizer_types.png"/>
                    <pic:cNvPicPr/>
                  </pic:nvPicPr>
                  <pic:blipFill>
                    <a:blip r:embed="rId37"/>
                    <a:stretch>
                      <a:fillRect/>
                    </a:stretch>
                  </pic:blipFill>
                  <pic:spPr>
                    <a:xfrm>
                      <a:off x="0" y="0"/>
                      <a:ext cx="4389120" cy="2831351"/>
                    </a:xfrm>
                    <a:prstGeom prst="rect"/>
                  </pic:spPr>
                </pic:pic>
              </a:graphicData>
            </a:graphic>
          </wp:inline>
        </w:drawing>
      </w:r>
    </w:p>
    <w:p>
      <w:pPr>
        <w:spacing w:after="160" w:line="264" w:lineRule="auto"/>
        <w:jc w:val="center"/>
      </w:pPr>
      <w:r>
        <w:rPr>
          <w:rFonts w:ascii="Comic Sans MS" w:hAnsi="Comic Sans MS" w:cs="Comic Sans MS"/>
          <w:b/>
          <w:i/>
          <w:color w:val="595959"/>
          <w:sz w:val="22"/>
        </w:rPr>
        <w:t>Fig. 27 : Pharmacogenetic metabolizer phenotypes (illustrated for CYP2D6)</w:t>
      </w:r>
    </w:p>
    <w:p>
      <w:pPr>
        <w:spacing w:before="140" w:after="60" w:line="276" w:lineRule="auto"/>
        <w:keepNext/>
      </w:pPr>
      <w:r>
        <w:rPr>
          <w:rFonts w:ascii="Comic Sans MS" w:hAnsi="Comic Sans MS" w:cs="Comic Sans MS"/>
          <w:b/>
          <w:color w:val="000000"/>
          <w:sz w:val="28"/>
        </w:rPr>
        <w:t>Metabolizer phenotypes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Poor metabolizers (PM) : </w:t>
      </w:r>
      <w:r>
        <w:rPr>
          <w:rFonts w:ascii="Comic Sans MS" w:hAnsi="Comic Sans MS" w:cs="Comic Sans MS"/>
          <w:b w:val="0"/>
          <w:i w:val="0"/>
          <w:color w:val="000000"/>
          <w:sz w:val="28"/>
        </w:rPr>
        <w:t>deficient enzyme activity – drug accumulates; risk of toxicity at standard doses (or failure to activate a prodrug).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Intermediate metabolizers (IM) : </w:t>
      </w:r>
      <w:r>
        <w:rPr>
          <w:rFonts w:ascii="Comic Sans MS" w:hAnsi="Comic Sans MS" w:cs="Comic Sans MS"/>
          <w:b w:val="0"/>
          <w:i w:val="0"/>
          <w:color w:val="000000"/>
          <w:sz w:val="28"/>
        </w:rPr>
        <w:t>reduced activity.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Extensive metabolizers (EM) : </w:t>
      </w:r>
      <w:r>
        <w:rPr>
          <w:rFonts w:ascii="Comic Sans MS" w:hAnsi="Comic Sans MS" w:cs="Comic Sans MS"/>
          <w:b w:val="0"/>
          <w:i w:val="0"/>
          <w:color w:val="000000"/>
          <w:sz w:val="28"/>
        </w:rPr>
        <w:t>normal 'wild-type' activity.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Ultra-rapid metabolizers (UM) : </w:t>
      </w:r>
      <w:r>
        <w:rPr>
          <w:rFonts w:ascii="Comic Sans MS" w:hAnsi="Comic Sans MS" w:cs="Comic Sans MS"/>
          <w:b w:val="0"/>
          <w:i w:val="0"/>
          <w:color w:val="000000"/>
          <w:sz w:val="28"/>
        </w:rPr>
        <w:t>increased activity – drug cleared too fast; therapeutic failure, or excessive activation of a prodrug.</w:t>
      </w:r>
    </w:p>
    <w:p>
      <w:pPr>
        <w:spacing w:before="140" w:after="60" w:line="276" w:lineRule="auto"/>
        <w:keepNext/>
      </w:pPr>
      <w:r>
        <w:rPr>
          <w:rFonts w:ascii="Comic Sans MS" w:hAnsi="Comic Sans MS" w:cs="Comic Sans MS"/>
          <w:b/>
          <w:color w:val="000000"/>
          <w:sz w:val="28"/>
        </w:rPr>
        <w:t>Clinical pharmacogenetic examples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Gene / marker</w:t>
            </w:r>
          </w:p>
        </w:tc>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Drug</w:t>
            </w:r>
          </w:p>
        </w:tc>
        <w:tc>
          <w:tcPr>
            <w:tcW w:type="dxa" w:w="417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Clinical relevance</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CYP2C9 / VKORC1</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Warfarin</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Dose individualisation to avoid bleeding</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CYP2D6</w:t>
            </w:r>
          </w:p>
        </w:tc>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Codeine, tamoxifen</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PM – no analgesia; UM – toxicity</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TPMT</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Azathioprine / 6-MP</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Low activity → severe myelosuppression</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HLA-B*57:01</w:t>
            </w:r>
          </w:p>
        </w:tc>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Abacavir</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Hypersensitivity reaction – test before use</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HER2 (Neu)</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Trastuzumab</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Only HER2-positive breast cancers respond</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EGFR mutation</w:t>
            </w:r>
          </w:p>
        </w:tc>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Gefitinib / erlotinib</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Predicts response in NSCLC</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UGT1A1</w:t>
            </w:r>
          </w:p>
        </w:tc>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Irinotecan</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Reduced activity → toxicity</w:t>
            </w:r>
          </w:p>
        </w:tc>
      </w:tr>
    </w:tbl>
    <w:p>
      <w:pPr>
        <w:spacing w:after="40"/>
      </w:pPr>
    </w:p>
    <w:p>
      <w:pPr>
        <w:spacing w:before="200" w:after="100" w:line="276" w:lineRule="auto"/>
        <w:keepNext/>
      </w:pPr>
      <w:r>
        <w:rPr>
          <w:rFonts w:ascii="Comic Sans MS" w:hAnsi="Comic Sans MS" w:cs="Comic Sans MS"/>
          <w:b/>
          <w:color w:val="FF0000"/>
          <w:sz w:val="32"/>
        </w:rPr>
        <w:t>6.3 Categories of Patients for Personalized Medicine</w:t>
      </w:r>
    </w:p>
    <w:p>
      <w:pPr>
        <w:spacing w:after="160"/>
        <w:jc w:val="both"/>
      </w:pPr>
      <w:r>
        <w:rPr>
          <w:rFonts w:ascii="Comic Sans MS" w:hAnsi="Comic Sans MS" w:cs="Comic Sans MS"/>
          <w:b w:val="0"/>
          <w:i w:val="0"/>
          <w:color w:val="000000"/>
          <w:sz w:val="28"/>
        </w:rPr>
        <w:t>Personalized approaches are especially valuable for the following categories of patients, in whom variability or special needs make standard therapy risky or sub-optimal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Patients on drugs with a narrow therapeutic index (e.g., warfarin, digoxin, immunosuppressants).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Patients with known genetic polymorphisms in metabolising enzymes / targets.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Cancer patients (tumour molecular profiling guides targeted therapy).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Paediatric and geriatric patients (special dose and formulation needs).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Patients with organ (hepatic / renal) impairment altering pharmacokinetics.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Patients showing unusual response – non-responders or those with adverse reactions.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Patients requiring complex multi-drug regimens (polypharmacy).</w:t>
      </w:r>
    </w:p>
    <w:p>
      <w:pPr>
        <w:spacing w:before="200" w:after="100" w:line="276" w:lineRule="auto"/>
        <w:keepNext/>
      </w:pPr>
      <w:r>
        <w:rPr>
          <w:rFonts w:ascii="Comic Sans MS" w:hAnsi="Comic Sans MS" w:cs="Comic Sans MS"/>
          <w:b/>
          <w:color w:val="FF0000"/>
          <w:sz w:val="32"/>
        </w:rPr>
        <w:t>6.4 Customized Drug Delivery Systems</w:t>
      </w:r>
    </w:p>
    <w:p>
      <w:pPr>
        <w:spacing w:after="160"/>
        <w:jc w:val="both"/>
      </w:pPr>
      <w:r>
        <w:rPr>
          <w:rFonts w:ascii="Comic Sans MS" w:hAnsi="Comic Sans MS" w:cs="Comic Sans MS"/>
          <w:b w:val="0"/>
          <w:i w:val="0"/>
          <w:color w:val="000000"/>
          <w:sz w:val="28"/>
        </w:rPr>
        <w:t>Once the individual requirement is known, the delivery system itself can be customised – in dose, combination, release profile, size and shape – to suit the patient. Approaches include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Individualised dosing : </w:t>
      </w:r>
      <w:r>
        <w:rPr>
          <w:rFonts w:ascii="Comic Sans MS" w:hAnsi="Comic Sans MS" w:cs="Comic Sans MS"/>
          <w:b w:val="0"/>
          <w:i w:val="0"/>
          <w:color w:val="000000"/>
          <w:sz w:val="28"/>
        </w:rPr>
        <w:t>compounding or printing the exact dose required for a specific patient rather than commercial fixed strengths.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Polypills / fixed-dose combinations : </w:t>
      </w:r>
      <w:r>
        <w:rPr>
          <w:rFonts w:ascii="Comic Sans MS" w:hAnsi="Comic Sans MS" w:cs="Comic Sans MS"/>
          <w:b w:val="0"/>
          <w:i w:val="0"/>
          <w:color w:val="000000"/>
          <w:sz w:val="28"/>
        </w:rPr>
        <w:t>multiple drugs a patient needs combined in one unit to improve adherence.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Tailored release profiles : </w:t>
      </w:r>
      <w:r>
        <w:rPr>
          <w:rFonts w:ascii="Comic Sans MS" w:hAnsi="Comic Sans MS" w:cs="Comic Sans MS"/>
          <w:b w:val="0"/>
          <w:i w:val="0"/>
          <w:color w:val="000000"/>
          <w:sz w:val="28"/>
        </w:rPr>
        <w:t>chronotherapeutic or multi-phasic release matched to the patient's disease rhythm.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Patient-friendly forms : </w:t>
      </w:r>
      <w:r>
        <w:rPr>
          <w:rFonts w:ascii="Comic Sans MS" w:hAnsi="Comic Sans MS" w:cs="Comic Sans MS"/>
          <w:b w:val="0"/>
          <w:i w:val="0"/>
          <w:color w:val="000000"/>
          <w:sz w:val="28"/>
        </w:rPr>
        <w:t>orodispersible, chewable or flavoured forms for children and the elderly.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Point-of-care / on-demand manufacture : </w:t>
      </w:r>
      <w:r>
        <w:rPr>
          <w:rFonts w:ascii="Comic Sans MS" w:hAnsi="Comic Sans MS" w:cs="Comic Sans MS"/>
          <w:b w:val="0"/>
          <w:i w:val="0"/>
          <w:color w:val="000000"/>
          <w:sz w:val="28"/>
        </w:rPr>
        <w:t>small-scale production (e.g., 3D printing) at the pharmacy or hospital.</w:t>
      </w:r>
    </w:p>
    <w:p>
      <w:pPr>
        <w:spacing w:before="200" w:after="100" w:line="276" w:lineRule="auto"/>
        <w:keepNext/>
      </w:pPr>
      <w:r>
        <w:rPr>
          <w:rFonts w:ascii="Comic Sans MS" w:hAnsi="Comic Sans MS" w:cs="Comic Sans MS"/>
          <w:b/>
          <w:color w:val="FF0000"/>
          <w:sz w:val="32"/>
        </w:rPr>
        <w:t>6.5 Bioelectronic Medicines</w:t>
      </w:r>
    </w:p>
    <w:p>
      <w:pPr>
        <w:spacing w:after="160"/>
        <w:jc w:val="both"/>
      </w:pPr>
      <w:r>
        <w:rPr>
          <w:rFonts w:ascii="Comic Sans MS" w:hAnsi="Comic Sans MS" w:cs="Comic Sans MS"/>
          <w:b w:val="0"/>
          <w:i w:val="0"/>
          <w:color w:val="000000"/>
          <w:sz w:val="28"/>
        </w:rPr>
        <w:t>Bioelectronic medicine (electroceuticals) is an emerging field that uses electrical impulses delivered by miniature implanted devices to modulate the activity of nerves and organs, instead of (or in addition to) chemical drugs. By reading and correcting the electrical signalling of the body's neural circuits, these devices aim to treat disease with high precision and few systemic side effects.</w:t>
      </w:r>
    </w:p>
    <w:p>
      <w:pPr>
        <w:spacing w:before="80" w:after="40"/>
        <w:jc w:val="center"/>
      </w:pPr>
      <w:r>
        <w:drawing>
          <wp:inline xmlns:a="http://schemas.openxmlformats.org/drawingml/2006/main" xmlns:pic="http://schemas.openxmlformats.org/drawingml/2006/picture">
            <wp:extent cx="4572000" cy="2633472"/>
            <wp:docPr id="28" name="Picture 28"/>
            <wp:cNvGraphicFramePr>
              <a:graphicFrameLocks noChangeAspect="1"/>
            </wp:cNvGraphicFramePr>
            <a:graphic>
              <a:graphicData uri="http://schemas.openxmlformats.org/drawingml/2006/picture">
                <pic:pic>
                  <pic:nvPicPr>
                    <pic:cNvPr id="0" name="bioelectronic.png"/>
                    <pic:cNvPicPr/>
                  </pic:nvPicPr>
                  <pic:blipFill>
                    <a:blip r:embed="rId38"/>
                    <a:stretch>
                      <a:fillRect/>
                    </a:stretch>
                  </pic:blipFill>
                  <pic:spPr>
                    <a:xfrm>
                      <a:off x="0" y="0"/>
                      <a:ext cx="4572000" cy="2633472"/>
                    </a:xfrm>
                    <a:prstGeom prst="rect"/>
                  </pic:spPr>
                </pic:pic>
              </a:graphicData>
            </a:graphic>
          </wp:inline>
        </w:drawing>
      </w:r>
    </w:p>
    <w:p>
      <w:pPr>
        <w:spacing w:after="160" w:line="264" w:lineRule="auto"/>
        <w:jc w:val="center"/>
      </w:pPr>
      <w:r>
        <w:rPr>
          <w:rFonts w:ascii="Comic Sans MS" w:hAnsi="Comic Sans MS" w:cs="Comic Sans MS"/>
          <w:b/>
          <w:i/>
          <w:color w:val="595959"/>
          <w:sz w:val="22"/>
        </w:rPr>
        <w:t>Fig. 28 : Principle of a bioelectronic (neuromodulation) device</w:t>
      </w:r>
    </w:p>
    <w:p>
      <w:pPr>
        <w:spacing w:before="140" w:after="60" w:line="276" w:lineRule="auto"/>
        <w:keepNext/>
      </w:pPr>
      <w:r>
        <w:rPr>
          <w:rFonts w:ascii="Comic Sans MS" w:hAnsi="Comic Sans MS" w:cs="Comic Sans MS"/>
          <w:b/>
          <w:color w:val="000000"/>
          <w:sz w:val="28"/>
        </w:rPr>
        <w:t>Examples &amp; applications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Cardiac pacemakers and implantable cardioverter-defibrillators.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Deep-brain stimulation for Parkinson's disease and essential tremor.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Vagus-nerve stimulation for epilepsy, depression and inflammatory disease.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Spinal-cord stimulators for chronic pain.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Cochlear implants; sacral-nerve stimulation for bladder control.</w:t>
      </w:r>
    </w:p>
    <w:p>
      <w:pPr>
        <w:spacing w:after="160"/>
        <w:jc w:val="both"/>
      </w:pPr>
      <w:r>
        <w:rPr>
          <w:rFonts w:ascii="Comic Sans MS" w:hAnsi="Comic Sans MS" w:cs="Comic Sans MS"/>
          <w:b w:val="0"/>
          <w:i w:val="0"/>
          <w:color w:val="000000"/>
          <w:sz w:val="28"/>
        </w:rPr>
        <w:t>Advantages : highly targeted, drug-free, reversible and adjustable. Limitations : invasive implantation, device / battery maintenance and high cost.</w:t>
      </w:r>
    </w:p>
    <w:p>
      <w:pPr>
        <w:spacing w:before="200" w:after="100" w:line="276" w:lineRule="auto"/>
        <w:keepNext/>
      </w:pPr>
      <w:r>
        <w:rPr>
          <w:rFonts w:ascii="Comic Sans MS" w:hAnsi="Comic Sans MS" w:cs="Comic Sans MS"/>
          <w:b/>
          <w:color w:val="FF0000"/>
          <w:sz w:val="32"/>
        </w:rPr>
        <w:t>6.6 3D Printing of Pharmaceuticals</w:t>
      </w:r>
    </w:p>
    <w:p>
      <w:pPr>
        <w:spacing w:after="160"/>
        <w:jc w:val="both"/>
      </w:pPr>
      <w:r>
        <w:rPr>
          <w:rFonts w:ascii="Comic Sans MS" w:hAnsi="Comic Sans MS" w:cs="Comic Sans MS"/>
          <w:b w:val="0"/>
          <w:i w:val="0"/>
          <w:color w:val="000000"/>
          <w:sz w:val="28"/>
        </w:rPr>
        <w:t>Three-dimensional (3D) printing is an additive manufacturing technique that builds a solid object layer-by-layer from a digital design. Applied to pharmaceuticals, it allows on-demand fabrication of dosage forms with a precisely controlled dose, geometry, internal structure and release profile – a powerful enabler of personalized medicine.</w:t>
      </w:r>
    </w:p>
    <w:p>
      <w:pPr>
        <w:spacing w:before="80" w:after="40"/>
        <w:jc w:val="center"/>
      </w:pPr>
      <w:r>
        <w:drawing>
          <wp:inline xmlns:a="http://schemas.openxmlformats.org/drawingml/2006/main" xmlns:pic="http://schemas.openxmlformats.org/drawingml/2006/picture">
            <wp:extent cx="3657600" cy="3023001"/>
            <wp:docPr id="29" name="Picture 29"/>
            <wp:cNvGraphicFramePr>
              <a:graphicFrameLocks noChangeAspect="1"/>
            </wp:cNvGraphicFramePr>
            <a:graphic>
              <a:graphicData uri="http://schemas.openxmlformats.org/drawingml/2006/picture">
                <pic:pic>
                  <pic:nvPicPr>
                    <pic:cNvPr id="0" name="printing_3d.png"/>
                    <pic:cNvPicPr/>
                  </pic:nvPicPr>
                  <pic:blipFill>
                    <a:blip r:embed="rId39"/>
                    <a:stretch>
                      <a:fillRect/>
                    </a:stretch>
                  </pic:blipFill>
                  <pic:spPr>
                    <a:xfrm>
                      <a:off x="0" y="0"/>
                      <a:ext cx="3657600" cy="3023001"/>
                    </a:xfrm>
                    <a:prstGeom prst="rect"/>
                  </pic:spPr>
                </pic:pic>
              </a:graphicData>
            </a:graphic>
          </wp:inline>
        </w:drawing>
      </w:r>
    </w:p>
    <w:p>
      <w:pPr>
        <w:spacing w:after="160" w:line="264" w:lineRule="auto"/>
        <w:jc w:val="center"/>
      </w:pPr>
      <w:r>
        <w:rPr>
          <w:rFonts w:ascii="Comic Sans MS" w:hAnsi="Comic Sans MS" w:cs="Comic Sans MS"/>
          <w:b/>
          <w:i/>
          <w:color w:val="595959"/>
          <w:sz w:val="22"/>
        </w:rPr>
        <w:t>Fig. 29 : Fused-deposition-modelling 3D printing of a tablet</w:t>
      </w:r>
    </w:p>
    <w:p>
      <w:pPr>
        <w:spacing w:before="140" w:after="60" w:line="276" w:lineRule="auto"/>
        <w:keepNext/>
      </w:pPr>
      <w:r>
        <w:rPr>
          <w:rFonts w:ascii="Comic Sans MS" w:hAnsi="Comic Sans MS" w:cs="Comic Sans MS"/>
          <w:b/>
          <w:color w:val="000000"/>
          <w:sz w:val="28"/>
        </w:rPr>
        <w:t>Common 3D-printing techniques for medicines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Fused deposition modelling (FDM) : </w:t>
      </w:r>
      <w:r>
        <w:rPr>
          <w:rFonts w:ascii="Comic Sans MS" w:hAnsi="Comic Sans MS" w:cs="Comic Sans MS"/>
          <w:b w:val="0"/>
          <w:i w:val="0"/>
          <w:color w:val="000000"/>
          <w:sz w:val="28"/>
        </w:rPr>
        <w:t>a drug-loaded polymer filament is melted and extruded layer-by-layer.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Powder-based binder-jet printing : </w:t>
      </w:r>
      <w:r>
        <w:rPr>
          <w:rFonts w:ascii="Comic Sans MS" w:hAnsi="Comic Sans MS" w:cs="Comic Sans MS"/>
          <w:b w:val="0"/>
          <w:i w:val="0"/>
          <w:color w:val="000000"/>
          <w:sz w:val="28"/>
        </w:rPr>
        <w:t>a liquid binder is jetted onto powder layers (used for Spritam®, the first FDA-approved 3D-printed tablet, a rapidly-disintegrating levetiracetam form).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Stereolithography (SLA) : </w:t>
      </w:r>
      <w:r>
        <w:rPr>
          <w:rFonts w:ascii="Comic Sans MS" w:hAnsi="Comic Sans MS" w:cs="Comic Sans MS"/>
          <w:b w:val="0"/>
          <w:i w:val="0"/>
          <w:color w:val="000000"/>
          <w:sz w:val="28"/>
        </w:rPr>
        <w:t>a photopolymer resin is cured by light layer-by-layer – high resolution.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Semi-solid extrusion (SSE) : </w:t>
      </w:r>
      <w:r>
        <w:rPr>
          <w:rFonts w:ascii="Comic Sans MS" w:hAnsi="Comic Sans MS" w:cs="Comic Sans MS"/>
          <w:b w:val="0"/>
          <w:i w:val="0"/>
          <w:color w:val="000000"/>
          <w:sz w:val="28"/>
        </w:rPr>
        <w:t>a paste / gel is extruded – suitable at room temperature for heat-labile drugs.</w:t>
      </w:r>
    </w:p>
    <w:p>
      <w:pPr>
        <w:spacing w:before="140" w:after="60" w:line="276" w:lineRule="auto"/>
        <w:keepNext/>
      </w:pPr>
      <w:r>
        <w:rPr>
          <w:rFonts w:ascii="Comic Sans MS" w:hAnsi="Comic Sans MS" w:cs="Comic Sans MS"/>
          <w:b/>
          <w:color w:val="000000"/>
          <w:sz w:val="28"/>
        </w:rPr>
        <w:t>Advantages of 3D-printed medicines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Precise, flexible and individualised dosing (any strength).</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Complex geometries and multi-drug 'polyprintlets' with tailored release.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Rapid prototyping and on-demand, decentralised manufacture.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Reduction of excipients and possibility of highly porous, fast-dissolving tablets.</w:t>
      </w:r>
    </w:p>
    <w:p>
      <w:pPr>
        <w:spacing w:after="160"/>
        <w:jc w:val="both"/>
      </w:pPr>
      <w:r>
        <w:rPr>
          <w:rFonts w:ascii="Comic Sans MS" w:hAnsi="Comic Sans MS" w:cs="Comic Sans MS"/>
          <w:b w:val="0"/>
          <w:i w:val="0"/>
          <w:color w:val="000000"/>
          <w:sz w:val="28"/>
        </w:rPr>
        <w:t>Challenges include regulatory approval, quality control of small batches, limited range of pharmaceutical-grade printable materials and stability during processing.</w:t>
      </w:r>
    </w:p>
    <w:p>
      <w:pPr>
        <w:spacing w:before="200" w:after="100" w:line="276" w:lineRule="auto"/>
        <w:keepNext/>
      </w:pPr>
      <w:r>
        <w:rPr>
          <w:rFonts w:ascii="Comic Sans MS" w:hAnsi="Comic Sans MS" w:cs="Comic Sans MS"/>
          <w:b/>
          <w:color w:val="FF0000"/>
          <w:sz w:val="32"/>
        </w:rPr>
        <w:t>6.7 Telepharmacy</w:t>
      </w:r>
    </w:p>
    <w:p>
      <w:pPr>
        <w:spacing w:after="160"/>
        <w:jc w:val="both"/>
      </w:pPr>
      <w:r>
        <w:rPr>
          <w:rFonts w:ascii="Comic Sans MS" w:hAnsi="Comic Sans MS" w:cs="Comic Sans MS"/>
          <w:b w:val="0"/>
          <w:i w:val="0"/>
          <w:color w:val="000000"/>
          <w:sz w:val="28"/>
        </w:rPr>
        <w:t>Telepharmacy is the delivery of pharmaceutical care and services by a registered pharmacist to patients at a distance through the use of telecommunications and information technology, when direct, in-person contact is not possible. It extends pharmacy services to remote, rural and under-served areas.</w:t>
      </w:r>
    </w:p>
    <w:p>
      <w:pPr>
        <w:spacing w:before="80" w:after="40"/>
        <w:jc w:val="center"/>
      </w:pPr>
      <w:r>
        <w:drawing>
          <wp:inline xmlns:a="http://schemas.openxmlformats.org/drawingml/2006/main" xmlns:pic="http://schemas.openxmlformats.org/drawingml/2006/picture">
            <wp:extent cx="4754880" cy="2440083"/>
            <wp:docPr id="30" name="Picture 30"/>
            <wp:cNvGraphicFramePr>
              <a:graphicFrameLocks noChangeAspect="1"/>
            </wp:cNvGraphicFramePr>
            <a:graphic>
              <a:graphicData uri="http://schemas.openxmlformats.org/drawingml/2006/picture">
                <pic:pic>
                  <pic:nvPicPr>
                    <pic:cNvPr id="0" name="telepharmacy.png"/>
                    <pic:cNvPicPr/>
                  </pic:nvPicPr>
                  <pic:blipFill>
                    <a:blip r:embed="rId40"/>
                    <a:stretch>
                      <a:fillRect/>
                    </a:stretch>
                  </pic:blipFill>
                  <pic:spPr>
                    <a:xfrm>
                      <a:off x="0" y="0"/>
                      <a:ext cx="4754880" cy="2440083"/>
                    </a:xfrm>
                    <a:prstGeom prst="rect"/>
                  </pic:spPr>
                </pic:pic>
              </a:graphicData>
            </a:graphic>
          </wp:inline>
        </w:drawing>
      </w:r>
    </w:p>
    <w:p>
      <w:pPr>
        <w:spacing w:after="160" w:line="264" w:lineRule="auto"/>
        <w:jc w:val="center"/>
      </w:pPr>
      <w:r>
        <w:rPr>
          <w:rFonts w:ascii="Comic Sans MS" w:hAnsi="Comic Sans MS" w:cs="Comic Sans MS"/>
          <w:b/>
          <w:i/>
          <w:color w:val="595959"/>
          <w:sz w:val="22"/>
        </w:rPr>
        <w:t>Fig. 30 : Telepharmacy – remote delivery of pharmaceutical care</w:t>
      </w:r>
    </w:p>
    <w:p>
      <w:pPr>
        <w:spacing w:before="140" w:after="60" w:line="276" w:lineRule="auto"/>
        <w:keepNext/>
      </w:pPr>
      <w:r>
        <w:rPr>
          <w:rFonts w:ascii="Comic Sans MS" w:hAnsi="Comic Sans MS" w:cs="Comic Sans MS"/>
          <w:b/>
          <w:color w:val="000000"/>
          <w:sz w:val="28"/>
        </w:rPr>
        <w:t>Services &amp; applications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Remote order entry, prescription review and verification by a pharmacist.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Tele-counselling and patient education via video link.</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Remote supervision of dispensing at a satellite / automated site.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Medication-therapy management and monitoring of chronic patients.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Support for rural hospitals lacking an on-site pharmacist.</w:t>
      </w:r>
    </w:p>
    <w:p>
      <w:pPr>
        <w:spacing w:after="160"/>
        <w:jc w:val="both"/>
      </w:pPr>
      <w:r>
        <w:rPr>
          <w:rFonts w:ascii="Comic Sans MS" w:hAnsi="Comic Sans MS" w:cs="Comic Sans MS"/>
          <w:b w:val="0"/>
          <w:i w:val="0"/>
          <w:color w:val="000000"/>
          <w:sz w:val="28"/>
        </w:rPr>
        <w:t>Advantages : improved access, cost savings, expanded reach and continuity of care. Limitations : dependence on technology / connectivity, data-privacy and security concerns, licensing / regulatory issues and the absence of physical examination.</w:t>
      </w:r>
    </w:p>
    <w:p>
      <w:r>
        <w:br w:type="page"/>
      </w:r>
    </w:p>
    <w:p>
      <w:pPr>
        <w:spacing w:before="200" w:after="100" w:line="276" w:lineRule="auto"/>
        <w:keepNext/>
      </w:pPr>
      <w:r>
        <w:rPr>
          <w:rFonts w:ascii="Comic Sans MS" w:hAnsi="Comic Sans MS" w:cs="Comic Sans MS"/>
          <w:b/>
          <w:color w:val="FF0000"/>
          <w:sz w:val="32"/>
        </w:rPr>
        <w:t>6.8 The Human Genome, SNPs &amp; the Basis of Variability</w:t>
      </w:r>
    </w:p>
    <w:p>
      <w:pPr>
        <w:spacing w:after="160"/>
        <w:jc w:val="both"/>
      </w:pPr>
      <w:r>
        <w:rPr>
          <w:rFonts w:ascii="Comic Sans MS" w:hAnsi="Comic Sans MS" w:cs="Comic Sans MS"/>
          <w:b w:val="0"/>
          <w:i w:val="0"/>
          <w:color w:val="000000"/>
          <w:sz w:val="28"/>
        </w:rPr>
        <w:t>The completion of the Human Genome Project (2003) provided the reference against which individual variation is measured. The most common form of genetic variation is the single-nucleotide polymorphism (SNP) – a single base difference occurring in at least 1 % of the population. SNPs (and copy-number variations) in genes coding for drug-metabolising enzymes, transporters, receptors and targets account for much of the inter-individual difference in drug response, and are the molecular foundation of pharmacogenomics.</w:t>
      </w:r>
    </w:p>
    <w:p>
      <w:pPr>
        <w:spacing w:before="200" w:after="100" w:line="276" w:lineRule="auto"/>
        <w:keepNext/>
      </w:pPr>
      <w:r>
        <w:rPr>
          <w:rFonts w:ascii="Comic Sans MS" w:hAnsi="Comic Sans MS" w:cs="Comic Sans MS"/>
          <w:b/>
          <w:color w:val="FF0000"/>
          <w:sz w:val="32"/>
        </w:rPr>
        <w:t>6.9 Biomarkers &amp; Companion Diagnostics</w:t>
      </w:r>
    </w:p>
    <w:p>
      <w:pPr>
        <w:spacing w:after="160"/>
        <w:jc w:val="both"/>
      </w:pPr>
      <w:r>
        <w:rPr>
          <w:rFonts w:ascii="Comic Sans MS" w:hAnsi="Comic Sans MS" w:cs="Comic Sans MS"/>
          <w:b w:val="0"/>
          <w:i w:val="0"/>
          <w:color w:val="000000"/>
          <w:sz w:val="28"/>
        </w:rPr>
        <w:t>A biomarker is a measurable indicator of a biological state (a gene, protein, metabolite or imaging feature) used to predict disease, prognosis or drug response. A companion diagnostic is an in-vitro test that is co-developed with a drug and is essential for its safe and effective use – it identifies the patients most likely to benefit (or to be harmed). Examples : HER2 testing before trastuzumab; EGFR mutation testing before gefitinib; BRAF V600E testing before vemurafenib; KRAS testing before cetuximab.</w:t>
      </w:r>
    </w:p>
    <w:p>
      <w:pPr>
        <w:spacing w:before="200" w:after="100" w:line="276" w:lineRule="auto"/>
        <w:keepNext/>
      </w:pPr>
      <w:r>
        <w:rPr>
          <w:rFonts w:ascii="Comic Sans MS" w:hAnsi="Comic Sans MS" w:cs="Comic Sans MS"/>
          <w:b/>
          <w:color w:val="FF0000"/>
          <w:sz w:val="32"/>
        </w:rPr>
        <w:t>6.10 Pharmacogenomics in Oncology (Targeted Therapy)</w:t>
      </w:r>
    </w:p>
    <w:p>
      <w:pPr>
        <w:spacing w:after="160"/>
        <w:jc w:val="both"/>
      </w:pPr>
      <w:r>
        <w:rPr>
          <w:rFonts w:ascii="Comic Sans MS" w:hAnsi="Comic Sans MS" w:cs="Comic Sans MS"/>
          <w:b w:val="0"/>
          <w:i w:val="0"/>
          <w:color w:val="000000"/>
          <w:sz w:val="28"/>
        </w:rPr>
        <w:t>Cancer is the flagship application of personalized medicine because tumours can be molecularly profiled and matched to targeted drugs. Genotyping the tumour identifies 'driver' mutations that can be blocked selectively, sparing normal cells and reducing toxicity compared with conventional cytotoxic chemotherapy.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73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Tumour marker</w:t>
            </w:r>
          </w:p>
        </w:tc>
        <w:tc>
          <w:tcPr>
            <w:tcW w:type="dxa" w:w="31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Targeted drug</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Cancer</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HER2 amplification</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Trastuzumab</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Breast</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BCR-ABL fusion</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Imatinib</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Chronic myeloid leukaemia</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EGFR mutation</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Gefitinib / erlotinib</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Non-small-cell lung</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BRAF V600E</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Vemurafenib</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Melanoma</w:t>
            </w:r>
          </w:p>
        </w:tc>
      </w:tr>
      <w:tr>
        <w:tc>
          <w:tcPr>
            <w:tcW w:type="dxa" w:w="273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KRAS wild-type</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Cetuximab</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Colorectal</w:t>
            </w:r>
          </w:p>
        </w:tc>
      </w:tr>
      <w:tr>
        <w:tc>
          <w:tcPr>
            <w:tcW w:type="dxa" w:w="273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PD-L1 expression</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Pembrolizumab</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Various (immunotherapy)</w:t>
            </w:r>
          </w:p>
        </w:tc>
      </w:tr>
    </w:tbl>
    <w:p>
      <w:pPr>
        <w:spacing w:after="40"/>
      </w:pPr>
    </w:p>
    <w:p>
      <w:pPr>
        <w:spacing w:before="200" w:after="100" w:line="276" w:lineRule="auto"/>
        <w:keepNext/>
      </w:pPr>
      <w:r>
        <w:rPr>
          <w:rFonts w:ascii="Comic Sans MS" w:hAnsi="Comic Sans MS" w:cs="Comic Sans MS"/>
          <w:b/>
          <w:color w:val="FF0000"/>
          <w:sz w:val="32"/>
        </w:rPr>
        <w:t>6.11 Nanotechnology in Personalized Medicine</w:t>
      </w:r>
    </w:p>
    <w:p>
      <w:pPr>
        <w:spacing w:after="160"/>
        <w:jc w:val="both"/>
      </w:pPr>
      <w:r>
        <w:rPr>
          <w:rFonts w:ascii="Comic Sans MS" w:hAnsi="Comic Sans MS" w:cs="Comic Sans MS"/>
          <w:b w:val="0"/>
          <w:i w:val="0"/>
          <w:color w:val="000000"/>
          <w:sz w:val="28"/>
        </w:rPr>
        <w:t>Nanocarriers (liposomes, polymeric nanoparticles, dendrimers, micelles) can be engineered with targeting ligands (antibodies, peptides, folate) that recognise markers over-expressed on a particular patient's diseased cells, giving 'theranostic' systems that combine therapy and diagnosis. This allows the delivery to be personalised to the molecular signature of the individual's disease.</w:t>
      </w:r>
    </w:p>
    <w:p>
      <w:pPr>
        <w:spacing w:before="200" w:after="100" w:line="276" w:lineRule="auto"/>
        <w:keepNext/>
      </w:pPr>
      <w:r>
        <w:rPr>
          <w:rFonts w:ascii="Comic Sans MS" w:hAnsi="Comic Sans MS" w:cs="Comic Sans MS"/>
          <w:b/>
          <w:color w:val="FF0000"/>
          <w:sz w:val="32"/>
        </w:rPr>
        <w:t>6.12 Advances in Customized Manufacturing</w:t>
      </w:r>
    </w:p>
    <w:p>
      <w:pPr>
        <w:spacing w:after="160"/>
        <w:jc w:val="both"/>
      </w:pPr>
      <w:r>
        <w:rPr>
          <w:rFonts w:ascii="Comic Sans MS" w:hAnsi="Comic Sans MS" w:cs="Comic Sans MS"/>
          <w:b w:val="0"/>
          <w:i w:val="0"/>
          <w:color w:val="000000"/>
          <w:sz w:val="28"/>
        </w:rPr>
        <w:t>Beyond 3D printing, personalized dosage forms are enabled by : automated compounding, printed orodispersible films of individualised dose, and digital 'formulation-on-demand'. 3D printing in particular allows dose flexibility, complex multi-drug 'polyprintlets', tailored release geometry and rapid decentralised production at the point of care.</w:t>
      </w:r>
    </w:p>
    <w:p>
      <w:pPr>
        <w:spacing w:before="140" w:after="60" w:line="276" w:lineRule="auto"/>
        <w:keepNext/>
      </w:pPr>
      <w:r>
        <w:rPr>
          <w:rFonts w:ascii="Comic Sans MS" w:hAnsi="Comic Sans MS" w:cs="Comic Sans MS"/>
          <w:b/>
          <w:color w:val="000000"/>
          <w:sz w:val="28"/>
        </w:rPr>
        <w:t>Comparison of 3D-printing techniques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87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Technique</w:t>
            </w:r>
          </w:p>
        </w:tc>
        <w:tc>
          <w:tcPr>
            <w:tcW w:type="dxa" w:w="388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Principle</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Note</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FDM</w:t>
            </w:r>
          </w:p>
        </w:tc>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Melt-extrude drug-loaded filament</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Needs thermostable drug</w:t>
            </w:r>
          </w:p>
        </w:tc>
      </w:tr>
      <w:tr>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Binder-jet</w:t>
            </w:r>
          </w:p>
        </w:tc>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Liquid binder on powder bed</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Spritam® (levetiracetam)</w:t>
            </w:r>
          </w:p>
        </w:tc>
      </w:tr>
      <w:tr>
        <w:tc>
          <w:tcPr>
            <w:tcW w:type="dxa" w:w="187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SLA</w:t>
            </w:r>
          </w:p>
        </w:tc>
        <w:tc>
          <w:tcPr>
            <w:tcW w:type="dxa" w:w="388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Light-cures liquid resin</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High resolution</w:t>
            </w:r>
          </w:p>
        </w:tc>
      </w:tr>
      <w:tr>
        <w:tc>
          <w:tcPr>
            <w:tcW w:type="dxa" w:w="187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SSE</w:t>
            </w:r>
          </w:p>
        </w:tc>
        <w:tc>
          <w:tcPr>
            <w:tcW w:type="dxa" w:w="388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Extrudes paste at room temp</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Good for heat-labile drugs</w:t>
            </w:r>
          </w:p>
        </w:tc>
      </w:tr>
    </w:tbl>
    <w:p>
      <w:pPr>
        <w:spacing w:after="40"/>
      </w:pPr>
    </w:p>
    <w:p>
      <w:pPr>
        <w:spacing w:before="200" w:after="100" w:line="276" w:lineRule="auto"/>
        <w:keepNext/>
      </w:pPr>
      <w:r>
        <w:rPr>
          <w:rFonts w:ascii="Comic Sans MS" w:hAnsi="Comic Sans MS" w:cs="Comic Sans MS"/>
          <w:b/>
          <w:color w:val="FF0000"/>
          <w:sz w:val="32"/>
        </w:rPr>
        <w:t>6.13 Challenges, Ethics &amp; Future Perspective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Scientific : </w:t>
      </w:r>
      <w:r>
        <w:rPr>
          <w:rFonts w:ascii="Comic Sans MS" w:hAnsi="Comic Sans MS" w:cs="Comic Sans MS"/>
          <w:b w:val="0"/>
          <w:i w:val="0"/>
          <w:color w:val="000000"/>
          <w:sz w:val="28"/>
        </w:rPr>
        <w:t>many diseases are polygenic and multifactorial; a single marker rarely explains response fully.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Economic : </w:t>
      </w:r>
      <w:r>
        <w:rPr>
          <w:rFonts w:ascii="Comic Sans MS" w:hAnsi="Comic Sans MS" w:cs="Comic Sans MS"/>
          <w:b w:val="0"/>
          <w:i w:val="0"/>
          <w:color w:val="000000"/>
          <w:sz w:val="28"/>
        </w:rPr>
        <w:t>cost of genotyping and companion diagnostics; reimbursement issues.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Ethical &amp; legal : </w:t>
      </w:r>
      <w:r>
        <w:rPr>
          <w:rFonts w:ascii="Comic Sans MS" w:hAnsi="Comic Sans MS" w:cs="Comic Sans MS"/>
          <w:b w:val="0"/>
          <w:i w:val="0"/>
          <w:color w:val="000000"/>
          <w:sz w:val="28"/>
        </w:rPr>
        <w:t>genetic privacy, informed consent, risk of discrimination, data security.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Regulatory : </w:t>
      </w:r>
      <w:r>
        <w:rPr>
          <w:rFonts w:ascii="Comic Sans MS" w:hAnsi="Comic Sans MS" w:cs="Comic Sans MS"/>
          <w:b w:val="0"/>
          <w:i w:val="0"/>
          <w:color w:val="000000"/>
          <w:sz w:val="28"/>
        </w:rPr>
        <w:t>approval frameworks for small / individualised batches (e.g., 3D-printed medicines) and companion diagnostics.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Educational : </w:t>
      </w:r>
      <w:r>
        <w:rPr>
          <w:rFonts w:ascii="Comic Sans MS" w:hAnsi="Comic Sans MS" w:cs="Comic Sans MS"/>
          <w:b w:val="0"/>
          <w:i w:val="0"/>
          <w:color w:val="000000"/>
          <w:sz w:val="28"/>
        </w:rPr>
        <w:t>need to train clinicians and pharmacists in genomics.</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Personalized Medicine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Right drug – right dose – right patient – right time.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Pharmacogenetics = one gene; pharmacogenomics = whole genome; SNP = commonest variation.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Companion diagnostics : HER2–trastuzumab, EGFR–gefitinib, HLA-B*57:01–abacavir, TPMT–azathioprine.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Spritam® = first FDA-approved 3D-printed tablet (binder-jet).</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Electroceuticals = bioelectronic medicine; telepharmacy extends care to remote areas.</w:t>
            </w:r>
          </w:p>
        </w:tc>
      </w:tr>
    </w:tbl>
    <w:p>
      <w:pPr>
        <w:spacing w:after="40"/>
      </w:pPr>
    </w:p>
    <w:p>
      <w:r>
        <w:br w:type="page"/>
      </w:r>
    </w:p>
    <w:p>
      <w:pPr>
        <w:spacing w:before="200" w:after="100" w:line="276" w:lineRule="auto"/>
        <w:keepNext/>
      </w:pPr>
      <w:r>
        <w:rPr>
          <w:rFonts w:ascii="Comic Sans MS" w:hAnsi="Comic Sans MS" w:cs="Comic Sans MS"/>
          <w:b/>
          <w:color w:val="FF0000"/>
          <w:sz w:val="32"/>
        </w:rPr>
        <w:t>6.14 Evolution &amp; Levels of Personalized Medicine</w:t>
      </w:r>
    </w:p>
    <w:p>
      <w:pPr>
        <w:spacing w:after="160"/>
        <w:jc w:val="both"/>
      </w:pPr>
      <w:r>
        <w:rPr>
          <w:rFonts w:ascii="Comic Sans MS" w:hAnsi="Comic Sans MS" w:cs="Comic Sans MS"/>
          <w:b w:val="0"/>
          <w:i w:val="0"/>
          <w:color w:val="000000"/>
          <w:sz w:val="28"/>
        </w:rPr>
        <w:t>The idea that treatment should suit the individual is ancient, but modern personalized medicine became feasible only with the molecular-biology revolution and the sequencing of the human genome. It can be applied at several levels : selecting the drug (responder identification), individualising the dose (to metabolic capacity), timing the therapy (chronotherapy), and tailoring the delivery system (customised dosage form). The greater the genetic and physiological contribution to variability, the greater the benefit of a personalized approach.</w:t>
      </w:r>
    </w:p>
    <w:p>
      <w:pPr>
        <w:spacing w:before="200" w:after="100" w:line="276" w:lineRule="auto"/>
        <w:keepNext/>
      </w:pPr>
      <w:r>
        <w:rPr>
          <w:rFonts w:ascii="Comic Sans MS" w:hAnsi="Comic Sans MS" w:cs="Comic Sans MS"/>
          <w:b/>
          <w:color w:val="FF0000"/>
          <w:sz w:val="32"/>
        </w:rPr>
        <w:t>6.15 Pharmacokinetic vs Pharmacodynamic Pharmacogenetics</w:t>
      </w:r>
    </w:p>
    <w:p>
      <w:pPr>
        <w:spacing w:after="160"/>
        <w:jc w:val="both"/>
      </w:pPr>
      <w:r>
        <w:rPr>
          <w:rFonts w:ascii="Comic Sans MS" w:hAnsi="Comic Sans MS" w:cs="Comic Sans MS"/>
          <w:b w:val="0"/>
          <w:i w:val="0"/>
          <w:color w:val="000000"/>
          <w:sz w:val="28"/>
        </w:rPr>
        <w:t>Genetic variation influences drug response through two routes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Pharmacokinetic (PK) polymorphisms : </w:t>
      </w:r>
      <w:r>
        <w:rPr>
          <w:rFonts w:ascii="Comic Sans MS" w:hAnsi="Comic Sans MS" w:cs="Comic Sans MS"/>
          <w:b w:val="0"/>
          <w:i w:val="0"/>
          <w:color w:val="000000"/>
          <w:sz w:val="28"/>
        </w:rPr>
        <w:t>affect drug-metabolising enzymes (CYP2D6, CYP2C9, CYP2C19, TPMT, UGT1A1, NAT2) and transporters (P-glycoprotein), changing the drug's concentration.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Pharmacodynamic (PD) polymorphisms : </w:t>
      </w:r>
      <w:r>
        <w:rPr>
          <w:rFonts w:ascii="Comic Sans MS" w:hAnsi="Comic Sans MS" w:cs="Comic Sans MS"/>
          <w:b w:val="0"/>
          <w:i w:val="0"/>
          <w:color w:val="000000"/>
          <w:sz w:val="28"/>
        </w:rPr>
        <w:t>affect the drug target or pathway (receptors, VKORC1 for warfarin, β-adrenoceptors, ion channels), changing the response at a given concentration.</w:t>
      </w:r>
    </w:p>
    <w:p>
      <w:pPr>
        <w:spacing w:before="200" w:after="100" w:line="276" w:lineRule="auto"/>
        <w:keepNext/>
      </w:pPr>
      <w:r>
        <w:rPr>
          <w:rFonts w:ascii="Comic Sans MS" w:hAnsi="Comic Sans MS" w:cs="Comic Sans MS"/>
          <w:b/>
          <w:color w:val="FF0000"/>
          <w:sz w:val="32"/>
        </w:rPr>
        <w:t>6.16 Applications across Specialties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Specialty</w:t>
            </w:r>
          </w:p>
        </w:tc>
        <w:tc>
          <w:tcPr>
            <w:tcW w:type="dxa" w:w="64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Personalized example</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Cardiology</w:t>
            </w:r>
          </w:p>
        </w:tc>
        <w:tc>
          <w:tcPr>
            <w:tcW w:type="dxa" w:w="64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Warfarin &amp; clopidogrel (CYP2C19) dosing</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Oncology</w:t>
            </w:r>
          </w:p>
        </w:tc>
        <w:tc>
          <w:tcPr>
            <w:tcW w:type="dxa" w:w="64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HER2, EGFR, BRAF-guided targeted therapy</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Psychiatry</w:t>
            </w:r>
          </w:p>
        </w:tc>
        <w:tc>
          <w:tcPr>
            <w:tcW w:type="dxa" w:w="64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CYP2D6 / CYP2C19 dosing of antidepressants</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Infectious disease</w:t>
            </w:r>
          </w:p>
        </w:tc>
        <w:tc>
          <w:tcPr>
            <w:tcW w:type="dxa" w:w="64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HLA-B*57:01 before abacavir; HCV genotype-guided therapy</w:t>
            </w:r>
          </w:p>
        </w:tc>
      </w:tr>
      <w:tr>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Transplant / immunology</w:t>
            </w:r>
          </w:p>
        </w:tc>
        <w:tc>
          <w:tcPr>
            <w:tcW w:type="dxa" w:w="64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TPMT before thiopurines</w:t>
            </w:r>
          </w:p>
        </w:tc>
      </w:tr>
      <w:tr>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Pain</w:t>
            </w:r>
          </w:p>
        </w:tc>
        <w:tc>
          <w:tcPr>
            <w:tcW w:type="dxa" w:w="64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CYP2D6 status and codeine efficacy / toxicity</w:t>
            </w:r>
          </w:p>
        </w:tc>
      </w:tr>
    </w:tbl>
    <w:p>
      <w:pPr>
        <w:spacing w:after="40"/>
      </w:pPr>
    </w:p>
    <w:p>
      <w:pPr>
        <w:spacing w:before="200" w:after="100" w:line="276" w:lineRule="auto"/>
        <w:keepNext/>
      </w:pPr>
      <w:r>
        <w:rPr>
          <w:rFonts w:ascii="Comic Sans MS" w:hAnsi="Comic Sans MS" w:cs="Comic Sans MS"/>
          <w:b/>
          <w:color w:val="FF0000"/>
          <w:sz w:val="32"/>
        </w:rPr>
        <w:t>6.17 Digital Health, Wearables &amp; Artificial Intelligence</w:t>
      </w:r>
    </w:p>
    <w:p>
      <w:pPr>
        <w:spacing w:after="160"/>
        <w:jc w:val="both"/>
      </w:pPr>
      <w:r>
        <w:rPr>
          <w:rFonts w:ascii="Comic Sans MS" w:hAnsi="Comic Sans MS" w:cs="Comic Sans MS"/>
          <w:b w:val="0"/>
          <w:i w:val="0"/>
          <w:color w:val="000000"/>
          <w:sz w:val="28"/>
        </w:rPr>
        <w:t>Personalized medicine is increasingly supported by digital tools. Wearable sensors and 'digital pills' (ingestible sensors) provide continuous, individual physiological and adherence data. Electronic health records combined with machine-learning / artificial-intelligence algorithms can integrate genomic, clinical and lifestyle data to predict the best therapy for a given patient and to support clinical decisions. These technologies also underpin telepharmacy and remote monitoring.</w:t>
      </w:r>
    </w:p>
    <w:p>
      <w:pPr>
        <w:spacing w:before="200" w:after="100" w:line="276" w:lineRule="auto"/>
        <w:keepNext/>
      </w:pPr>
      <w:r>
        <w:rPr>
          <w:rFonts w:ascii="Comic Sans MS" w:hAnsi="Comic Sans MS" w:cs="Comic Sans MS"/>
          <w:b/>
          <w:color w:val="FF0000"/>
          <w:sz w:val="32"/>
        </w:rPr>
        <w:t>6.18 Gene &amp; Cell Therapy – the Ultimate Personalization</w:t>
      </w:r>
    </w:p>
    <w:p>
      <w:pPr>
        <w:spacing w:after="160"/>
        <w:jc w:val="both"/>
      </w:pPr>
      <w:r>
        <w:rPr>
          <w:rFonts w:ascii="Comic Sans MS" w:hAnsi="Comic Sans MS" w:cs="Comic Sans MS"/>
          <w:b w:val="0"/>
          <w:i w:val="0"/>
          <w:color w:val="000000"/>
          <w:sz w:val="28"/>
        </w:rPr>
        <w:t>Gene therapy (introducing, correcting or silencing a gene) and cell therapies such as CAR-T (a patient's own T-cells engineered to attack their cancer) represent the most individualised treatments of all, being manufactured for a single patient. Although outside the scope of routine formulation, they illustrate the direction in which personalized medicine is moving, and depend heavily on advanced, targeted delivery systems (viral and non-viral vectors, lipid nanoparticles).</w:t>
      </w:r>
    </w:p>
    <w:p>
      <w:pPr>
        <w:spacing w:before="200" w:after="100" w:line="276" w:lineRule="auto"/>
        <w:keepNext/>
      </w:pPr>
      <w:r>
        <w:rPr>
          <w:rFonts w:ascii="Comic Sans MS" w:hAnsi="Comic Sans MS" w:cs="Comic Sans MS"/>
          <w:b/>
          <w:color w:val="FF0000"/>
          <w:sz w:val="32"/>
        </w:rPr>
        <w:t>6.19 Bioelectronic Medicine – Further Detail</w:t>
      </w:r>
    </w:p>
    <w:p>
      <w:pPr>
        <w:spacing w:after="160"/>
        <w:jc w:val="both"/>
      </w:pPr>
      <w:r>
        <w:rPr>
          <w:rFonts w:ascii="Comic Sans MS" w:hAnsi="Comic Sans MS" w:cs="Comic Sans MS"/>
          <w:b w:val="0"/>
          <w:i w:val="0"/>
          <w:color w:val="000000"/>
          <w:sz w:val="28"/>
        </w:rPr>
        <w:t>Bioelectronic devices work by recording and/or stimulating the electrical activity of specific neural circuits. By closing the loop – sensing a physiological signal and delivering a corrective electrical stimulus – they can regulate organ function with a precision and reversibility that chemical drugs cannot match. Current research targets include the vagus nerve (inflammation, rheumatoid arthritis, diabetes) and peripheral nerves controlling metabolism and immunity. Advantages are high specificity and freedom from systemic drug side effects; challenges are the invasiveness of implantation, power supply, biocompatibility of electrodes and long-term stability.</w:t>
      </w:r>
    </w:p>
    <w:p>
      <w:pPr>
        <w:spacing w:before="200" w:after="100" w:line="276" w:lineRule="auto"/>
        <w:keepNext/>
      </w:pPr>
      <w:r>
        <w:rPr>
          <w:rFonts w:ascii="Comic Sans MS" w:hAnsi="Comic Sans MS" w:cs="Comic Sans MS"/>
          <w:b/>
          <w:color w:val="FF0000"/>
          <w:sz w:val="32"/>
        </w:rPr>
        <w:t>6.20 Telepharmacy – Models &amp; Regulation</w:t>
      </w:r>
    </w:p>
    <w:p>
      <w:pPr>
        <w:spacing w:after="160"/>
        <w:jc w:val="both"/>
      </w:pPr>
      <w:r>
        <w:rPr>
          <w:rFonts w:ascii="Comic Sans MS" w:hAnsi="Comic Sans MS" w:cs="Comic Sans MS"/>
          <w:b w:val="0"/>
          <w:i w:val="0"/>
          <w:color w:val="000000"/>
          <w:sz w:val="28"/>
        </w:rPr>
        <w:t>Telepharmacy is implemented through several models : remote dispensing sites supervised by a central pharmacist; tele-consultation and counselling; remote order verification for hospitals; and automated dispensing units with video oversight. Its practice requires appropriate licensing, standard operating procedures, secure data-transfer that protects patient confidentiality, and validated technology. When well governed, it extends the reach of the pharmacist and improves access to medicines and pharmaceutical care in remote and under-served communities.</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Selection of Drugs &amp; Polymers for Delivery Systems</w:t>
      </w:r>
    </w:p>
    <w:p>
      <w:pPr>
        <w:spacing w:before="200" w:after="100" w:line="276" w:lineRule="auto"/>
        <w:keepNext/>
      </w:pPr>
      <w:r>
        <w:rPr>
          <w:rFonts w:ascii="Comic Sans MS" w:hAnsi="Comic Sans MS" w:cs="Comic Sans MS"/>
          <w:b/>
          <w:color w:val="FF0000"/>
          <w:sz w:val="32"/>
        </w:rPr>
        <w:t>A.1 Why Polymers are Central to Advanced DDS</w:t>
      </w:r>
    </w:p>
    <w:p>
      <w:pPr>
        <w:spacing w:after="160"/>
        <w:jc w:val="both"/>
      </w:pPr>
      <w:r>
        <w:rPr>
          <w:rFonts w:ascii="Comic Sans MS" w:hAnsi="Comic Sans MS" w:cs="Comic Sans MS"/>
          <w:b w:val="0"/>
          <w:i w:val="0"/>
          <w:color w:val="000000"/>
          <w:sz w:val="28"/>
        </w:rPr>
        <w:t>Polymers are the workhorses of novel drug delivery. They form the membranes, matrices, coats and scaffolds that control the rate, time and place of drug release. The choice of polymer determines whether the release is diffusion-, dissolution-, osmotic- or erosion-controlled, and whether the device is biodegradable or must be removed. This section consolidates the polymer knowledge required across all units.</w:t>
      </w:r>
    </w:p>
    <w:p>
      <w:pPr>
        <w:spacing w:before="200" w:after="100" w:line="276" w:lineRule="auto"/>
        <w:keepNext/>
      </w:pPr>
      <w:r>
        <w:rPr>
          <w:rFonts w:ascii="Comic Sans MS" w:hAnsi="Comic Sans MS" w:cs="Comic Sans MS"/>
          <w:b/>
          <w:color w:val="FF0000"/>
          <w:sz w:val="32"/>
        </w:rPr>
        <w:t>A.2 Criteria for Selection of a Drug for a Novel DDS</w:t>
      </w:r>
    </w:p>
    <w:p>
      <w:pPr>
        <w:spacing w:after="160"/>
        <w:jc w:val="both"/>
      </w:pPr>
      <w:r>
        <w:rPr>
          <w:rFonts w:ascii="Comic Sans MS" w:hAnsi="Comic Sans MS" w:cs="Comic Sans MS"/>
          <w:b w:val="0"/>
          <w:i w:val="0"/>
          <w:color w:val="000000"/>
          <w:sz w:val="28"/>
        </w:rPr>
        <w:t>The general criteria (detailed in Units I and V) are summarised : appropriate molecular size and solubility, suitable partition coefficient, an intermediate biological half-life, low effective dose, good stability, adequate therapeutic index and uniform absorption. The specific requirement varies with the system (e.g., high potency for TDDS and implants; ionisable for ion-exchange systems and iontophoresis).</w:t>
      </w:r>
    </w:p>
    <w:p>
      <w:pPr>
        <w:spacing w:before="200" w:after="100" w:line="276" w:lineRule="auto"/>
        <w:keepNext/>
      </w:pPr>
      <w:r>
        <w:rPr>
          <w:rFonts w:ascii="Comic Sans MS" w:hAnsi="Comic Sans MS" w:cs="Comic Sans MS"/>
          <w:b/>
          <w:color w:val="FF0000"/>
          <w:sz w:val="32"/>
        </w:rPr>
        <w:t>A.3 Criteria for Selection of a Polymer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Biocompatible, non-toxic, non-immunogenic and non-carcinogenic.</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Chemically compatible and non-reactive with the drug.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Able to provide the desired release rate and mechanical properties.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Easily processed and sterilisable; stable on storage.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For biodegradable systems : predictable, controllable degradation to safe products.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Economical and readily available in pharmaceutical grade.</w:t>
      </w:r>
    </w:p>
    <w:p>
      <w:pPr>
        <w:spacing w:before="200" w:after="100" w:line="276" w:lineRule="auto"/>
        <w:keepNext/>
      </w:pPr>
      <w:r>
        <w:rPr>
          <w:rFonts w:ascii="Comic Sans MS" w:hAnsi="Comic Sans MS" w:cs="Comic Sans MS"/>
          <w:b/>
          <w:color w:val="FF0000"/>
          <w:sz w:val="32"/>
        </w:rPr>
        <w:t>A.4 Classification of Polymers used in DDS</w:t>
      </w:r>
    </w:p>
    <w:p>
      <w:pPr>
        <w:spacing w:before="140" w:after="60" w:line="276" w:lineRule="auto"/>
        <w:keepNext/>
      </w:pPr>
      <w:r>
        <w:rPr>
          <w:rFonts w:ascii="Comic Sans MS" w:hAnsi="Comic Sans MS" w:cs="Comic Sans MS"/>
          <w:b/>
          <w:color w:val="000000"/>
          <w:sz w:val="28"/>
        </w:rPr>
        <w:t>(a) Natural polymers</w:t>
      </w:r>
    </w:p>
    <w:p>
      <w:pPr>
        <w:spacing w:after="160"/>
        <w:jc w:val="both"/>
      </w:pPr>
      <w:r>
        <w:rPr>
          <w:rFonts w:ascii="Comic Sans MS" w:hAnsi="Comic Sans MS" w:cs="Comic Sans MS"/>
          <w:b w:val="0"/>
          <w:i w:val="0"/>
          <w:color w:val="000000"/>
          <w:sz w:val="28"/>
        </w:rPr>
        <w:t>Gelatin, gum acacia, sodium alginate, chitosan, starch, albumin, zein, guar gum, xanthan gum, cellulose. Generally biocompatible and biodegradable, but batch variability and microbial contamination are concerns.</w:t>
      </w:r>
    </w:p>
    <w:p>
      <w:pPr>
        <w:spacing w:before="140" w:after="60" w:line="276" w:lineRule="auto"/>
        <w:keepNext/>
      </w:pPr>
      <w:r>
        <w:rPr>
          <w:rFonts w:ascii="Comic Sans MS" w:hAnsi="Comic Sans MS" w:cs="Comic Sans MS"/>
          <w:b/>
          <w:color w:val="000000"/>
          <w:sz w:val="28"/>
        </w:rPr>
        <w:t>(b) Synthetic non-biodegradable polymers</w:t>
      </w:r>
    </w:p>
    <w:p>
      <w:pPr>
        <w:spacing w:after="160"/>
        <w:jc w:val="both"/>
      </w:pPr>
      <w:r>
        <w:rPr>
          <w:rFonts w:ascii="Comic Sans MS" w:hAnsi="Comic Sans MS" w:cs="Comic Sans MS"/>
          <w:b w:val="0"/>
          <w:i w:val="0"/>
          <w:color w:val="000000"/>
          <w:sz w:val="28"/>
        </w:rPr>
        <w:t>Silicone (polydimethylsiloxane, PDMS), ethylene-vinyl acetate (EVA), polyurethane, poly(methyl methacrylate), ethylcellulose, polyethylene. Used for reservoir membranes and non-degradable implants that must be removed.</w:t>
      </w:r>
    </w:p>
    <w:p>
      <w:pPr>
        <w:spacing w:before="140" w:after="60" w:line="276" w:lineRule="auto"/>
        <w:keepNext/>
      </w:pPr>
      <w:r>
        <w:rPr>
          <w:rFonts w:ascii="Comic Sans MS" w:hAnsi="Comic Sans MS" w:cs="Comic Sans MS"/>
          <w:b/>
          <w:color w:val="000000"/>
          <w:sz w:val="28"/>
        </w:rPr>
        <w:t>(c) Synthetic biodegradable polymers</w:t>
      </w:r>
    </w:p>
    <w:p>
      <w:pPr>
        <w:spacing w:after="160"/>
        <w:jc w:val="both"/>
      </w:pPr>
      <w:r>
        <w:rPr>
          <w:rFonts w:ascii="Comic Sans MS" w:hAnsi="Comic Sans MS" w:cs="Comic Sans MS"/>
          <w:b w:val="0"/>
          <w:i w:val="0"/>
          <w:color w:val="000000"/>
          <w:sz w:val="28"/>
        </w:rPr>
        <w:t>Poly(lactic acid) (PLA), poly(glycolic acid) (PGA), poly(lactic-co-glycolic acid) (PLGA), poly-ε-caprolactone (PCL), polyanhydrides and poly-ortho-esters. Erode in the body to safe metabolites and need no removal – the mainstay of injectable depots and implants.</w:t>
      </w:r>
    </w:p>
    <w:p>
      <w:pPr>
        <w:spacing w:before="140" w:after="60" w:line="276" w:lineRule="auto"/>
        <w:keepNext/>
      </w:pPr>
      <w:r>
        <w:rPr>
          <w:rFonts w:ascii="Comic Sans MS" w:hAnsi="Comic Sans MS" w:cs="Comic Sans MS"/>
          <w:b/>
          <w:color w:val="000000"/>
          <w:sz w:val="28"/>
        </w:rPr>
        <w:t>(d) pH-dependent (enteric) &amp; other functional polymers</w:t>
      </w:r>
    </w:p>
    <w:p>
      <w:pPr>
        <w:spacing w:after="160"/>
        <w:jc w:val="both"/>
      </w:pPr>
      <w:r>
        <w:rPr>
          <w:rFonts w:ascii="Comic Sans MS" w:hAnsi="Comic Sans MS" w:cs="Comic Sans MS"/>
          <w:b w:val="0"/>
          <w:i w:val="0"/>
          <w:color w:val="000000"/>
          <w:sz w:val="28"/>
        </w:rPr>
        <w:t>Cellulose acetate phthalate, hydroxypropylmethylcellulose phthalate, shellac and the methacrylic-acid copolymers (Eudragit® L, S, RS, RL) provide site-specific (enteric / colonic) release and film coating.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Rate-control mechanism</w:t>
            </w:r>
          </w:p>
        </w:tc>
        <w:tc>
          <w:tcPr>
            <w:tcW w:type="dxa" w:w="59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20"/>
              </w:rPr>
              <w:t>Representative polymers</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Diffusion (reservoir membrane)</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Silicone, EVA, ethylcellulose</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Diffusion / swelling matrix</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HPMC, carbopol, sodium alginate</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Dissolution / erosion</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Waxes, PLGA, polyanhydrides</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Osmotic</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Cellulose acetate (semipermeable membrane)</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Ion-exchange</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Polacrilin (cross-linked polymethacrylate resins)</w:t>
            </w:r>
          </w:p>
        </w:tc>
      </w:tr>
      <w:tr>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Mucoadhesion</w:t>
            </w:r>
          </w:p>
        </w:tc>
        <w:tc>
          <w:tcPr>
            <w:tcW w:type="dxa" w:w="59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Carbopol, chitosan, Na-CMC, thiomers</w:t>
            </w:r>
          </w:p>
        </w:tc>
      </w:tr>
      <w:tr>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Enteric / site specific</w:t>
            </w:r>
          </w:p>
        </w:tc>
        <w:tc>
          <w:tcPr>
            <w:tcW w:type="dxa" w:w="59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9"/>
              </w:rPr>
              <w:t>CAP, HPMCP, Eudragit L/S, shellac</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Monographs of Important DDS Polymers</w:t>
      </w:r>
    </w:p>
    <w:p>
      <w:pPr>
        <w:spacing w:after="160"/>
        <w:jc w:val="both"/>
      </w:pPr>
      <w:r>
        <w:rPr>
          <w:rFonts w:ascii="Comic Sans MS" w:hAnsi="Comic Sans MS" w:cs="Comic Sans MS"/>
          <w:b w:val="0"/>
          <w:i w:val="0"/>
          <w:color w:val="000000"/>
          <w:sz w:val="28"/>
        </w:rPr>
        <w:t>A working knowledge of the individual polymers used in advanced delivery is essential for the rational selection required by this course. The following short monographs summarise the nature, mechanism and typical use of the most important polymers.</w:t>
      </w:r>
    </w:p>
    <w:p>
      <w:pPr>
        <w:spacing w:before="200" w:after="100" w:line="276" w:lineRule="auto"/>
        <w:keepNext/>
      </w:pPr>
      <w:r>
        <w:rPr>
          <w:rFonts w:ascii="Comic Sans MS" w:hAnsi="Comic Sans MS" w:cs="Comic Sans MS"/>
          <w:b/>
          <w:color w:val="FF0000"/>
          <w:sz w:val="32"/>
        </w:rPr>
        <w:t>P.1 Hydroxypropyl Methylcellulose (HPMC / Hypromellose)</w:t>
      </w:r>
    </w:p>
    <w:p>
      <w:pPr>
        <w:spacing w:after="160"/>
        <w:jc w:val="both"/>
      </w:pPr>
      <w:r>
        <w:rPr>
          <w:rFonts w:ascii="Comic Sans MS" w:hAnsi="Comic Sans MS" w:cs="Comic Sans MS"/>
          <w:b w:val="0"/>
          <w:i w:val="0"/>
          <w:color w:val="000000"/>
          <w:sz w:val="28"/>
        </w:rPr>
        <w:t>A non-ionic, water-soluble cellulose ether available in many viscosity grades. On hydration it forms a viscous gel layer that controls release, making it the workhorse of hydrophilic matrix tablets. It is also used as a film-coating agent and binder. Release rate is tuned by viscosity grade and polymer level. Non-toxic, widely accepted and inexpensive.</w:t>
      </w:r>
    </w:p>
    <w:p>
      <w:pPr>
        <w:spacing w:before="200" w:after="100" w:line="276" w:lineRule="auto"/>
        <w:keepNext/>
      </w:pPr>
      <w:r>
        <w:rPr>
          <w:rFonts w:ascii="Comic Sans MS" w:hAnsi="Comic Sans MS" w:cs="Comic Sans MS"/>
          <w:b/>
          <w:color w:val="FF0000"/>
          <w:sz w:val="32"/>
        </w:rPr>
        <w:t>P.2 Ethylcellulose</w:t>
      </w:r>
    </w:p>
    <w:p>
      <w:pPr>
        <w:spacing w:after="160"/>
        <w:jc w:val="both"/>
      </w:pPr>
      <w:r>
        <w:rPr>
          <w:rFonts w:ascii="Comic Sans MS" w:hAnsi="Comic Sans MS" w:cs="Comic Sans MS"/>
          <w:b w:val="0"/>
          <w:i w:val="0"/>
          <w:color w:val="000000"/>
          <w:sz w:val="28"/>
        </w:rPr>
        <w:t>A water-insoluble, non-ionic cellulose ether used as a rate-controlling membrane coat and as an insoluble matrix former for diffusion-controlled release. Combined with a pore-former (HPMC, PEG) its permeability can be adjusted. Also used for microencapsulation and taste masking.</w:t>
      </w:r>
    </w:p>
    <w:p>
      <w:pPr>
        <w:spacing w:before="200" w:after="100" w:line="276" w:lineRule="auto"/>
        <w:keepNext/>
      </w:pPr>
      <w:r>
        <w:rPr>
          <w:rFonts w:ascii="Comic Sans MS" w:hAnsi="Comic Sans MS" w:cs="Comic Sans MS"/>
          <w:b/>
          <w:color w:val="FF0000"/>
          <w:sz w:val="32"/>
        </w:rPr>
        <w:t>P.3 Methacrylic-acid Copolymers (Eudragit®)</w:t>
      </w:r>
    </w:p>
    <w:p>
      <w:pPr>
        <w:spacing w:after="160"/>
        <w:jc w:val="both"/>
      </w:pPr>
      <w:r>
        <w:rPr>
          <w:rFonts w:ascii="Comic Sans MS" w:hAnsi="Comic Sans MS" w:cs="Comic Sans MS"/>
          <w:b w:val="0"/>
          <w:i w:val="0"/>
          <w:color w:val="000000"/>
          <w:sz w:val="28"/>
        </w:rPr>
        <w:t>A family of acrylic / methacrylic copolymers with different functional groups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Eudragit L / S : </w:t>
      </w:r>
      <w:r>
        <w:rPr>
          <w:rFonts w:ascii="Comic Sans MS" w:hAnsi="Comic Sans MS" w:cs="Comic Sans MS"/>
          <w:b w:val="0"/>
          <w:i w:val="0"/>
          <w:color w:val="000000"/>
          <w:sz w:val="28"/>
        </w:rPr>
        <w:t>anionic, dissolve above pH 6 / 7 – enteric and colonic (site-specific) release.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Eudragit RL / RS : </w:t>
      </w:r>
      <w:r>
        <w:rPr>
          <w:rFonts w:ascii="Comic Sans MS" w:hAnsi="Comic Sans MS" w:cs="Comic Sans MS"/>
          <w:b w:val="0"/>
          <w:i w:val="0"/>
          <w:color w:val="000000"/>
          <w:sz w:val="28"/>
        </w:rPr>
        <w:t>contain quaternary ammonium groups; insoluble but permeable – sustained release (RL more permeable than RS).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Eudragit E : </w:t>
      </w:r>
      <w:r>
        <w:rPr>
          <w:rFonts w:ascii="Comic Sans MS" w:hAnsi="Comic Sans MS" w:cs="Comic Sans MS"/>
          <w:b w:val="0"/>
          <w:i w:val="0"/>
          <w:color w:val="000000"/>
          <w:sz w:val="28"/>
        </w:rPr>
        <w:t>cationic, soluble in gastric fluid – taste masking / protective coats.</w:t>
      </w:r>
    </w:p>
    <w:p>
      <w:pPr>
        <w:spacing w:before="200" w:after="100" w:line="276" w:lineRule="auto"/>
        <w:keepNext/>
      </w:pPr>
      <w:r>
        <w:rPr>
          <w:rFonts w:ascii="Comic Sans MS" w:hAnsi="Comic Sans MS" w:cs="Comic Sans MS"/>
          <w:b/>
          <w:color w:val="FF0000"/>
          <w:sz w:val="32"/>
        </w:rPr>
        <w:t>P.4 Poly(lactic-co-glycolic acid) (PLGA)</w:t>
      </w:r>
    </w:p>
    <w:p>
      <w:pPr>
        <w:spacing w:after="160"/>
        <w:jc w:val="both"/>
      </w:pPr>
      <w:r>
        <w:rPr>
          <w:rFonts w:ascii="Comic Sans MS" w:hAnsi="Comic Sans MS" w:cs="Comic Sans MS"/>
          <w:b w:val="0"/>
          <w:i w:val="0"/>
          <w:color w:val="000000"/>
          <w:sz w:val="28"/>
        </w:rPr>
        <w:t>The most widely used synthetic biodegradable polymer for microspheres, implants and in-situ depots. It undergoes bulk hydrolysis to lactic and glycolic acids, which are eliminated through normal metabolism. Degradation time (weeks to months) is tuned by the lactide : glycolide ratio and molecular weight; a higher glycolide fraction degrades faster. Requires no removal.</w:t>
      </w:r>
    </w:p>
    <w:p>
      <w:pPr>
        <w:spacing w:before="200" w:after="100" w:line="276" w:lineRule="auto"/>
        <w:keepNext/>
      </w:pPr>
      <w:r>
        <w:rPr>
          <w:rFonts w:ascii="Comic Sans MS" w:hAnsi="Comic Sans MS" w:cs="Comic Sans MS"/>
          <w:b/>
          <w:color w:val="FF0000"/>
          <w:sz w:val="32"/>
        </w:rPr>
        <w:t>P.5 Silicone (Polydimethylsiloxane, PDMS)</w:t>
      </w:r>
    </w:p>
    <w:p>
      <w:pPr>
        <w:spacing w:after="160"/>
        <w:jc w:val="both"/>
      </w:pPr>
      <w:r>
        <w:rPr>
          <w:rFonts w:ascii="Comic Sans MS" w:hAnsi="Comic Sans MS" w:cs="Comic Sans MS"/>
          <w:b w:val="0"/>
          <w:i w:val="0"/>
          <w:color w:val="000000"/>
          <w:sz w:val="28"/>
        </w:rPr>
        <w:t>A biocompatible, non-biodegradable elastomer used as a rate-controlling membrane and matrix in reservoir implants and inserts (Norplant, vaginal rings, Ocusert). Lipophilic drugs partition and diffuse through it, giving near zero-order release. Chemically inert and stable, but must be surgically removed.</w:t>
      </w:r>
    </w:p>
    <w:p>
      <w:pPr>
        <w:spacing w:before="200" w:after="100" w:line="276" w:lineRule="auto"/>
        <w:keepNext/>
      </w:pPr>
      <w:r>
        <w:rPr>
          <w:rFonts w:ascii="Comic Sans MS" w:hAnsi="Comic Sans MS" w:cs="Comic Sans MS"/>
          <w:b/>
          <w:color w:val="FF0000"/>
          <w:sz w:val="32"/>
        </w:rPr>
        <w:t>P.6 Ethylene-Vinyl Acetate (EVA)</w:t>
      </w:r>
    </w:p>
    <w:p>
      <w:pPr>
        <w:spacing w:after="160"/>
        <w:jc w:val="both"/>
      </w:pPr>
      <w:r>
        <w:rPr>
          <w:rFonts w:ascii="Comic Sans MS" w:hAnsi="Comic Sans MS" w:cs="Comic Sans MS"/>
          <w:b w:val="0"/>
          <w:i w:val="0"/>
          <w:color w:val="000000"/>
          <w:sz w:val="28"/>
        </w:rPr>
        <w:t>A flexible, biocompatible, non-degradable copolymer whose permeability increases with vinyl-acetate content. Used as the rate-controlling membrane of the Ocusert insert, of implants and of vaginal rings.</w:t>
      </w:r>
    </w:p>
    <w:p>
      <w:pPr>
        <w:spacing w:before="200" w:after="100" w:line="276" w:lineRule="auto"/>
        <w:keepNext/>
      </w:pPr>
      <w:r>
        <w:rPr>
          <w:rFonts w:ascii="Comic Sans MS" w:hAnsi="Comic Sans MS" w:cs="Comic Sans MS"/>
          <w:b/>
          <w:color w:val="FF0000"/>
          <w:sz w:val="32"/>
        </w:rPr>
        <w:t>P.7 Chitosan</w:t>
      </w:r>
    </w:p>
    <w:p>
      <w:pPr>
        <w:spacing w:after="160"/>
        <w:jc w:val="both"/>
      </w:pPr>
      <w:r>
        <w:rPr>
          <w:rFonts w:ascii="Comic Sans MS" w:hAnsi="Comic Sans MS" w:cs="Comic Sans MS"/>
          <w:b w:val="0"/>
          <w:i w:val="0"/>
          <w:color w:val="000000"/>
          <w:sz w:val="28"/>
        </w:rPr>
        <w:t>A natural cationic polysaccharide obtained by deacetylation of chitin. Biodegradable, biocompatible, mucoadhesive and permeation-enhancing. Used in mucoadhesive systems, nasal / colon delivery, nanoparticles and ionotropic-gelation microspheres (cross-linked with tripolyphosphate).</w:t>
      </w:r>
    </w:p>
    <w:p>
      <w:pPr>
        <w:spacing w:before="200" w:after="100" w:line="276" w:lineRule="auto"/>
        <w:keepNext/>
      </w:pPr>
      <w:r>
        <w:rPr>
          <w:rFonts w:ascii="Comic Sans MS" w:hAnsi="Comic Sans MS" w:cs="Comic Sans MS"/>
          <w:b/>
          <w:color w:val="FF0000"/>
          <w:sz w:val="32"/>
        </w:rPr>
        <w:t>P.8 Carbopol (Polyacrylic acid)</w:t>
      </w:r>
    </w:p>
    <w:p>
      <w:pPr>
        <w:spacing w:after="160"/>
        <w:jc w:val="both"/>
      </w:pPr>
      <w:r>
        <w:rPr>
          <w:rFonts w:ascii="Comic Sans MS" w:hAnsi="Comic Sans MS" w:cs="Comic Sans MS"/>
          <w:b w:val="0"/>
          <w:i w:val="0"/>
          <w:color w:val="000000"/>
          <w:sz w:val="28"/>
        </w:rPr>
        <w:t>A high-molecular-weight, cross-linked polyacrylic-acid polymer that swells to a gel in water. An excellent mucoadhesive and a rate-controlling agent in matrices and gels; widely used in buccal, ocular and gastro-retentive systems.</w:t>
      </w:r>
    </w:p>
    <w:p>
      <w:pPr>
        <w:spacing w:before="200" w:after="100" w:line="276" w:lineRule="auto"/>
        <w:keepNext/>
      </w:pPr>
      <w:r>
        <w:rPr>
          <w:rFonts w:ascii="Comic Sans MS" w:hAnsi="Comic Sans MS" w:cs="Comic Sans MS"/>
          <w:b/>
          <w:color w:val="FF0000"/>
          <w:sz w:val="32"/>
        </w:rPr>
        <w:t>P.9 Sodium Alginate</w:t>
      </w:r>
    </w:p>
    <w:p>
      <w:pPr>
        <w:spacing w:after="160"/>
        <w:jc w:val="both"/>
      </w:pPr>
      <w:r>
        <w:rPr>
          <w:rFonts w:ascii="Comic Sans MS" w:hAnsi="Comic Sans MS" w:cs="Comic Sans MS"/>
          <w:b w:val="0"/>
          <w:i w:val="0"/>
          <w:color w:val="000000"/>
          <w:sz w:val="28"/>
        </w:rPr>
        <w:t>A natural anionic polysaccharide from seaweed that forms gel beads instantly on contact with divalent calcium ions (ionotropic gelation) – a mild, aqueous route to microspheres suitable for proteins. Also used in raft-forming and mucoadhesive systems.</w:t>
      </w:r>
    </w:p>
    <w:p>
      <w:pPr>
        <w:spacing w:before="200" w:after="100" w:line="276" w:lineRule="auto"/>
        <w:keepNext/>
      </w:pPr>
      <w:r>
        <w:rPr>
          <w:rFonts w:ascii="Comic Sans MS" w:hAnsi="Comic Sans MS" w:cs="Comic Sans MS"/>
          <w:b/>
          <w:color w:val="FF0000"/>
          <w:sz w:val="32"/>
        </w:rPr>
        <w:t>P.10 Cellulose Acetate</w:t>
      </w:r>
    </w:p>
    <w:p>
      <w:pPr>
        <w:spacing w:after="160"/>
        <w:jc w:val="both"/>
      </w:pPr>
      <w:r>
        <w:rPr>
          <w:rFonts w:ascii="Comic Sans MS" w:hAnsi="Comic Sans MS" w:cs="Comic Sans MS"/>
          <w:b w:val="0"/>
          <w:i w:val="0"/>
          <w:color w:val="000000"/>
          <w:sz w:val="28"/>
        </w:rPr>
        <w:t>A water-insoluble polymer used chiefly as the semipermeable membrane of osmotic pumps, permitting water influx while remaining impermeable to solutes. Its permeability is adjusted with plasticisers and pore-formers.</w:t>
      </w:r>
    </w:p>
    <w:p>
      <w:pPr>
        <w:spacing w:before="140" w:after="60" w:line="276" w:lineRule="auto"/>
        <w:keepNext/>
      </w:pPr>
      <w:r>
        <w:rPr>
          <w:rFonts w:ascii="Comic Sans MS" w:hAnsi="Comic Sans MS" w:cs="Comic Sans MS"/>
          <w:b/>
          <w:color w:val="000000"/>
          <w:sz w:val="28"/>
        </w:rPr>
        <w:t>Summary table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Polymer</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Nature</w:t>
            </w:r>
          </w:p>
        </w:tc>
        <w:tc>
          <w:tcPr>
            <w:tcW w:type="dxa" w:w="403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Principal DDS use</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HPMC</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Soluble, non-ionic</w:t>
            </w:r>
          </w:p>
        </w:tc>
        <w:tc>
          <w:tcPr>
            <w:tcW w:type="dxa" w:w="40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Hydrophilic matrix / coating</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Ethylcellulose</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Insoluble, non-ionic</w:t>
            </w:r>
          </w:p>
        </w:tc>
        <w:tc>
          <w:tcPr>
            <w:tcW w:type="dxa" w:w="403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Membrane / insoluble matrix</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Eudragit L/S</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Anionic, pH-sensitive</w:t>
            </w:r>
          </w:p>
        </w:tc>
        <w:tc>
          <w:tcPr>
            <w:tcW w:type="dxa" w:w="40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Enteric / colonic release</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Eudragit RL/RS</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Insoluble, permeable</w:t>
            </w:r>
          </w:p>
        </w:tc>
        <w:tc>
          <w:tcPr>
            <w:tcW w:type="dxa" w:w="403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Sustained release</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PLGA</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Biodegradable polyester</w:t>
            </w:r>
          </w:p>
        </w:tc>
        <w:tc>
          <w:tcPr>
            <w:tcW w:type="dxa" w:w="40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Microspheres / implants</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Silicone (PDMS)</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Inert elastomer</w:t>
            </w:r>
          </w:p>
        </w:tc>
        <w:tc>
          <w:tcPr>
            <w:tcW w:type="dxa" w:w="403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Reservoir implants / rings</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EVA</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Non-degradable</w:t>
            </w:r>
          </w:p>
        </w:tc>
        <w:tc>
          <w:tcPr>
            <w:tcW w:type="dxa" w:w="40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Rate-controlling membrane</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Chitosan</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Cationic natural</w:t>
            </w:r>
          </w:p>
        </w:tc>
        <w:tc>
          <w:tcPr>
            <w:tcW w:type="dxa" w:w="403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Mucoadhesive / nanoparticles</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Carbopol</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Cross-linked acrylic</w:t>
            </w:r>
          </w:p>
        </w:tc>
        <w:tc>
          <w:tcPr>
            <w:tcW w:type="dxa" w:w="403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Mucoadhesion / gel matrix</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Cellulose acetate</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Semipermeable</w:t>
            </w:r>
          </w:p>
        </w:tc>
        <w:tc>
          <w:tcPr>
            <w:tcW w:type="dxa" w:w="403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Osmotic-pump membrane</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Formulation Design &amp; Optimization</w:t>
      </w:r>
    </w:p>
    <w:p>
      <w:pPr>
        <w:spacing w:before="200" w:after="100" w:line="276" w:lineRule="auto"/>
        <w:keepNext/>
      </w:pPr>
      <w:r>
        <w:rPr>
          <w:rFonts w:ascii="Comic Sans MS" w:hAnsi="Comic Sans MS" w:cs="Comic Sans MS"/>
          <w:b/>
          <w:color w:val="FF0000"/>
          <w:sz w:val="32"/>
        </w:rPr>
        <w:t>O.1 The Need for Systematic Optimization</w:t>
      </w:r>
    </w:p>
    <w:p>
      <w:pPr>
        <w:spacing w:after="160"/>
        <w:jc w:val="both"/>
      </w:pPr>
      <w:r>
        <w:rPr>
          <w:rFonts w:ascii="Comic Sans MS" w:hAnsi="Comic Sans MS" w:cs="Comic Sans MS"/>
          <w:b w:val="0"/>
          <w:i w:val="0"/>
          <w:color w:val="000000"/>
          <w:sz w:val="28"/>
        </w:rPr>
        <w:t>The performance of an advanced delivery system depends on several interacting formulation and process variables (polymer type and level, plasticiser, enhancer, coating thickness, process parameters). Changing one factor at a time (OFAT) is slow, misses interactions and rarely finds the true optimum. A statistical Design of Experiments (DoE) approach studies all factors simultaneously, reveals interactions and locates the optimum with the fewest experiments – the basis of the modern Quality-by-Design (QbD) philosophy.</w:t>
      </w:r>
    </w:p>
    <w:p>
      <w:pPr>
        <w:spacing w:before="200" w:after="100" w:line="276" w:lineRule="auto"/>
        <w:keepNext/>
      </w:pPr>
      <w:r>
        <w:rPr>
          <w:rFonts w:ascii="Comic Sans MS" w:hAnsi="Comic Sans MS" w:cs="Comic Sans MS"/>
          <w:b/>
          <w:color w:val="FF0000"/>
          <w:sz w:val="32"/>
        </w:rPr>
        <w:t>O.2 Terminology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Factor : </w:t>
      </w:r>
      <w:r>
        <w:rPr>
          <w:rFonts w:ascii="Comic Sans MS" w:hAnsi="Comic Sans MS" w:cs="Comic Sans MS"/>
          <w:b w:val="0"/>
          <w:i w:val="0"/>
          <w:color w:val="000000"/>
          <w:sz w:val="28"/>
        </w:rPr>
        <w:t>an independent variable that is changed (e.g., polymer amount).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Level : </w:t>
      </w:r>
      <w:r>
        <w:rPr>
          <w:rFonts w:ascii="Comic Sans MS" w:hAnsi="Comic Sans MS" w:cs="Comic Sans MS"/>
          <w:b w:val="0"/>
          <w:i w:val="0"/>
          <w:color w:val="000000"/>
          <w:sz w:val="28"/>
        </w:rPr>
        <w:t>the value assigned to a factor (low / high, coded − /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Response : </w:t>
      </w:r>
      <w:r>
        <w:rPr>
          <w:rFonts w:ascii="Comic Sans MS" w:hAnsi="Comic Sans MS" w:cs="Comic Sans MS"/>
          <w:b w:val="0"/>
          <w:i w:val="0"/>
          <w:color w:val="000000"/>
          <w:sz w:val="28"/>
        </w:rPr>
        <w:t>the measured output (e.g., % released at a given time, flux).</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Interaction : </w:t>
      </w:r>
      <w:r>
        <w:rPr>
          <w:rFonts w:ascii="Comic Sans MS" w:hAnsi="Comic Sans MS" w:cs="Comic Sans MS"/>
          <w:b w:val="0"/>
          <w:i w:val="0"/>
          <w:color w:val="000000"/>
          <w:sz w:val="28"/>
        </w:rPr>
        <w:t>when the effect of one factor depends on the level of another.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Design space : </w:t>
      </w:r>
      <w:r>
        <w:rPr>
          <w:rFonts w:ascii="Comic Sans MS" w:hAnsi="Comic Sans MS" w:cs="Comic Sans MS"/>
          <w:b w:val="0"/>
          <w:i w:val="0"/>
          <w:color w:val="000000"/>
          <w:sz w:val="28"/>
        </w:rPr>
        <w:t>the multidimensional combination of factors shown to assure quality.</w:t>
      </w:r>
    </w:p>
    <w:p>
      <w:pPr>
        <w:spacing w:before="200" w:after="100" w:line="276" w:lineRule="auto"/>
        <w:keepNext/>
      </w:pPr>
      <w:r>
        <w:rPr>
          <w:rFonts w:ascii="Comic Sans MS" w:hAnsi="Comic Sans MS" w:cs="Comic Sans MS"/>
          <w:b/>
          <w:color w:val="FF0000"/>
          <w:sz w:val="32"/>
        </w:rPr>
        <w:t>O.3 Factorial Designs</w:t>
      </w:r>
    </w:p>
    <w:p>
      <w:pPr>
        <w:spacing w:after="160"/>
        <w:jc w:val="both"/>
      </w:pPr>
      <w:r>
        <w:rPr>
          <w:rFonts w:ascii="Comic Sans MS" w:hAnsi="Comic Sans MS" w:cs="Comic Sans MS"/>
          <w:b w:val="0"/>
          <w:i w:val="0"/>
          <w:color w:val="000000"/>
          <w:sz w:val="28"/>
        </w:rPr>
        <w:t>In a full factorial design, every combination of factor levels is studied. A two-level, three-factor design (2³) needs 8 experiments and estimates all main effects and interactions. When the number of factors is large, fractional factorial and Plackett–Burman designs are used for screening the important factors with fewer runs.</w:t>
      </w:r>
    </w:p>
    <w:p>
      <w:pPr>
        <w:spacing w:before="200" w:after="100" w:line="276" w:lineRule="auto"/>
        <w:keepNext/>
      </w:pPr>
      <w:r>
        <w:rPr>
          <w:rFonts w:ascii="Comic Sans MS" w:hAnsi="Comic Sans MS" w:cs="Comic Sans MS"/>
          <w:b/>
          <w:color w:val="FF0000"/>
          <w:sz w:val="32"/>
        </w:rPr>
        <w:t>O.4 Response-Surface Methodology (RSM)</w:t>
      </w:r>
    </w:p>
    <w:p>
      <w:pPr>
        <w:spacing w:after="160"/>
        <w:jc w:val="both"/>
      </w:pPr>
      <w:r>
        <w:rPr>
          <w:rFonts w:ascii="Comic Sans MS" w:hAnsi="Comic Sans MS" w:cs="Comic Sans MS"/>
          <w:b w:val="0"/>
          <w:i w:val="0"/>
          <w:color w:val="000000"/>
          <w:sz w:val="28"/>
        </w:rPr>
        <w:t>Once the important factors are identified, RSM designs (central-composite, Box–Behnken) fit a second-order (quadratic) model that describes curvature and locates the optimum. The results are visualised as contour and 3-D response-surface plots, from which the factor settings giving the target release profile are chosen and validated.</w:t>
      </w:r>
    </w:p>
    <w:p>
      <w:pPr>
        <w:spacing w:before="200" w:after="100" w:line="276" w:lineRule="auto"/>
        <w:keepNext/>
      </w:pPr>
      <w:r>
        <w:rPr>
          <w:rFonts w:ascii="Comic Sans MS" w:hAnsi="Comic Sans MS" w:cs="Comic Sans MS"/>
          <w:b/>
          <w:color w:val="FF0000"/>
          <w:sz w:val="32"/>
        </w:rPr>
        <w:t>O.5 Quality by Design (QbD) &amp; Process Analytical Technology</w:t>
      </w:r>
    </w:p>
    <w:p>
      <w:pPr>
        <w:spacing w:after="160"/>
        <w:jc w:val="both"/>
      </w:pPr>
      <w:r>
        <w:rPr>
          <w:rFonts w:ascii="Comic Sans MS" w:hAnsi="Comic Sans MS" w:cs="Comic Sans MS"/>
          <w:b w:val="0"/>
          <w:i w:val="0"/>
          <w:color w:val="000000"/>
          <w:sz w:val="28"/>
        </w:rPr>
        <w:t>QbD (ICH Q8) builds quality into the product by design rather than testing it in at the end. It begins with the Quality Target Product Profile (QTPP), identifies the Critical Quality Attributes (CQAs) such as the release profile, links them to Critical Material Attributes and Critical Process Parameters through risk assessment and DoE, and defines a design space and a control strategy. Process Analytical Technology (PAT) provides real-time monitoring to keep the process within that space.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Optimization</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OFAT ignores interactions; factorial designs study all factors together.</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2³ full factorial = 8 runs; RSM (CCD / Box–Behnken) locates the optimum.</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QbD (ICH Q8) : QTPP → CQA → design space → control strategy.</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Evaluation Methods for Advanced DDS</w:t>
      </w:r>
    </w:p>
    <w:p>
      <w:pPr>
        <w:spacing w:before="200" w:after="100" w:line="276" w:lineRule="auto"/>
        <w:keepNext/>
      </w:pPr>
      <w:r>
        <w:rPr>
          <w:rFonts w:ascii="Comic Sans MS" w:hAnsi="Comic Sans MS" w:cs="Comic Sans MS"/>
          <w:b/>
          <w:color w:val="FF0000"/>
          <w:sz w:val="32"/>
        </w:rPr>
        <w:t>E.1 In-Vitro Dissolution / Release Testing</w:t>
      </w:r>
    </w:p>
    <w:p>
      <w:pPr>
        <w:spacing w:after="160"/>
        <w:jc w:val="both"/>
      </w:pPr>
      <w:r>
        <w:rPr>
          <w:rFonts w:ascii="Comic Sans MS" w:hAnsi="Comic Sans MS" w:cs="Comic Sans MS"/>
          <w:b w:val="0"/>
          <w:i w:val="0"/>
          <w:color w:val="000000"/>
          <w:sz w:val="28"/>
        </w:rPr>
        <w:t>Dissolution testing is the single most important in-vitro tool for characterising modified-release products and for quality control. It measures the rate and extent of drug release under standardised conditions and, when correlated with in-vivo data (IVIVC), can serve as a surrogate for bioequivalence.</w:t>
      </w:r>
    </w:p>
    <w:p>
      <w:pPr>
        <w:spacing w:before="80" w:after="40"/>
        <w:jc w:val="center"/>
      </w:pPr>
      <w:r>
        <w:drawing>
          <wp:inline xmlns:a="http://schemas.openxmlformats.org/drawingml/2006/main" xmlns:pic="http://schemas.openxmlformats.org/drawingml/2006/picture">
            <wp:extent cx="4572000" cy="3183505"/>
            <wp:docPr id="31" name="Picture 31"/>
            <wp:cNvGraphicFramePr>
              <a:graphicFrameLocks noChangeAspect="1"/>
            </wp:cNvGraphicFramePr>
            <a:graphic>
              <a:graphicData uri="http://schemas.openxmlformats.org/drawingml/2006/picture">
                <pic:pic>
                  <pic:nvPicPr>
                    <pic:cNvPr id="0" name="dissolution_apparatus.png"/>
                    <pic:cNvPicPr/>
                  </pic:nvPicPr>
                  <pic:blipFill>
                    <a:blip r:embed="rId41"/>
                    <a:stretch>
                      <a:fillRect/>
                    </a:stretch>
                  </pic:blipFill>
                  <pic:spPr>
                    <a:xfrm>
                      <a:off x="0" y="0"/>
                      <a:ext cx="4572000" cy="3183505"/>
                    </a:xfrm>
                    <a:prstGeom prst="rect"/>
                  </pic:spPr>
                </pic:pic>
              </a:graphicData>
            </a:graphic>
          </wp:inline>
        </w:drawing>
      </w:r>
    </w:p>
    <w:p>
      <w:pPr>
        <w:spacing w:after="160" w:line="264" w:lineRule="auto"/>
        <w:jc w:val="center"/>
      </w:pPr>
      <w:r>
        <w:rPr>
          <w:rFonts w:ascii="Comic Sans MS" w:hAnsi="Comic Sans MS" w:cs="Comic Sans MS"/>
          <w:b/>
          <w:i/>
          <w:color w:val="595959"/>
          <w:sz w:val="22"/>
        </w:rPr>
        <w:t>Fig. 31 : USP dissolution apparatus I (basket) and II (paddle)</w:t>
      </w:r>
    </w:p>
    <w:p>
      <w:pPr>
        <w:spacing w:before="140" w:after="60" w:line="276" w:lineRule="auto"/>
        <w:keepNext/>
      </w:pPr>
      <w:r>
        <w:rPr>
          <w:rFonts w:ascii="Comic Sans MS" w:hAnsi="Comic Sans MS" w:cs="Comic Sans MS"/>
          <w:b/>
          <w:color w:val="000000"/>
          <w:sz w:val="28"/>
        </w:rPr>
        <w:t>USP dissolution apparatus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58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Apparatus</w:t>
            </w:r>
          </w:p>
        </w:tc>
        <w:tc>
          <w:tcPr>
            <w:tcW w:type="dxa" w:w="316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Type</w:t>
            </w:r>
          </w:p>
        </w:tc>
        <w:tc>
          <w:tcPr>
            <w:tcW w:type="dxa" w:w="460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Typical use</w:t>
            </w:r>
          </w:p>
        </w:tc>
      </w:tr>
      <w:tr>
        <w:tc>
          <w:tcPr>
            <w:tcW w:type="dxa" w:w="15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Rotating basket</w:t>
            </w:r>
          </w:p>
        </w:tc>
        <w:tc>
          <w:tcPr>
            <w:tcW w:type="dxa" w:w="460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Capsules, floating / disintegrating forms</w:t>
            </w:r>
          </w:p>
        </w:tc>
      </w:tr>
      <w:tr>
        <w:tc>
          <w:tcPr>
            <w:tcW w:type="dxa" w:w="15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II</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Paddle</w:t>
            </w:r>
          </w:p>
        </w:tc>
        <w:tc>
          <w:tcPr>
            <w:tcW w:type="dxa" w:w="460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Tablets (most common)</w:t>
            </w:r>
          </w:p>
        </w:tc>
      </w:tr>
      <w:tr>
        <w:tc>
          <w:tcPr>
            <w:tcW w:type="dxa" w:w="15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III</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Reciprocating cylinder</w:t>
            </w:r>
          </w:p>
        </w:tc>
        <w:tc>
          <w:tcPr>
            <w:tcW w:type="dxa" w:w="460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Modified-release, pH change studies</w:t>
            </w:r>
          </w:p>
        </w:tc>
      </w:tr>
      <w:tr>
        <w:tc>
          <w:tcPr>
            <w:tcW w:type="dxa" w:w="15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IV</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Flow-through cell</w:t>
            </w:r>
          </w:p>
        </w:tc>
        <w:tc>
          <w:tcPr>
            <w:tcW w:type="dxa" w:w="460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Poorly soluble drugs, implants, suppositories</w:t>
            </w:r>
          </w:p>
        </w:tc>
      </w:tr>
      <w:tr>
        <w:tc>
          <w:tcPr>
            <w:tcW w:type="dxa" w:w="15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Paddle over disc</w:t>
            </w:r>
          </w:p>
        </w:tc>
        <w:tc>
          <w:tcPr>
            <w:tcW w:type="dxa" w:w="460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Transdermal patches</w:t>
            </w:r>
          </w:p>
        </w:tc>
      </w:tr>
      <w:tr>
        <w:tc>
          <w:tcPr>
            <w:tcW w:type="dxa" w:w="158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VI</w:t>
            </w:r>
          </w:p>
        </w:tc>
        <w:tc>
          <w:tcPr>
            <w:tcW w:type="dxa" w:w="316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Rotating cylinder</w:t>
            </w:r>
          </w:p>
        </w:tc>
        <w:tc>
          <w:tcPr>
            <w:tcW w:type="dxa" w:w="460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Transdermal patches</w:t>
            </w:r>
          </w:p>
        </w:tc>
      </w:tr>
      <w:tr>
        <w:tc>
          <w:tcPr>
            <w:tcW w:type="dxa" w:w="158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VII</w:t>
            </w:r>
          </w:p>
        </w:tc>
        <w:tc>
          <w:tcPr>
            <w:tcW w:type="dxa" w:w="316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Reciprocating holder</w:t>
            </w:r>
          </w:p>
        </w:tc>
        <w:tc>
          <w:tcPr>
            <w:tcW w:type="dxa" w:w="460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Small-volume, transdermal, stents</w:t>
            </w:r>
          </w:p>
        </w:tc>
      </w:tr>
    </w:tbl>
    <w:p>
      <w:pPr>
        <w:spacing w:after="40"/>
      </w:pPr>
    </w:p>
    <w:p>
      <w:pPr>
        <w:spacing w:after="160"/>
        <w:jc w:val="both"/>
      </w:pPr>
      <w:r>
        <w:rPr>
          <w:rFonts w:ascii="Comic Sans MS" w:hAnsi="Comic Sans MS" w:cs="Comic Sans MS"/>
          <w:b w:val="0"/>
          <w:i w:val="0"/>
          <w:color w:val="000000"/>
          <w:sz w:val="28"/>
        </w:rPr>
        <w:t>Key variables to be controlled and reported are the medium (volume, pH, surfactant), temperature (37 ± 0.5 °C), rotation speed and sampling times. The medium is chosen to provide sink conditions and to reflect the physiological environment; a pH change (e.g., 1.2 → 6.8) may be programmed for enteric and colonic systems.</w:t>
      </w:r>
    </w:p>
    <w:p>
      <w:pPr>
        <w:spacing w:before="140" w:after="60" w:line="276" w:lineRule="auto"/>
        <w:keepNext/>
      </w:pPr>
      <w:r>
        <w:rPr>
          <w:rFonts w:ascii="Comic Sans MS" w:hAnsi="Comic Sans MS" w:cs="Comic Sans MS"/>
          <w:b/>
          <w:color w:val="000000"/>
          <w:sz w:val="28"/>
        </w:rPr>
        <w:t>Comparison of dissolution profiles</w:t>
      </w:r>
    </w:p>
    <w:p>
      <w:pPr>
        <w:spacing w:after="160"/>
        <w:jc w:val="both"/>
      </w:pPr>
      <w:r>
        <w:rPr>
          <w:rFonts w:ascii="Comic Sans MS" w:hAnsi="Comic Sans MS" w:cs="Comic Sans MS"/>
          <w:b w:val="0"/>
          <w:i w:val="0"/>
          <w:color w:val="000000"/>
          <w:sz w:val="28"/>
        </w:rPr>
        <w:t>Two release profiles are compared using model-independent factors :</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Difference factor f₁ : </w:t>
      </w:r>
      <w:r>
        <w:rPr>
          <w:rFonts w:ascii="Comic Sans MS" w:hAnsi="Comic Sans MS" w:cs="Comic Sans MS"/>
          <w:b w:val="0"/>
          <w:i w:val="0"/>
          <w:color w:val="000000"/>
          <w:sz w:val="28"/>
        </w:rPr>
        <w:t>measures the percentage difference between two curves; f₁ should be 0–15 for similarity.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Similarity factor f₂ : </w:t>
      </w:r>
      <w:r>
        <w:rPr>
          <w:rFonts w:ascii="Comic Sans MS" w:hAnsi="Comic Sans MS" w:cs="Comic Sans MS"/>
          <w:b w:val="0"/>
          <w:i w:val="0"/>
          <w:color w:val="000000"/>
          <w:sz w:val="28"/>
        </w:rPr>
        <w:t>a logarithmic transformation of the mean squared difference; f₂ between 50 and 100 indicates similar profiles.</w:t>
      </w:r>
    </w:p>
    <w:p>
      <w:pPr>
        <w:spacing w:before="40" w:after="120"/>
        <w:jc w:val="center"/>
      </w:pPr>
      <w:r>
        <w:rPr>
          <w:rFonts w:ascii="Comic Sans MS" w:hAnsi="Comic Sans MS" w:cs="Comic Sans MS"/>
          <w:b/>
          <w:color w:val="6A1B9A"/>
          <w:sz w:val="28"/>
        </w:rPr>
        <w:t>f₂ = 50 × log { [1 + (1/n)Σ(Rₜ – Tₜ)²]^(–0.5) × 100 }</w:t>
      </w:r>
    </w:p>
    <w:p>
      <w:pPr>
        <w:spacing w:before="200" w:after="100" w:line="276" w:lineRule="auto"/>
        <w:keepNext/>
      </w:pPr>
      <w:r>
        <w:rPr>
          <w:rFonts w:ascii="Comic Sans MS" w:hAnsi="Comic Sans MS" w:cs="Comic Sans MS"/>
          <w:b/>
          <w:color w:val="FF0000"/>
          <w:sz w:val="32"/>
        </w:rPr>
        <w:t>E.2 In-Vitro Permeation Testing (TDDS)</w:t>
      </w:r>
    </w:p>
    <w:p>
      <w:pPr>
        <w:spacing w:after="160"/>
        <w:jc w:val="both"/>
      </w:pPr>
      <w:r>
        <w:rPr>
          <w:rFonts w:ascii="Comic Sans MS" w:hAnsi="Comic Sans MS" w:cs="Comic Sans MS"/>
          <w:b w:val="0"/>
          <w:i w:val="0"/>
          <w:color w:val="000000"/>
          <w:sz w:val="28"/>
        </w:rPr>
        <w:t>Skin permeation is studied in a Franz diffusion cell : the skin (or a synthetic membrane) is mounted between a donor compartment (holding the patch / formulation) and a receptor compartment (holding the receptor medium, stirred and thermostatted at 32–37 °C). Samples are withdrawn from the receptor at intervals and assayed; the cumulative amount permeated per unit area is plotted against time to obtain the steady-state flux (Jss), permeability coefficient and lag time.</w:t>
      </w:r>
    </w:p>
    <w:p>
      <w:pPr>
        <w:spacing w:before="80" w:after="40"/>
        <w:jc w:val="center"/>
      </w:pPr>
      <w:r>
        <w:drawing>
          <wp:inline xmlns:a="http://schemas.openxmlformats.org/drawingml/2006/main" xmlns:pic="http://schemas.openxmlformats.org/drawingml/2006/picture">
            <wp:extent cx="3291840" cy="2840121"/>
            <wp:docPr id="32" name="Picture 32"/>
            <wp:cNvGraphicFramePr>
              <a:graphicFrameLocks noChangeAspect="1"/>
            </wp:cNvGraphicFramePr>
            <a:graphic>
              <a:graphicData uri="http://schemas.openxmlformats.org/drawingml/2006/picture">
                <pic:pic>
                  <pic:nvPicPr>
                    <pic:cNvPr id="0" name="franz_cell.png"/>
                    <pic:cNvPicPr/>
                  </pic:nvPicPr>
                  <pic:blipFill>
                    <a:blip r:embed="rId42"/>
                    <a:stretch>
                      <a:fillRect/>
                    </a:stretch>
                  </pic:blipFill>
                  <pic:spPr>
                    <a:xfrm>
                      <a:off x="0" y="0"/>
                      <a:ext cx="3291840" cy="2840121"/>
                    </a:xfrm>
                    <a:prstGeom prst="rect"/>
                  </pic:spPr>
                </pic:pic>
              </a:graphicData>
            </a:graphic>
          </wp:inline>
        </w:drawing>
      </w:r>
    </w:p>
    <w:p>
      <w:pPr>
        <w:spacing w:after="160" w:line="264" w:lineRule="auto"/>
        <w:jc w:val="center"/>
      </w:pPr>
      <w:r>
        <w:rPr>
          <w:rFonts w:ascii="Comic Sans MS" w:hAnsi="Comic Sans MS" w:cs="Comic Sans MS"/>
          <w:b/>
          <w:i/>
          <w:color w:val="595959"/>
          <w:sz w:val="22"/>
        </w:rPr>
        <w:t>Fig. 32 : Franz diffusion cell for in-vitro skin permeation studies</w:t>
      </w:r>
    </w:p>
    <w:p>
      <w:pPr>
        <w:spacing w:before="200" w:after="100" w:line="276" w:lineRule="auto"/>
        <w:keepNext/>
      </w:pPr>
      <w:r>
        <w:rPr>
          <w:rFonts w:ascii="Comic Sans MS" w:hAnsi="Comic Sans MS" w:cs="Comic Sans MS"/>
          <w:b/>
          <w:color w:val="FF0000"/>
          <w:sz w:val="32"/>
        </w:rPr>
        <w:t>E.3 Solid-State &amp; Physical Characterisation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Particle size &amp; morphology : </w:t>
      </w:r>
      <w:r>
        <w:rPr>
          <w:rFonts w:ascii="Comic Sans MS" w:hAnsi="Comic Sans MS" w:cs="Comic Sans MS"/>
          <w:b w:val="0"/>
          <w:i w:val="0"/>
          <w:color w:val="000000"/>
          <w:sz w:val="28"/>
        </w:rPr>
        <w:t>optical / electron microscopy (SEM), laser diffraction, sieving.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Thermal analysis : </w:t>
      </w:r>
      <w:r>
        <w:rPr>
          <w:rFonts w:ascii="Comic Sans MS" w:hAnsi="Comic Sans MS" w:cs="Comic Sans MS"/>
          <w:b w:val="0"/>
          <w:i w:val="0"/>
          <w:color w:val="000000"/>
          <w:sz w:val="28"/>
        </w:rPr>
        <w:t>DSC and TGA detect polymorphism, drug–polymer interaction and thermal events.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X-ray powder diffraction (XRPD) : </w:t>
      </w:r>
      <w:r>
        <w:rPr>
          <w:rFonts w:ascii="Comic Sans MS" w:hAnsi="Comic Sans MS" w:cs="Comic Sans MS"/>
          <w:b w:val="0"/>
          <w:i w:val="0"/>
          <w:color w:val="000000"/>
          <w:sz w:val="28"/>
        </w:rPr>
        <w:t>distinguishes crystalline and amorphous states.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FTIR / spectroscopy : </w:t>
      </w:r>
      <w:r>
        <w:rPr>
          <w:rFonts w:ascii="Comic Sans MS" w:hAnsi="Comic Sans MS" w:cs="Comic Sans MS"/>
          <w:b w:val="0"/>
          <w:i w:val="0"/>
          <w:color w:val="000000"/>
          <w:sz w:val="28"/>
        </w:rPr>
        <w:t>confirms drug–excipient compatibility.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Mechanical tests : </w:t>
      </w:r>
      <w:r>
        <w:rPr>
          <w:rFonts w:ascii="Comic Sans MS" w:hAnsi="Comic Sans MS" w:cs="Comic Sans MS"/>
          <w:b w:val="0"/>
          <w:i w:val="0"/>
          <w:color w:val="000000"/>
          <w:sz w:val="28"/>
        </w:rPr>
        <w:t>hardness, friability, tensile strength, folding endurance (films).</w:t>
      </w:r>
    </w:p>
    <w:p>
      <w:pPr>
        <w:spacing w:before="200" w:after="100" w:line="276" w:lineRule="auto"/>
        <w:keepNext/>
      </w:pPr>
      <w:r>
        <w:rPr>
          <w:rFonts w:ascii="Comic Sans MS" w:hAnsi="Comic Sans MS" w:cs="Comic Sans MS"/>
          <w:b/>
          <w:color w:val="FF0000"/>
          <w:sz w:val="32"/>
        </w:rPr>
        <w:t>E.4 Biopharmaceutics Classification System (BCS)</w:t>
      </w:r>
    </w:p>
    <w:p>
      <w:pPr>
        <w:spacing w:after="160"/>
        <w:jc w:val="both"/>
      </w:pPr>
      <w:r>
        <w:rPr>
          <w:rFonts w:ascii="Comic Sans MS" w:hAnsi="Comic Sans MS" w:cs="Comic Sans MS"/>
          <w:b w:val="0"/>
          <w:i w:val="0"/>
          <w:color w:val="000000"/>
          <w:sz w:val="28"/>
        </w:rPr>
        <w:t>The BCS classifies drugs by aqueous solubility and intestinal permeability into four classes; it guides formulation strategy and underpins the biowaiver of in-vivo bioequivalence studies for certain immediate-release products.</w:t>
      </w:r>
    </w:p>
    <w:p>
      <w:pPr>
        <w:spacing w:before="80" w:after="40"/>
        <w:jc w:val="center"/>
      </w:pPr>
      <w:r>
        <w:drawing>
          <wp:inline xmlns:a="http://schemas.openxmlformats.org/drawingml/2006/main" xmlns:pic="http://schemas.openxmlformats.org/drawingml/2006/picture">
            <wp:extent cx="4023360" cy="3035903"/>
            <wp:docPr id="33" name="Picture 33"/>
            <wp:cNvGraphicFramePr>
              <a:graphicFrameLocks noChangeAspect="1"/>
            </wp:cNvGraphicFramePr>
            <a:graphic>
              <a:graphicData uri="http://schemas.openxmlformats.org/drawingml/2006/picture">
                <pic:pic>
                  <pic:nvPicPr>
                    <pic:cNvPr id="0" name="bcs.png"/>
                    <pic:cNvPicPr/>
                  </pic:nvPicPr>
                  <pic:blipFill>
                    <a:blip r:embed="rId43"/>
                    <a:stretch>
                      <a:fillRect/>
                    </a:stretch>
                  </pic:blipFill>
                  <pic:spPr>
                    <a:xfrm>
                      <a:off x="0" y="0"/>
                      <a:ext cx="4023360" cy="3035903"/>
                    </a:xfrm>
                    <a:prstGeom prst="rect"/>
                  </pic:spPr>
                </pic:pic>
              </a:graphicData>
            </a:graphic>
          </wp:inline>
        </w:drawing>
      </w:r>
    </w:p>
    <w:p>
      <w:pPr>
        <w:spacing w:after="160" w:line="264" w:lineRule="auto"/>
        <w:jc w:val="center"/>
      </w:pPr>
      <w:r>
        <w:rPr>
          <w:rFonts w:ascii="Comic Sans MS" w:hAnsi="Comic Sans MS" w:cs="Comic Sans MS"/>
          <w:b/>
          <w:i/>
          <w:color w:val="595959"/>
          <w:sz w:val="22"/>
        </w:rPr>
        <w:t>Fig. 33 : Biopharmaceutics Classification System (BCS)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Class I (high solubility, high permeability) : </w:t>
      </w:r>
      <w:r>
        <w:rPr>
          <w:rFonts w:ascii="Comic Sans MS" w:hAnsi="Comic Sans MS" w:cs="Comic Sans MS"/>
          <w:b w:val="0"/>
          <w:i w:val="0"/>
          <w:color w:val="000000"/>
          <w:sz w:val="28"/>
        </w:rPr>
        <w:t>well absorbed; dissolution usually not limiting.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Class II (low solubility, high permeability) : </w:t>
      </w:r>
      <w:r>
        <w:rPr>
          <w:rFonts w:ascii="Comic Sans MS" w:hAnsi="Comic Sans MS" w:cs="Comic Sans MS"/>
          <w:b w:val="0"/>
          <w:i w:val="0"/>
          <w:color w:val="000000"/>
          <w:sz w:val="28"/>
        </w:rPr>
        <w:t>dissolution-limited; solubility-enhancement strategies help.</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Class III (high solubility, low permeability) : </w:t>
      </w:r>
      <w:r>
        <w:rPr>
          <w:rFonts w:ascii="Comic Sans MS" w:hAnsi="Comic Sans MS" w:cs="Comic Sans MS"/>
          <w:b w:val="0"/>
          <w:i w:val="0"/>
          <w:color w:val="000000"/>
          <w:sz w:val="28"/>
        </w:rPr>
        <w:t>permeation-limited; absorption enhancers / mucoadhesion help.</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Class IV (low solubility, low permeability) : </w:t>
      </w:r>
      <w:r>
        <w:rPr>
          <w:rFonts w:ascii="Comic Sans MS" w:hAnsi="Comic Sans MS" w:cs="Comic Sans MS"/>
          <w:b w:val="0"/>
          <w:i w:val="0"/>
          <w:color w:val="000000"/>
          <w:sz w:val="28"/>
        </w:rPr>
        <w:t>poorly absorbed; the most challenging.</w:t>
      </w:r>
    </w:p>
    <w:p>
      <w:pPr>
        <w:spacing w:before="200" w:after="100" w:line="276" w:lineRule="auto"/>
        <w:keepNext/>
      </w:pPr>
      <w:r>
        <w:rPr>
          <w:rFonts w:ascii="Comic Sans MS" w:hAnsi="Comic Sans MS" w:cs="Comic Sans MS"/>
          <w:b/>
          <w:color w:val="FF0000"/>
          <w:sz w:val="32"/>
        </w:rPr>
        <w:t>E.5 In-Vivo &amp; Bioavailability Studies</w:t>
      </w:r>
    </w:p>
    <w:p>
      <w:pPr>
        <w:spacing w:after="160"/>
        <w:jc w:val="both"/>
      </w:pPr>
      <w:r>
        <w:rPr>
          <w:rFonts w:ascii="Comic Sans MS" w:hAnsi="Comic Sans MS" w:cs="Comic Sans MS"/>
          <w:b w:val="0"/>
          <w:i w:val="0"/>
          <w:color w:val="000000"/>
          <w:sz w:val="28"/>
        </w:rPr>
        <w:t>Ultimately, the performance of an advanced DDS is confirmed in vivo by measuring the plasma-concentration–time profile and deriving Cmax, Tmax and AUC, and by comparing these with a reference to establish relative bioavailability or bioequivalence. A validated IVIVC then links these to the in-vitro release, allowing release testing to be used for routine control.</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Stability &amp; Regulatory Considerations</w:t>
      </w:r>
    </w:p>
    <w:p>
      <w:pPr>
        <w:spacing w:before="200" w:after="100" w:line="276" w:lineRule="auto"/>
        <w:keepNext/>
      </w:pPr>
      <w:r>
        <w:rPr>
          <w:rFonts w:ascii="Comic Sans MS" w:hAnsi="Comic Sans MS" w:cs="Comic Sans MS"/>
          <w:b/>
          <w:color w:val="FF0000"/>
          <w:sz w:val="32"/>
        </w:rPr>
        <w:t>R.1 Importance of Stability in Advanced DDS</w:t>
      </w:r>
    </w:p>
    <w:p>
      <w:pPr>
        <w:spacing w:after="160"/>
        <w:jc w:val="both"/>
      </w:pPr>
      <w:r>
        <w:rPr>
          <w:rFonts w:ascii="Comic Sans MS" w:hAnsi="Comic Sans MS" w:cs="Comic Sans MS"/>
          <w:b w:val="0"/>
          <w:i w:val="0"/>
          <w:color w:val="000000"/>
          <w:sz w:val="28"/>
        </w:rPr>
        <w:t>Modified-release and novel delivery systems often contain polymers, plasticisers and functional coats whose properties can change on storage, altering the release profile (for example, film curing / ageing of a coated pellet can slow release over time). Stability studies must therefore verify not only the chemical stability of the drug but also the constancy of the release characteristics throughout the shelf-life.</w:t>
      </w:r>
    </w:p>
    <w:p>
      <w:pPr>
        <w:spacing w:before="200" w:after="100" w:line="276" w:lineRule="auto"/>
        <w:keepNext/>
      </w:pPr>
      <w:r>
        <w:rPr>
          <w:rFonts w:ascii="Comic Sans MS" w:hAnsi="Comic Sans MS" w:cs="Comic Sans MS"/>
          <w:b/>
          <w:color w:val="FF0000"/>
          <w:sz w:val="32"/>
        </w:rPr>
        <w:t>R.2 Degradation Kinetics &amp; Shelf-life</w:t>
      </w:r>
    </w:p>
    <w:p>
      <w:pPr>
        <w:spacing w:after="160"/>
        <w:jc w:val="both"/>
      </w:pPr>
      <w:r>
        <w:rPr>
          <w:rFonts w:ascii="Comic Sans MS" w:hAnsi="Comic Sans MS" w:cs="Comic Sans MS"/>
          <w:b w:val="0"/>
          <w:i w:val="0"/>
          <w:color w:val="000000"/>
          <w:sz w:val="28"/>
        </w:rPr>
        <w:t>The rate of chemical degradation follows an order of reaction (zero, first or second). For most drugs, degradation is first-order, and the time for 10 % loss (t₉₀, the shelf-life or expiry period) is calculated from the rate constant. Accelerated studies at elevated temperature, analysed by the Arrhenius equation, allow the room-temperature shelf-life to be predicted.</w:t>
      </w:r>
    </w:p>
    <w:p>
      <w:pPr>
        <w:spacing w:before="40" w:after="120"/>
        <w:jc w:val="center"/>
      </w:pPr>
      <w:r>
        <w:rPr>
          <w:rFonts w:ascii="Comic Sans MS" w:hAnsi="Comic Sans MS" w:cs="Comic Sans MS"/>
          <w:b/>
          <w:color w:val="6A1B9A"/>
          <w:sz w:val="28"/>
        </w:rPr>
        <w:t>log k = log A – (Ea / 2.303 R) × (1/T)   (Arrhenius)</w:t>
      </w:r>
    </w:p>
    <w:p>
      <w:pPr>
        <w:spacing w:before="40" w:after="120"/>
        <w:jc w:val="center"/>
      </w:pPr>
      <w:r>
        <w:rPr>
          <w:rFonts w:ascii="Comic Sans MS" w:hAnsi="Comic Sans MS" w:cs="Comic Sans MS"/>
          <w:b/>
          <w:color w:val="6A1B9A"/>
          <w:sz w:val="28"/>
        </w:rPr>
        <w:t>t₉₀ = 0.105 / k   (first-order)</w:t>
      </w:r>
    </w:p>
    <w:p>
      <w:pPr>
        <w:spacing w:before="200" w:after="100" w:line="276" w:lineRule="auto"/>
        <w:keepNext/>
      </w:pPr>
      <w:r>
        <w:rPr>
          <w:rFonts w:ascii="Comic Sans MS" w:hAnsi="Comic Sans MS" w:cs="Comic Sans MS"/>
          <w:b/>
          <w:color w:val="FF0000"/>
          <w:sz w:val="32"/>
        </w:rPr>
        <w:t>R.3 ICH Stability Testing</w:t>
      </w:r>
    </w:p>
    <w:p>
      <w:pPr>
        <w:spacing w:after="160"/>
        <w:jc w:val="both"/>
      </w:pPr>
      <w:r>
        <w:rPr>
          <w:rFonts w:ascii="Comic Sans MS" w:hAnsi="Comic Sans MS" w:cs="Comic Sans MS"/>
          <w:b w:val="0"/>
          <w:i w:val="0"/>
          <w:color w:val="000000"/>
          <w:sz w:val="28"/>
        </w:rPr>
        <w:t>The International Council for Harmonisation (ICH) guideline Q1A(R2) prescribes the conditions for stability testing of new drug substances and products :</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448"/>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Study</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Condition</w:t>
            </w:r>
          </w:p>
        </w:tc>
        <w:tc>
          <w:tcPr>
            <w:tcW w:type="dxa" w:w="3312"/>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Minimum period</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Long-term</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25 °C / 60 % RH</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12 months</w:t>
            </w:r>
          </w:p>
        </w:tc>
      </w:tr>
      <w:tr>
        <w:tc>
          <w:tcPr>
            <w:tcW w:type="dxa" w:w="2448"/>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Intermediate</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30 °C / 65 % RH</w:t>
            </w:r>
          </w:p>
        </w:tc>
        <w:tc>
          <w:tcPr>
            <w:tcW w:type="dxa" w:w="3312"/>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6 months</w:t>
            </w:r>
          </w:p>
        </w:tc>
      </w:tr>
      <w:tr>
        <w:tc>
          <w:tcPr>
            <w:tcW w:type="dxa" w:w="2448"/>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Accelerated</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40 °C / 75 % RH</w:t>
            </w:r>
          </w:p>
        </w:tc>
        <w:tc>
          <w:tcPr>
            <w:tcW w:type="dxa" w:w="3312"/>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6 months</w:t>
            </w:r>
          </w:p>
        </w:tc>
      </w:tr>
    </w:tbl>
    <w:p>
      <w:pPr>
        <w:spacing w:after="40"/>
      </w:pPr>
    </w:p>
    <w:p>
      <w:pPr>
        <w:spacing w:after="160"/>
        <w:jc w:val="both"/>
      </w:pPr>
      <w:r>
        <w:rPr>
          <w:rFonts w:ascii="Comic Sans MS" w:hAnsi="Comic Sans MS" w:cs="Comic Sans MS"/>
          <w:b w:val="0"/>
          <w:i w:val="0"/>
          <w:color w:val="000000"/>
          <w:sz w:val="28"/>
        </w:rPr>
        <w:t>Related guidelines : Q1B (photostability), Q1C (new dosage forms), Q1D (bracketing and matrixing designs), Q1E (evaluation of stability data). Climatic zones (I–IV) define the storage conditions appropriate to the intended market.</w:t>
      </w:r>
    </w:p>
    <w:p>
      <w:pPr>
        <w:spacing w:before="140" w:after="60" w:line="276" w:lineRule="auto"/>
        <w:keepNext/>
      </w:pPr>
      <w:r>
        <w:rPr>
          <w:rFonts w:ascii="Comic Sans MS" w:hAnsi="Comic Sans MS" w:cs="Comic Sans MS"/>
          <w:b/>
          <w:color w:val="000000"/>
          <w:sz w:val="28"/>
        </w:rPr>
        <w:t>Bracketing &amp; matrixing</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Bracketing : </w:t>
      </w:r>
      <w:r>
        <w:rPr>
          <w:rFonts w:ascii="Comic Sans MS" w:hAnsi="Comic Sans MS" w:cs="Comic Sans MS"/>
          <w:b w:val="0"/>
          <w:i w:val="0"/>
          <w:color w:val="000000"/>
          <w:sz w:val="28"/>
        </w:rPr>
        <w:t>only the extremes of certain design factors (e.g., strength, container size) are tested, assuming the intermediates are represented by the extremes.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b/>
          <w:i w:val="0"/>
          <w:color w:val="000000"/>
          <w:sz w:val="28"/>
        </w:rPr>
        <w:t xml:space="preserve">Matrixing : </w:t>
      </w:r>
      <w:r>
        <w:rPr>
          <w:rFonts w:ascii="Comic Sans MS" w:hAnsi="Comic Sans MS" w:cs="Comic Sans MS"/>
          <w:b w:val="0"/>
          <w:i w:val="0"/>
          <w:color w:val="000000"/>
          <w:sz w:val="28"/>
        </w:rPr>
        <w:t>a selected subset of samples is tested at each time point, reducing the total number of tests.</w:t>
      </w:r>
    </w:p>
    <w:p>
      <w:pPr>
        <w:spacing w:before="200" w:after="100" w:line="276" w:lineRule="auto"/>
        <w:keepNext/>
      </w:pPr>
      <w:r>
        <w:rPr>
          <w:rFonts w:ascii="Comic Sans MS" w:hAnsi="Comic Sans MS" w:cs="Comic Sans MS"/>
          <w:b/>
          <w:color w:val="FF0000"/>
          <w:sz w:val="32"/>
        </w:rPr>
        <w:t>R.4 Regulatory Aspects of Modified-Release Products</w:t>
      </w:r>
    </w:p>
    <w:p>
      <w:pPr>
        <w:spacing w:after="160"/>
        <w:jc w:val="both"/>
      </w:pPr>
      <w:r>
        <w:rPr>
          <w:rFonts w:ascii="Comic Sans MS" w:hAnsi="Comic Sans MS" w:cs="Comic Sans MS"/>
          <w:b w:val="0"/>
          <w:i w:val="0"/>
          <w:color w:val="000000"/>
          <w:sz w:val="28"/>
        </w:rPr>
        <w:t>Modified-release products require additional documentation : justification of the release mechanism, in-vitro release specifications with a validated method, IVIVC where possible, food-effect studies, dose-dumping (alcohol-interaction) studies, and demonstration that the release is reproducible across batches. Novel systems such as 3D-printed and individualised medicines pose new regulatory challenges regarding batch definition, quality control of small quantities and point-of-care manufacture, which regulators are actively addressing.</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High-yield – Stability &amp; Regulatory</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First-order shelf-life t₉₀ = 0.105 / k; Arrhenius predicts long-term from accelerated data.</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ICH long-term = 25 °C/60 % RH; accelerated = 40 °C/75 % RH for 6 months.</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Modified-release products need dose-dumping (alcohol) and food-effect studies.</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Numericals &amp; Worked Examples</w:t>
      </w:r>
    </w:p>
    <w:p>
      <w:pPr>
        <w:spacing w:before="200" w:after="100" w:line="276" w:lineRule="auto"/>
        <w:keepNext/>
      </w:pPr>
      <w:r>
        <w:rPr>
          <w:rFonts w:ascii="Comic Sans MS" w:hAnsi="Comic Sans MS" w:cs="Comic Sans MS"/>
          <w:b/>
          <w:color w:val="FF0000"/>
          <w:sz w:val="32"/>
        </w:rPr>
        <w:t>N.1 Elimination Rate Constant &amp; Half-life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1</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drug has a half-life of 3 h. Calculate its elimination rate constant.</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Solution : </w:t>
            </w:r>
            <w:r>
              <w:rPr>
                <w:rFonts w:ascii="Comic Sans MS" w:hAnsi="Comic Sans MS" w:cs="Comic Sans MS"/>
                <w:b w:val="0"/>
                <w:i w:val="0"/>
                <w:color w:val="000000"/>
                <w:sz w:val="28"/>
              </w:rPr>
              <w:t>kₑ = 0.693 / t½ = 0.693 / 3 = 0.231 h⁻¹.</w:t>
            </w:r>
          </w:p>
        </w:tc>
      </w:tr>
    </w:tbl>
    <w:p>
      <w:pPr>
        <w:spacing w:after="40"/>
      </w:pPr>
    </w:p>
    <w:p>
      <w:pPr>
        <w:spacing w:before="200" w:after="100" w:line="276" w:lineRule="auto"/>
        <w:keepNext/>
      </w:pPr>
      <w:r>
        <w:rPr>
          <w:rFonts w:ascii="Comic Sans MS" w:hAnsi="Comic Sans MS" w:cs="Comic Sans MS"/>
          <w:b/>
          <w:color w:val="FF0000"/>
          <w:sz w:val="32"/>
        </w:rPr>
        <w:t>N.2 Zero-order Release / Maintenance Dose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2</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Desired steady-state plasma level Cp = 8 mg/L; Vd = 25 L; t½ = 5 h. Find the zero-order release rate and the maintenance dose for 8 h.</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kₑ : </w:t>
            </w:r>
            <w:r>
              <w:rPr>
                <w:rFonts w:ascii="Comic Sans MS" w:hAnsi="Comic Sans MS" w:cs="Comic Sans MS"/>
                <w:b w:val="0"/>
                <w:i w:val="0"/>
                <w:color w:val="000000"/>
                <w:sz w:val="28"/>
              </w:rPr>
              <w:t>0.693/5 = 0.1386 h⁻¹.</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Release rate Kᵣ₀ : </w:t>
            </w:r>
            <w:r>
              <w:rPr>
                <w:rFonts w:ascii="Comic Sans MS" w:hAnsi="Comic Sans MS" w:cs="Comic Sans MS"/>
                <w:b w:val="0"/>
                <w:i w:val="0"/>
                <w:color w:val="000000"/>
                <w:sz w:val="28"/>
              </w:rPr>
              <w:t>Cp × kₑ × Vd = 8 × 0.1386 × 25 = 27.7 mg/h.</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Maintenance dose (8 h) : </w:t>
            </w:r>
            <w:r>
              <w:rPr>
                <w:rFonts w:ascii="Comic Sans MS" w:hAnsi="Comic Sans MS" w:cs="Comic Sans MS"/>
                <w:b w:val="0"/>
                <w:i w:val="0"/>
                <w:color w:val="000000"/>
                <w:sz w:val="28"/>
              </w:rPr>
              <w:t>27.7 × 8 = 221.7 mg.</w:t>
            </w:r>
          </w:p>
        </w:tc>
      </w:tr>
    </w:tbl>
    <w:p>
      <w:pPr>
        <w:spacing w:after="40"/>
      </w:pPr>
    </w:p>
    <w:p>
      <w:pPr>
        <w:spacing w:before="200" w:after="100" w:line="276" w:lineRule="auto"/>
        <w:keepNext/>
      </w:pPr>
      <w:r>
        <w:rPr>
          <w:rFonts w:ascii="Comic Sans MS" w:hAnsi="Comic Sans MS" w:cs="Comic Sans MS"/>
          <w:b/>
          <w:color w:val="FF0000"/>
          <w:sz w:val="32"/>
        </w:rPr>
        <w:t>N.3 Loading Dose &amp; Total Dose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3</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For the drug in Example 2 (F = 1), find the loading dose and total dose.</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Loading dose D₀ : </w:t>
            </w:r>
            <w:r>
              <w:rPr>
                <w:rFonts w:ascii="Comic Sans MS" w:hAnsi="Comic Sans MS" w:cs="Comic Sans MS"/>
                <w:b w:val="0"/>
                <w:i w:val="0"/>
                <w:color w:val="000000"/>
                <w:sz w:val="28"/>
              </w:rPr>
              <w:t>Cp × Vd = 8 × 25 = 200 mg.</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Total dose W : </w:t>
            </w:r>
            <w:r>
              <w:rPr>
                <w:rFonts w:ascii="Comic Sans MS" w:hAnsi="Comic Sans MS" w:cs="Comic Sans MS"/>
                <w:b w:val="0"/>
                <w:i w:val="0"/>
                <w:color w:val="000000"/>
                <w:sz w:val="28"/>
              </w:rPr>
              <w:t>D₀ + Dₘ = 200 + 221.7 = 421.7 mg.</w:t>
            </w:r>
          </w:p>
        </w:tc>
      </w:tr>
    </w:tbl>
    <w:p>
      <w:pPr>
        <w:spacing w:after="40"/>
      </w:pPr>
    </w:p>
    <w:p>
      <w:pPr>
        <w:spacing w:before="200" w:after="100" w:line="276" w:lineRule="auto"/>
        <w:keepNext/>
      </w:pPr>
      <w:r>
        <w:rPr>
          <w:rFonts w:ascii="Comic Sans MS" w:hAnsi="Comic Sans MS" w:cs="Comic Sans MS"/>
          <w:b/>
          <w:color w:val="FF0000"/>
          <w:sz w:val="32"/>
        </w:rPr>
        <w:t>N.4 Corrected Loading Dose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4</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If the immediate-release portion peaks at Tₚ = 1.5 h and Kᵣ₀ = 27.7 mg/h, find the corrected loading dose.</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D₀(corrected) : </w:t>
            </w:r>
            <w:r>
              <w:rPr>
                <w:rFonts w:ascii="Comic Sans MS" w:hAnsi="Comic Sans MS" w:cs="Comic Sans MS"/>
                <w:b w:val="0"/>
                <w:i w:val="0"/>
                <w:color w:val="000000"/>
                <w:sz w:val="28"/>
              </w:rPr>
              <w:t>D₀ – (Kᵣ₀ × Tₚ) = 200 – (27.7 × 1.5) = 200 – 41.6 = 158.4 mg.</w:t>
            </w:r>
          </w:p>
        </w:tc>
      </w:tr>
    </w:tbl>
    <w:p>
      <w:pPr>
        <w:spacing w:after="40"/>
      </w:pPr>
    </w:p>
    <w:p>
      <w:pPr>
        <w:spacing w:before="200" w:after="100" w:line="276" w:lineRule="auto"/>
        <w:keepNext/>
      </w:pPr>
      <w:r>
        <w:rPr>
          <w:rFonts w:ascii="Comic Sans MS" w:hAnsi="Comic Sans MS" w:cs="Comic Sans MS"/>
          <w:b/>
          <w:color w:val="FF0000"/>
          <w:sz w:val="32"/>
        </w:rPr>
        <w:t>N.5 Bioavailability Correction (oral)</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5</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drug with F = 0.8 requires Cp = 10 mg/L and Vd = 20 L. Find the oral loading dose.</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D₀ : </w:t>
            </w:r>
            <w:r>
              <w:rPr>
                <w:rFonts w:ascii="Comic Sans MS" w:hAnsi="Comic Sans MS" w:cs="Comic Sans MS"/>
                <w:b w:val="0"/>
                <w:i w:val="0"/>
                <w:color w:val="000000"/>
                <w:sz w:val="28"/>
              </w:rPr>
              <w:t>(Cp × Vd)/F = (10 × 20)/0.8 = 250 mg.</w:t>
            </w:r>
          </w:p>
        </w:tc>
      </w:tr>
    </w:tbl>
    <w:p>
      <w:pPr>
        <w:spacing w:after="40"/>
      </w:pPr>
    </w:p>
    <w:p>
      <w:pPr>
        <w:spacing w:before="200" w:after="100" w:line="276" w:lineRule="auto"/>
        <w:keepNext/>
      </w:pPr>
      <w:r>
        <w:rPr>
          <w:rFonts w:ascii="Comic Sans MS" w:hAnsi="Comic Sans MS" w:cs="Comic Sans MS"/>
          <w:b/>
          <w:color w:val="FF0000"/>
          <w:sz w:val="32"/>
        </w:rPr>
        <w:t>N.6 Higuchi Release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6</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matrix releases 20 % of its drug in 1 h and follows Higuchi kinetics (Q = kₕ√t). How much is released in 4 h?</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kₕ : </w:t>
            </w:r>
            <w:r>
              <w:rPr>
                <w:rFonts w:ascii="Comic Sans MS" w:hAnsi="Comic Sans MS" w:cs="Comic Sans MS"/>
                <w:b w:val="0"/>
                <w:i w:val="0"/>
                <w:color w:val="000000"/>
                <w:sz w:val="28"/>
              </w:rPr>
              <w:t>Q/√t = 20/√1 = 20 %·h⁻⁰·⁵.</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At 4 h : </w:t>
            </w:r>
            <w:r>
              <w:rPr>
                <w:rFonts w:ascii="Comic Sans MS" w:hAnsi="Comic Sans MS" w:cs="Comic Sans MS"/>
                <w:b w:val="0"/>
                <w:i w:val="0"/>
                <w:color w:val="000000"/>
                <w:sz w:val="28"/>
              </w:rPr>
              <w:t>Q = 20 × √4 = 20 × 2 = 40 %.</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Note : </w:t>
            </w:r>
            <w:r>
              <w:rPr>
                <w:rFonts w:ascii="Comic Sans MS" w:hAnsi="Comic Sans MS" w:cs="Comic Sans MS"/>
                <w:b w:val="0"/>
                <w:i w:val="0"/>
                <w:color w:val="000000"/>
                <w:sz w:val="28"/>
              </w:rPr>
              <w:t>release doubles when time quadruples – characteristic of √t kinetics.</w:t>
            </w:r>
          </w:p>
        </w:tc>
      </w:tr>
    </w:tbl>
    <w:p>
      <w:pPr>
        <w:spacing w:after="40"/>
      </w:pPr>
    </w:p>
    <w:p>
      <w:pPr>
        <w:spacing w:before="200" w:after="100" w:line="276" w:lineRule="auto"/>
        <w:keepNext/>
      </w:pPr>
      <w:r>
        <w:rPr>
          <w:rFonts w:ascii="Comic Sans MS" w:hAnsi="Comic Sans MS" w:cs="Comic Sans MS"/>
          <w:b/>
          <w:color w:val="FF0000"/>
          <w:sz w:val="32"/>
        </w:rPr>
        <w:t>N.7 Permeation – Flux &amp; Lag Time</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7</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A transdermal patch shows a steady-state flux of 25 µg/cm²/h and a lag time of 2 h across skin 40 µm thick. Estimate the diffusion coefficient.</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From tₗ = h²/6D : </w:t>
            </w:r>
            <w:r>
              <w:rPr>
                <w:rFonts w:ascii="Comic Sans MS" w:hAnsi="Comic Sans MS" w:cs="Comic Sans MS"/>
                <w:b w:val="0"/>
                <w:i w:val="0"/>
                <w:color w:val="000000"/>
                <w:sz w:val="28"/>
              </w:rPr>
              <w:t>D = h²/(6·tₗ).</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Convert h : </w:t>
            </w:r>
            <w:r>
              <w:rPr>
                <w:rFonts w:ascii="Comic Sans MS" w:hAnsi="Comic Sans MS" w:cs="Comic Sans MS"/>
                <w:b w:val="0"/>
                <w:i w:val="0"/>
                <w:color w:val="000000"/>
                <w:sz w:val="28"/>
              </w:rPr>
              <w:t>40 µm = 40 × 10⁻⁴ cm = 4 × 10⁻³ cm.</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D : </w:t>
            </w:r>
            <w:r>
              <w:rPr>
                <w:rFonts w:ascii="Comic Sans MS" w:hAnsi="Comic Sans MS" w:cs="Comic Sans MS"/>
                <w:b w:val="0"/>
                <w:i w:val="0"/>
                <w:color w:val="000000"/>
                <w:sz w:val="28"/>
              </w:rPr>
              <w:t>(4×10⁻³)² / (6×2) = 1.6×10⁻⁵ / 12 = 1.33 × 10⁻⁶ cm²/h.</w:t>
            </w:r>
          </w:p>
        </w:tc>
      </w:tr>
    </w:tbl>
    <w:p>
      <w:pPr>
        <w:spacing w:after="40"/>
      </w:pPr>
    </w:p>
    <w:p>
      <w:pPr>
        <w:spacing w:before="200" w:after="100" w:line="276" w:lineRule="auto"/>
        <w:keepNext/>
      </w:pPr>
      <w:r>
        <w:rPr>
          <w:rFonts w:ascii="Comic Sans MS" w:hAnsi="Comic Sans MS" w:cs="Comic Sans MS"/>
          <w:b/>
          <w:color w:val="FF0000"/>
          <w:sz w:val="32"/>
        </w:rPr>
        <w:t>N.8 Osmotic Delivery Rate (concept)</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Example 8</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State how the delivery rate of an elementary osmotic pump changes if the membrane area is doubled (other factors constant).</w:t>
            </w:r>
          </w:p>
          <w:p>
            <w:pPr>
              <w:spacing w:after="40" w:line="300" w:lineRule="auto"/>
              <w:ind w:left="288" w:hanging="259"/>
            </w:pPr>
            <w:r>
              <w:rPr>
                <w:rFonts w:ascii="Arial" w:hAnsi="Arial" w:cs="Arial"/>
                <w:sz w:val="22"/>
              </w:rPr>
              <w:t xml:space="preserve">•  </w:t>
            </w:r>
            <w:r>
              <w:rPr>
                <w:rFonts w:ascii="Comic Sans MS" w:hAnsi="Comic Sans MS" w:cs="Comic Sans MS"/>
                <w:b/>
                <w:i w:val="0"/>
                <w:color w:val="000000"/>
                <w:sz w:val="28"/>
              </w:rPr>
              <w:t xml:space="preserve">Answer : </w:t>
            </w:r>
            <w:r>
              <w:rPr>
                <w:rFonts w:ascii="Comic Sans MS" w:hAnsi="Comic Sans MS" w:cs="Comic Sans MS"/>
                <w:b w:val="0"/>
                <w:i w:val="0"/>
                <w:color w:val="000000"/>
                <w:sz w:val="28"/>
              </w:rPr>
              <w:t>since dM/dt ∝ A, doubling the membrane area doubles the delivery rate.</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Therapeutic Applications of Advanced DDS</w:t>
      </w:r>
    </w:p>
    <w:p>
      <w:pPr>
        <w:spacing w:before="200" w:after="100" w:line="276" w:lineRule="auto"/>
        <w:keepNext/>
      </w:pPr>
      <w:r>
        <w:rPr>
          <w:rFonts w:ascii="Comic Sans MS" w:hAnsi="Comic Sans MS" w:cs="Comic Sans MS"/>
          <w:b/>
          <w:color w:val="FF0000"/>
          <w:sz w:val="32"/>
        </w:rPr>
        <w:t>T.1 Cardiovascular System</w:t>
      </w:r>
    </w:p>
    <w:p>
      <w:pPr>
        <w:spacing w:after="160"/>
        <w:jc w:val="both"/>
      </w:pPr>
      <w:r>
        <w:rPr>
          <w:rFonts w:ascii="Comic Sans MS" w:hAnsi="Comic Sans MS" w:cs="Comic Sans MS"/>
          <w:b w:val="0"/>
          <w:i w:val="0"/>
          <w:color w:val="000000"/>
          <w:sz w:val="28"/>
        </w:rPr>
        <w:t>Once-daily controlled-release nifedipine (GITS/osmotic), diltiazem and verapamil provide smooth 24-h blood-pressure control and avoid the reflex tachycardia caused by peaks. Transdermal nitroglycerin gives sustained anti-anginal prophylaxis and transdermal clonidine controls hypertension while avoiding first-pass metabolism. Chronotherapeutic (pulsatile) systems time the release of antihypertensives and anti-anginals to the early-morning surge in cardiovascular events.</w:t>
      </w:r>
    </w:p>
    <w:p>
      <w:pPr>
        <w:spacing w:before="200" w:after="100" w:line="276" w:lineRule="auto"/>
        <w:keepNext/>
      </w:pPr>
      <w:r>
        <w:rPr>
          <w:rFonts w:ascii="Comic Sans MS" w:hAnsi="Comic Sans MS" w:cs="Comic Sans MS"/>
          <w:b/>
          <w:color w:val="FF0000"/>
          <w:sz w:val="32"/>
        </w:rPr>
        <w:t>T.2 Central Nervous System</w:t>
      </w:r>
    </w:p>
    <w:p>
      <w:pPr>
        <w:spacing w:after="160"/>
        <w:jc w:val="both"/>
      </w:pPr>
      <w:r>
        <w:rPr>
          <w:rFonts w:ascii="Comic Sans MS" w:hAnsi="Comic Sans MS" w:cs="Comic Sans MS"/>
          <w:b w:val="0"/>
          <w:i w:val="0"/>
          <w:color w:val="000000"/>
          <w:sz w:val="28"/>
        </w:rPr>
        <w:t>Extended-release formulations of anti-epileptics and antidepressants reduce dosing frequency and smooth plasma levels. Transdermal rivastigmine improves tolerability in Alzheimer's disease, transdermal rotigotine gives continuous dopaminergic stimulation in Parkinson's disease, and deep-brain stimulation (bioelectronic) treats movement disorders. Personalized dosing guided by CYP2D6 / CYP2C19 genotype improves antidepressant therapy.</w:t>
      </w:r>
    </w:p>
    <w:p>
      <w:pPr>
        <w:spacing w:before="200" w:after="100" w:line="276" w:lineRule="auto"/>
        <w:keepNext/>
      </w:pPr>
      <w:r>
        <w:rPr>
          <w:rFonts w:ascii="Comic Sans MS" w:hAnsi="Comic Sans MS" w:cs="Comic Sans MS"/>
          <w:b/>
          <w:color w:val="FF0000"/>
          <w:sz w:val="32"/>
        </w:rPr>
        <w:t>T.3 Endocrine &amp; Reproductive System</w:t>
      </w:r>
    </w:p>
    <w:p>
      <w:pPr>
        <w:spacing w:after="160"/>
        <w:jc w:val="both"/>
      </w:pPr>
      <w:r>
        <w:rPr>
          <w:rFonts w:ascii="Comic Sans MS" w:hAnsi="Comic Sans MS" w:cs="Comic Sans MS"/>
          <w:b w:val="0"/>
          <w:i w:val="0"/>
          <w:color w:val="000000"/>
          <w:sz w:val="28"/>
        </w:rPr>
        <w:t>Long-acting contraceptive implants (Norplant, Implanon), depot injections (Depo-Provera), vaginal rings (NuvaRing) and intra-uterine systems (Mirena) provide months-to-years of reliable, reversible contraception. Insulin delivery is being advanced by pumps, closed-loop 'artificial pancreas' systems and needle-free / sonophoretic approaches.</w:t>
      </w:r>
    </w:p>
    <w:p>
      <w:pPr>
        <w:spacing w:before="200" w:after="100" w:line="276" w:lineRule="auto"/>
        <w:keepNext/>
      </w:pPr>
      <w:r>
        <w:rPr>
          <w:rFonts w:ascii="Comic Sans MS" w:hAnsi="Comic Sans MS" w:cs="Comic Sans MS"/>
          <w:b/>
          <w:color w:val="FF0000"/>
          <w:sz w:val="32"/>
        </w:rPr>
        <w:t>T.4 Oncology</w:t>
      </w:r>
    </w:p>
    <w:p>
      <w:pPr>
        <w:spacing w:after="160"/>
        <w:jc w:val="both"/>
      </w:pPr>
      <w:r>
        <w:rPr>
          <w:rFonts w:ascii="Comic Sans MS" w:hAnsi="Comic Sans MS" w:cs="Comic Sans MS"/>
          <w:b w:val="0"/>
          <w:i w:val="0"/>
          <w:color w:val="000000"/>
          <w:sz w:val="28"/>
        </w:rPr>
        <w:t>Biodegradable implants (Gliadel wafer, Zoladex), depot microspheres (Lupron Depot) and targeted nanocarriers deliver chemotherapy with improved local concentration and reduced systemic toxicity. Personalized, biomarker-guided targeted therapy (trastuzumab, imatinib, gefitinib) exemplifies precision oncology.</w:t>
      </w:r>
    </w:p>
    <w:p>
      <w:pPr>
        <w:spacing w:before="200" w:after="100" w:line="276" w:lineRule="auto"/>
        <w:keepNext/>
      </w:pPr>
      <w:r>
        <w:rPr>
          <w:rFonts w:ascii="Comic Sans MS" w:hAnsi="Comic Sans MS" w:cs="Comic Sans MS"/>
          <w:b/>
          <w:color w:val="FF0000"/>
          <w:sz w:val="32"/>
        </w:rPr>
        <w:t>T.5 Ophthalmology</w:t>
      </w:r>
    </w:p>
    <w:p>
      <w:pPr>
        <w:spacing w:after="160"/>
        <w:jc w:val="both"/>
      </w:pPr>
      <w:r>
        <w:rPr>
          <w:rFonts w:ascii="Comic Sans MS" w:hAnsi="Comic Sans MS" w:cs="Comic Sans MS"/>
          <w:b w:val="0"/>
          <w:i w:val="0"/>
          <w:color w:val="000000"/>
          <w:sz w:val="28"/>
        </w:rPr>
        <w:t>Ocular inserts (Ocusert), intra-ocular implants (Vitrasert, Retisert) and punctal/mucoadhesive systems overcome the very poor bioavailability of eye drops and provide prolonged, controlled delivery for glaucoma and posterior-segment diseases.</w:t>
      </w:r>
    </w:p>
    <w:p>
      <w:pPr>
        <w:spacing w:before="200" w:after="100" w:line="276" w:lineRule="auto"/>
        <w:keepNext/>
      </w:pPr>
      <w:r>
        <w:rPr>
          <w:rFonts w:ascii="Comic Sans MS" w:hAnsi="Comic Sans MS" w:cs="Comic Sans MS"/>
          <w:b/>
          <w:color w:val="FF0000"/>
          <w:sz w:val="32"/>
        </w:rPr>
        <w:t>T.6 Infectious &amp; Local Diseases</w:t>
      </w:r>
    </w:p>
    <w:p>
      <w:pPr>
        <w:spacing w:after="160"/>
        <w:jc w:val="both"/>
      </w:pPr>
      <w:r>
        <w:rPr>
          <w:rFonts w:ascii="Comic Sans MS" w:hAnsi="Comic Sans MS" w:cs="Comic Sans MS"/>
          <w:b w:val="0"/>
          <w:i w:val="0"/>
          <w:color w:val="000000"/>
          <w:sz w:val="28"/>
        </w:rPr>
        <w:t>Colon-targeted systems deliver aminosalicylates and steroids for inflammatory bowel disease; long-acting injectable antipsychotics and antiretrovirals improve adherence; vaginal and buccal mucoadhesive systems treat local infections. Pharmacogenomic testing (HLA-B*57:01) prevents abacavir hypersensitivity.</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Consolidated Comparison Tables</w:t>
      </w:r>
    </w:p>
    <w:p>
      <w:pPr>
        <w:spacing w:before="200" w:after="100" w:line="276" w:lineRule="auto"/>
        <w:keepNext/>
      </w:pPr>
      <w:r>
        <w:rPr>
          <w:rFonts w:ascii="Comic Sans MS" w:hAnsi="Comic Sans MS" w:cs="Comic Sans MS"/>
          <w:b/>
          <w:color w:val="FF0000"/>
          <w:sz w:val="32"/>
        </w:rPr>
        <w:t>C.1 Sustained vs Controlled Release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16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Point</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Sustained release</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Controlled release</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Rate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Declines with time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Constant (zero-order)</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Plasma level</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Some fluctuation</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Nearly constant</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Kinetics</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First-order / Higuchi</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Zero-order</w:t>
            </w:r>
          </w:p>
        </w:tc>
      </w:tr>
      <w:tr>
        <w:tc>
          <w:tcPr>
            <w:tcW w:type="dxa" w:w="216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Predictability</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Moderate</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High</w:t>
            </w:r>
          </w:p>
        </w:tc>
      </w:tr>
      <w:tr>
        <w:tc>
          <w:tcPr>
            <w:tcW w:type="dxa" w:w="216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Example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Retard matrix tablet</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Osmotic pump (OROS)</w:t>
            </w:r>
          </w:p>
        </w:tc>
      </w:tr>
    </w:tbl>
    <w:p>
      <w:pPr>
        <w:spacing w:after="40"/>
      </w:pPr>
    </w:p>
    <w:p>
      <w:pPr>
        <w:spacing w:before="200" w:after="100" w:line="276" w:lineRule="auto"/>
        <w:keepNext/>
      </w:pPr>
      <w:r>
        <w:rPr>
          <w:rFonts w:ascii="Comic Sans MS" w:hAnsi="Comic Sans MS" w:cs="Comic Sans MS"/>
          <w:b/>
          <w:color w:val="FF0000"/>
          <w:sz w:val="32"/>
        </w:rPr>
        <w:t>C.2 Reservoir vs Matrix Devices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Point</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Reservoir</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Matrix</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Structure</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Core + membrane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Drug dispersed in polymer</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Release order</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Zero-order</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 (Higuchi)</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Dose dumping</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Possible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Unlikely</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Cost / complexity</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Higher</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Lower</w:t>
            </w:r>
          </w:p>
        </w:tc>
      </w:tr>
    </w:tbl>
    <w:p>
      <w:pPr>
        <w:spacing w:after="40"/>
      </w:pPr>
    </w:p>
    <w:p>
      <w:pPr>
        <w:spacing w:before="200" w:after="100" w:line="276" w:lineRule="auto"/>
        <w:keepNext/>
      </w:pPr>
      <w:r>
        <w:rPr>
          <w:rFonts w:ascii="Comic Sans MS" w:hAnsi="Comic Sans MS" w:cs="Comic Sans MS"/>
          <w:b/>
          <w:color w:val="FF0000"/>
          <w:sz w:val="32"/>
        </w:rPr>
        <w:t>C.3 Simple vs Complex Coacervation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Point</w:t>
            </w:r>
          </w:p>
        </w:tc>
        <w:tc>
          <w:tcPr>
            <w:tcW w:type="dxa" w:w="345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Simple</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Complex</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Polymers</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One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Two, oppositely charged</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Trigger</w:t>
            </w:r>
          </w:p>
        </w:tc>
        <w:tc>
          <w:tcPr>
            <w:tcW w:type="dxa" w:w="345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Desolvation</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Electrostatic interaction</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Classic system</w:t>
            </w:r>
          </w:p>
        </w:tc>
        <w:tc>
          <w:tcPr>
            <w:tcW w:type="dxa" w:w="345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Gelatin + Na₂SO₄</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Gelatin + acacia</w:t>
            </w:r>
          </w:p>
        </w:tc>
      </w:tr>
    </w:tbl>
    <w:p>
      <w:pPr>
        <w:spacing w:after="40"/>
      </w:pPr>
    </w:p>
    <w:p>
      <w:pPr>
        <w:spacing w:before="200" w:after="100" w:line="276" w:lineRule="auto"/>
        <w:keepNext/>
      </w:pPr>
      <w:r>
        <w:rPr>
          <w:rFonts w:ascii="Comic Sans MS" w:hAnsi="Comic Sans MS" w:cs="Comic Sans MS"/>
          <w:b/>
          <w:color w:val="FF0000"/>
          <w:sz w:val="32"/>
        </w:rPr>
        <w:t>C.4 Routes of Skin Permeation</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30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Route</w:t>
            </w:r>
          </w:p>
        </w:tc>
        <w:tc>
          <w:tcPr>
            <w:tcW w:type="dxa" w:w="417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Path</w:t>
            </w:r>
          </w:p>
        </w:tc>
        <w:tc>
          <w:tcPr>
            <w:tcW w:type="dxa" w:w="288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Contribution</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Transcellular</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Through corneocytes + lipid</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Repeated partitioning</w:t>
            </w:r>
          </w:p>
        </w:tc>
      </w:tr>
      <w:tr>
        <w:tc>
          <w:tcPr>
            <w:tcW w:type="dxa" w:w="230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Intercellular</w:t>
            </w:r>
          </w:p>
        </w:tc>
        <w:tc>
          <w:tcPr>
            <w:tcW w:type="dxa" w:w="417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Through lipid between cells</w:t>
            </w:r>
          </w:p>
        </w:tc>
        <w:tc>
          <w:tcPr>
            <w:tcW w:type="dxa" w:w="288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Major pathway</w:t>
            </w:r>
          </w:p>
        </w:tc>
      </w:tr>
      <w:tr>
        <w:tc>
          <w:tcPr>
            <w:tcW w:type="dxa" w:w="230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Appendageal</w:t>
            </w:r>
          </w:p>
        </w:tc>
        <w:tc>
          <w:tcPr>
            <w:tcW w:type="dxa" w:w="417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Follicles / glands</w:t>
            </w:r>
          </w:p>
        </w:tc>
        <w:tc>
          <w:tcPr>
            <w:tcW w:type="dxa" w:w="288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Minor; early &amp; for ions</w:t>
            </w:r>
          </w:p>
        </w:tc>
      </w:tr>
    </w:tbl>
    <w:p>
      <w:pPr>
        <w:spacing w:after="40"/>
      </w:pPr>
    </w:p>
    <w:p>
      <w:pPr>
        <w:spacing w:before="200" w:after="100" w:line="276" w:lineRule="auto"/>
        <w:keepNext/>
      </w:pPr>
      <w:r>
        <w:rPr>
          <w:rFonts w:ascii="Comic Sans MS" w:hAnsi="Comic Sans MS" w:cs="Comic Sans MS"/>
          <w:b/>
          <w:color w:val="FF0000"/>
          <w:sz w:val="32"/>
        </w:rPr>
        <w:t>C.5 Pharmacogenetics vs Pharmacogenomics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2016"/>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Point</w:t>
            </w:r>
          </w:p>
        </w:tc>
        <w:tc>
          <w:tcPr>
            <w:tcW w:type="dxa" w:w="3744"/>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Pharmacogenetics</w:t>
            </w:r>
          </w:p>
        </w:tc>
        <w:tc>
          <w:tcPr>
            <w:tcW w:type="dxa" w:w="3600"/>
            <w:shd w:val="clear" w:color="auto" w:fill="5B1A38"/>
            <w:tcMar>
              <w:top w:w="50" w:type="dxa"/>
              <w:bottom w:w="50" w:type="dxa"/>
              <w:start w:w="100" w:type="dxa"/>
              <w:end w:w="100" w:type="dxa"/>
            </w:tcMar>
            <w:vAlign w:val="center"/>
          </w:tcPr>
          <w:p>
            <w:pPr>
              <w:spacing w:after="0" w:line="240" w:lineRule="auto"/>
            </w:pPr>
            <w:r>
              <w:rPr>
                <w:rFonts w:ascii="Comic Sans MS" w:hAnsi="Comic Sans MS" w:cs="Comic Sans MS"/>
                <w:b/>
                <w:color w:val="FFFFFF"/>
                <w:sz w:val="19"/>
              </w:rPr>
              <w:t>Pharmacogenomics</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Scope</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Single gene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Whole genome / many genes</w:t>
            </w:r>
          </w:p>
        </w:tc>
      </w:tr>
      <w:tr>
        <w:tc>
          <w:tcPr>
            <w:tcW w:type="dxa" w:w="2016"/>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Focus</w:t>
            </w:r>
          </w:p>
        </w:tc>
        <w:tc>
          <w:tcPr>
            <w:tcW w:type="dxa" w:w="3744"/>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Individual drug response</w:t>
            </w:r>
          </w:p>
        </w:tc>
        <w:tc>
          <w:tcPr>
            <w:tcW w:type="dxa" w:w="3600"/>
            <w:shd w:val="clear" w:color="auto" w:fill="D9D9D9"/>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Broad drug–genome interactions</w:t>
            </w:r>
          </w:p>
        </w:tc>
      </w:tr>
      <w:tr>
        <w:tc>
          <w:tcPr>
            <w:tcW w:type="dxa" w:w="2016"/>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Example</w:t>
            </w:r>
          </w:p>
        </w:tc>
        <w:tc>
          <w:tcPr>
            <w:tcW w:type="dxa" w:w="3744"/>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CYP2D6 &amp; codeine</w:t>
            </w:r>
          </w:p>
        </w:tc>
        <w:tc>
          <w:tcPr>
            <w:tcW w:type="dxa" w:w="3600"/>
            <w:shd w:val="clear" w:color="auto" w:fill="EDE7EA"/>
            <w:tcMar>
              <w:top w:w="50" w:type="dxa"/>
              <w:bottom w:w="50" w:type="dxa"/>
              <w:start w:w="100" w:type="dxa"/>
              <w:end w:w="100" w:type="dxa"/>
            </w:tcMar>
            <w:vAlign w:val="center"/>
          </w:tcPr>
          <w:p>
            <w:pPr>
              <w:spacing w:after="0" w:line="252" w:lineRule="auto"/>
            </w:pPr>
            <w:r>
              <w:rPr>
                <w:rFonts w:ascii="Comic Sans MS" w:hAnsi="Comic Sans MS" w:cs="Comic Sans MS"/>
                <w:color w:val="000000"/>
                <w:sz w:val="18"/>
              </w:rPr>
              <w:t>Genome-wide association of response</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Case Studies of Landmark Delivery Systems</w:t>
      </w:r>
    </w:p>
    <w:p>
      <w:pPr>
        <w:spacing w:after="160"/>
        <w:jc w:val="both"/>
      </w:pPr>
      <w:r>
        <w:rPr>
          <w:rFonts w:ascii="Comic Sans MS" w:hAnsi="Comic Sans MS" w:cs="Comic Sans MS"/>
          <w:b w:val="0"/>
          <w:i w:val="0"/>
          <w:color w:val="000000"/>
          <w:sz w:val="28"/>
        </w:rPr>
        <w:t>The following marketed products illustrate how the principles of this course are applied in practice; they are frequently cited examples in theory papers.</w:t>
      </w:r>
    </w:p>
    <w:p>
      <w:pPr>
        <w:spacing w:before="200" w:after="100" w:line="276" w:lineRule="auto"/>
        <w:keepNext/>
      </w:pPr>
      <w:r>
        <w:rPr>
          <w:rFonts w:ascii="Comic Sans MS" w:hAnsi="Comic Sans MS" w:cs="Comic Sans MS"/>
          <w:b/>
          <w:color w:val="FF0000"/>
          <w:sz w:val="32"/>
        </w:rPr>
        <w:t>CS.1 Procardia XL / Adalat GITS (Nifedipine)</w:t>
      </w:r>
    </w:p>
    <w:p>
      <w:pPr>
        <w:spacing w:after="160"/>
        <w:jc w:val="both"/>
      </w:pPr>
      <w:r>
        <w:rPr>
          <w:rFonts w:ascii="Comic Sans MS" w:hAnsi="Comic Sans MS" w:cs="Comic Sans MS"/>
          <w:b w:val="0"/>
          <w:i w:val="0"/>
          <w:color w:val="000000"/>
          <w:sz w:val="28"/>
        </w:rPr>
        <w:t>A push-pull osmotic tablet (OROS) delivering the poorly soluble calcium-channel blocker nifedipine at a constant zero-order rate for 24 h. The bilayer core (a drug layer and a swelling push layer) is coated with a cellulose-acetate semipermeable membrane bearing a laser-drilled orifice. Imbibed water swells the push layer, which expels a fine suspension of nifedipine through the orifice. It demonstrates pH-independent, food-independent delivery and excellent IVIVC – the benchmark of controlled release.</w:t>
      </w:r>
    </w:p>
    <w:p>
      <w:pPr>
        <w:spacing w:before="200" w:after="100" w:line="276" w:lineRule="auto"/>
        <w:keepNext/>
      </w:pPr>
      <w:r>
        <w:rPr>
          <w:rFonts w:ascii="Comic Sans MS" w:hAnsi="Comic Sans MS" w:cs="Comic Sans MS"/>
          <w:b/>
          <w:color w:val="FF0000"/>
          <w:sz w:val="32"/>
        </w:rPr>
        <w:t>CS.2 Ocusert® Pilo (Pilocarpine)</w:t>
      </w:r>
    </w:p>
    <w:p>
      <w:pPr>
        <w:spacing w:after="160"/>
        <w:jc w:val="both"/>
      </w:pPr>
      <w:r>
        <w:rPr>
          <w:rFonts w:ascii="Comic Sans MS" w:hAnsi="Comic Sans MS" w:cs="Comic Sans MS"/>
          <w:b w:val="0"/>
          <w:i w:val="0"/>
          <w:color w:val="000000"/>
          <w:sz w:val="28"/>
        </w:rPr>
        <w:t>A reservoir ocular insert delivering pilocarpine at a constant rate (20 or 40 µg/h) for 7 days for glaucoma. The alginate-gelled drug core lies between two ethylene-vinyl acetate rate-controlling membranes. It replaces four-times-daily drops, improves compliance, avoids concentration peaks and greatly increases ocular bioavailability. A classic reservoir zero-order insert.</w:t>
      </w:r>
    </w:p>
    <w:p>
      <w:pPr>
        <w:spacing w:before="200" w:after="100" w:line="276" w:lineRule="auto"/>
        <w:keepNext/>
      </w:pPr>
      <w:r>
        <w:rPr>
          <w:rFonts w:ascii="Comic Sans MS" w:hAnsi="Comic Sans MS" w:cs="Comic Sans MS"/>
          <w:b/>
          <w:color w:val="FF0000"/>
          <w:sz w:val="32"/>
        </w:rPr>
        <w:t>CS.3 Norplant® (Levonorgestrel)</w:t>
      </w:r>
    </w:p>
    <w:p>
      <w:pPr>
        <w:spacing w:after="160"/>
        <w:jc w:val="both"/>
      </w:pPr>
      <w:r>
        <w:rPr>
          <w:rFonts w:ascii="Comic Sans MS" w:hAnsi="Comic Sans MS" w:cs="Comic Sans MS"/>
          <w:b w:val="0"/>
          <w:i w:val="0"/>
          <w:color w:val="000000"/>
          <w:sz w:val="28"/>
        </w:rPr>
        <w:t>A subcutaneous contraceptive implant of six silicone (PDMS) capsules containing levonorgestrel, providing up to five years of contraception by slow diffusion through the silicone membrane. It illustrates a non-biodegradable reservoir implant that must be surgically removed. Later single-rod EVA systems (Implanon / Nexplanon) simplified insertion and removal.</w:t>
      </w:r>
    </w:p>
    <w:p>
      <w:pPr>
        <w:spacing w:before="200" w:after="100" w:line="276" w:lineRule="auto"/>
        <w:keepNext/>
      </w:pPr>
      <w:r>
        <w:rPr>
          <w:rFonts w:ascii="Comic Sans MS" w:hAnsi="Comic Sans MS" w:cs="Comic Sans MS"/>
          <w:b/>
          <w:color w:val="FF0000"/>
          <w:sz w:val="32"/>
        </w:rPr>
        <w:t>CS.4 Duragesic® (Fentanyl Transdermal Patch)</w:t>
      </w:r>
    </w:p>
    <w:p>
      <w:pPr>
        <w:spacing w:after="160"/>
        <w:jc w:val="both"/>
      </w:pPr>
      <w:r>
        <w:rPr>
          <w:rFonts w:ascii="Comic Sans MS" w:hAnsi="Comic Sans MS" w:cs="Comic Sans MS"/>
          <w:b w:val="0"/>
          <w:i w:val="0"/>
          <w:color w:val="000000"/>
          <w:sz w:val="28"/>
        </w:rPr>
        <w:t>A transdermal system delivering the potent opioid fentanyl for 72 h for chronic pain. Fentanyl's low molecular weight, high potency and suitable lipophilicity make it an ideal transdermal candidate. Early versions were reservoir patches with a rate-controlling membrane; later drug-in-adhesive matrices reduced the dose-dumping risk. It exemplifies drug-selection criteria for TDDS.</w:t>
      </w:r>
    </w:p>
    <w:p>
      <w:pPr>
        <w:spacing w:before="200" w:after="100" w:line="276" w:lineRule="auto"/>
        <w:keepNext/>
      </w:pPr>
      <w:r>
        <w:rPr>
          <w:rFonts w:ascii="Comic Sans MS" w:hAnsi="Comic Sans MS" w:cs="Comic Sans MS"/>
          <w:b/>
          <w:color w:val="FF0000"/>
          <w:sz w:val="32"/>
        </w:rPr>
        <w:t>CS.5 Lupron Depot® (Leuprolide)</w:t>
      </w:r>
    </w:p>
    <w:p>
      <w:pPr>
        <w:spacing w:after="160"/>
        <w:jc w:val="both"/>
      </w:pPr>
      <w:r>
        <w:rPr>
          <w:rFonts w:ascii="Comic Sans MS" w:hAnsi="Comic Sans MS" w:cs="Comic Sans MS"/>
          <w:b w:val="0"/>
          <w:i w:val="0"/>
          <w:color w:val="000000"/>
          <w:sz w:val="28"/>
        </w:rPr>
        <w:t>Injectable PLGA microspheres delivering the peptide leuprolide (an LHRH analogue) for 1–6 months for prostate cancer and endometriosis. It shows how biodegradable microspheres protect a peptide from degradation and provide long-acting depot delivery without an implant that must be removed.</w:t>
      </w:r>
    </w:p>
    <w:p>
      <w:pPr>
        <w:spacing w:before="200" w:after="100" w:line="276" w:lineRule="auto"/>
        <w:keepNext/>
      </w:pPr>
      <w:r>
        <w:rPr>
          <w:rFonts w:ascii="Comic Sans MS" w:hAnsi="Comic Sans MS" w:cs="Comic Sans MS"/>
          <w:b/>
          <w:color w:val="FF0000"/>
          <w:sz w:val="32"/>
        </w:rPr>
        <w:t>CS.6 Mirena® (Levonorgestrel IUS)</w:t>
      </w:r>
    </w:p>
    <w:p>
      <w:pPr>
        <w:spacing w:after="160"/>
        <w:jc w:val="both"/>
      </w:pPr>
      <w:r>
        <w:rPr>
          <w:rFonts w:ascii="Comic Sans MS" w:hAnsi="Comic Sans MS" w:cs="Comic Sans MS"/>
          <w:b w:val="0"/>
          <w:i w:val="0"/>
          <w:color w:val="000000"/>
          <w:sz w:val="28"/>
        </w:rPr>
        <w:t>A T-shaped intra-uterine system releasing ~20 µg/day levonorgestrel for up to five years, giving high local endometrial concentration with low systemic exposure. Used for contraception and for menorrhagia. Illustrates very long-term, site-specific local delivery.</w:t>
      </w:r>
    </w:p>
    <w:p>
      <w:pPr>
        <w:spacing w:before="200" w:after="100" w:line="276" w:lineRule="auto"/>
        <w:keepNext/>
      </w:pPr>
      <w:r>
        <w:rPr>
          <w:rFonts w:ascii="Comic Sans MS" w:hAnsi="Comic Sans MS" w:cs="Comic Sans MS"/>
          <w:b/>
          <w:color w:val="FF0000"/>
          <w:sz w:val="32"/>
        </w:rPr>
        <w:t>CS.7 Spritam® (Levetiracetam)</w:t>
      </w:r>
    </w:p>
    <w:p>
      <w:pPr>
        <w:spacing w:after="160"/>
        <w:jc w:val="both"/>
      </w:pPr>
      <w:r>
        <w:rPr>
          <w:rFonts w:ascii="Comic Sans MS" w:hAnsi="Comic Sans MS" w:cs="Comic Sans MS"/>
          <w:b w:val="0"/>
          <w:i w:val="0"/>
          <w:color w:val="000000"/>
          <w:sz w:val="28"/>
        </w:rPr>
        <w:t>The first FDA-approved 3D-printed medicine (2015), made by powder binder-jet printing. Its highly porous structure disintegrates in the mouth within seconds even at a high (1000 mg) dose, aiding epileptic patients who have difficulty swallowing. It demonstrates the potential of additive manufacturing for individualised, patient-friendly dosage forms.</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Recent Advances &amp; Future Perspectives</w:t>
      </w:r>
    </w:p>
    <w:p>
      <w:pPr>
        <w:spacing w:before="200" w:after="100" w:line="276" w:lineRule="auto"/>
        <w:keepNext/>
      </w:pPr>
      <w:r>
        <w:rPr>
          <w:rFonts w:ascii="Comic Sans MS" w:hAnsi="Comic Sans MS" w:cs="Comic Sans MS"/>
          <w:b/>
          <w:color w:val="FF0000"/>
          <w:sz w:val="32"/>
        </w:rPr>
        <w:t>F.1 Stimuli-Responsive ('Smart') Systems</w:t>
      </w:r>
    </w:p>
    <w:p>
      <w:pPr>
        <w:spacing w:after="160"/>
        <w:jc w:val="both"/>
      </w:pPr>
      <w:r>
        <w:rPr>
          <w:rFonts w:ascii="Comic Sans MS" w:hAnsi="Comic Sans MS" w:cs="Comic Sans MS"/>
          <w:b w:val="0"/>
          <w:i w:val="0"/>
          <w:color w:val="000000"/>
          <w:sz w:val="28"/>
        </w:rPr>
        <w:t>Smart delivery systems release drug in response to a physiological or external stimulus, so that delivery matches the need in real time. Triggers include pH (tumour / endosome / colon), temperature, glucose concentration (self-regulated insulin systems), enzymes, light, ultrasound and magnetic fields. Closed-loop or self-regulated systems sense the signal and adjust the release automatically – for example, glucose-responsive insulin delivery aiming at an 'artificial pancreas'.</w:t>
      </w:r>
    </w:p>
    <w:p>
      <w:pPr>
        <w:spacing w:before="200" w:after="100" w:line="276" w:lineRule="auto"/>
        <w:keepNext/>
      </w:pPr>
      <w:r>
        <w:rPr>
          <w:rFonts w:ascii="Comic Sans MS" w:hAnsi="Comic Sans MS" w:cs="Comic Sans MS"/>
          <w:b/>
          <w:color w:val="FF0000"/>
          <w:sz w:val="32"/>
        </w:rPr>
        <w:t>F.2 Delivery of Biologics &amp; Nucleic Acids</w:t>
      </w:r>
    </w:p>
    <w:p>
      <w:pPr>
        <w:spacing w:after="160"/>
        <w:jc w:val="both"/>
      </w:pPr>
      <w:r>
        <w:rPr>
          <w:rFonts w:ascii="Comic Sans MS" w:hAnsi="Comic Sans MS" w:cs="Comic Sans MS"/>
          <w:b w:val="0"/>
          <w:i w:val="0"/>
          <w:color w:val="000000"/>
          <w:sz w:val="28"/>
        </w:rPr>
        <w:t>Peptides, proteins, monoclonal antibodies and nucleic acids (siRNA, mRNA) are increasingly important therapeutics but are large, fragile and poorly permeable. Advanced carriers – PLGA depots, lipid nanoparticles (as used for mRNA vaccines), long-acting injectables and microneedles – protect these molecules and control their delivery, an area of intense current development.</w:t>
      </w:r>
    </w:p>
    <w:p>
      <w:pPr>
        <w:spacing w:before="200" w:after="100" w:line="276" w:lineRule="auto"/>
        <w:keepNext/>
      </w:pPr>
      <w:r>
        <w:rPr>
          <w:rFonts w:ascii="Comic Sans MS" w:hAnsi="Comic Sans MS" w:cs="Comic Sans MS"/>
          <w:b/>
          <w:color w:val="FF0000"/>
          <w:sz w:val="32"/>
        </w:rPr>
        <w:t>F.3 Nanomedicine &amp; Targeting</w:t>
      </w:r>
    </w:p>
    <w:p>
      <w:pPr>
        <w:spacing w:after="160"/>
        <w:jc w:val="both"/>
      </w:pPr>
      <w:r>
        <w:rPr>
          <w:rFonts w:ascii="Comic Sans MS" w:hAnsi="Comic Sans MS" w:cs="Comic Sans MS"/>
          <w:b w:val="0"/>
          <w:i w:val="0"/>
          <w:color w:val="000000"/>
          <w:sz w:val="28"/>
        </w:rPr>
        <w:t>Nanocarriers functionalised with targeting ligands, and 'theranostic' systems that combine therapy with imaging, aim to concentrate the drug at the diseased site and spare healthy tissue – the ideal of spatial control. Passive (EPR effect) and active (ligand-receptor) targeting are being combined with stimuli-responsive release for greater selectivity.</w:t>
      </w:r>
    </w:p>
    <w:p>
      <w:pPr>
        <w:spacing w:before="200" w:after="100" w:line="276" w:lineRule="auto"/>
        <w:keepNext/>
      </w:pPr>
      <w:r>
        <w:rPr>
          <w:rFonts w:ascii="Comic Sans MS" w:hAnsi="Comic Sans MS" w:cs="Comic Sans MS"/>
          <w:b/>
          <w:color w:val="FF0000"/>
          <w:sz w:val="32"/>
        </w:rPr>
        <w:t>F.4 Digitally Enabled &amp; Personalized Delivery</w:t>
      </w:r>
    </w:p>
    <w:p>
      <w:pPr>
        <w:spacing w:after="160"/>
        <w:jc w:val="both"/>
      </w:pPr>
      <w:r>
        <w:rPr>
          <w:rFonts w:ascii="Comic Sans MS" w:hAnsi="Comic Sans MS" w:cs="Comic Sans MS"/>
          <w:b w:val="0"/>
          <w:i w:val="0"/>
          <w:color w:val="000000"/>
          <w:sz w:val="28"/>
        </w:rPr>
        <w:t>The convergence of delivery technology with digital health – ingestible sensors ('digital pills'), wearable delivery devices, closed-loop pumps and 3D printing guided by a patient's genomic and clinical data – is moving therapy towards truly individualised, on-demand medicine. Artificial-intelligence tools support formulation design, dose individualisation and adherence monitoring.</w:t>
      </w:r>
    </w:p>
    <w:p>
      <w:pPr>
        <w:spacing w:before="200" w:after="100" w:line="276" w:lineRule="auto"/>
        <w:keepNext/>
      </w:pPr>
      <w:r>
        <w:rPr>
          <w:rFonts w:ascii="Comic Sans MS" w:hAnsi="Comic Sans MS" w:cs="Comic Sans MS"/>
          <w:b/>
          <w:color w:val="FF0000"/>
          <w:sz w:val="32"/>
        </w:rPr>
        <w:t>F.5 Sustainable &amp; Point-of-Care Manufacturing</w:t>
      </w:r>
    </w:p>
    <w:p>
      <w:pPr>
        <w:spacing w:after="160"/>
        <w:jc w:val="both"/>
      </w:pPr>
      <w:r>
        <w:rPr>
          <w:rFonts w:ascii="Comic Sans MS" w:hAnsi="Comic Sans MS" w:cs="Comic Sans MS"/>
          <w:b w:val="0"/>
          <w:i w:val="0"/>
          <w:color w:val="000000"/>
          <w:sz w:val="28"/>
        </w:rPr>
        <w:t>Additive manufacturing and continuous processing promise decentralised, on-demand and more sustainable production of individualised medicines at the hospital or pharmacy, reducing waste and inventory. Realising this vision depends on advances in pharmaceutical-grade materials, in-line quality control and appropriate regulatory frameworks.</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Perspective</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The trajectory of drug delivery is from controlling when (temporal) and where (spatial) toward controlling how much and how often in real time (responsive), individualised to the patient (personalized).</w:t>
            </w:r>
          </w:p>
        </w:tc>
      </w:tr>
    </w:tbl>
    <w:p>
      <w:pPr>
        <w:spacing w:after="40"/>
      </w:pP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Important Theory Questions</w:t>
      </w:r>
    </w:p>
    <w:p>
      <w:pPr>
        <w:spacing w:before="200" w:after="100" w:line="276" w:lineRule="auto"/>
        <w:keepNext/>
      </w:pPr>
      <w:r>
        <w:rPr>
          <w:rFonts w:ascii="Comic Sans MS" w:hAnsi="Comic Sans MS" w:cs="Comic Sans MS"/>
          <w:b/>
          <w:color w:val="FF0000"/>
          <w:sz w:val="32"/>
        </w:rPr>
        <w:t>Long-Answer (10-mark) Questions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Define sustained and controlled release. Differentiate between them and discuss the advantages and disadvantages of SR/CR systems.</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Discuss in detail the physicochemical and biological factors influencing the design of an oral controlled-release dosage form.</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Explain the criteria for selection of a drug candidate for a sustained-release dosage form. Add a note on dosage calculations.</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Classify oral controlled drug delivery systems. Describe the design, fabrication and evaluation of oral CDDS.</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Explain diffusion-controlled drug delivery systems (reservoir and matrix) with suitable equations and diagrams.</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Describe osmotically controlled drug delivery systems (EOP and push-pull). Give their advantages.</w:t>
      </w:r>
    </w:p>
    <w:p>
      <w:pPr>
        <w:spacing w:after="80"/>
        <w:ind w:left="576" w:hanging="403"/>
        <w:jc w:val="both"/>
      </w:pPr>
      <w:r>
        <w:rPr>
          <w:rFonts w:ascii="Comic Sans MS" w:hAnsi="Comic Sans MS" w:cs="Comic Sans MS"/>
          <w:b/>
          <w:sz w:val="28"/>
        </w:rPr>
        <w:t xml:space="preserve">7. </w:t>
      </w:r>
      <w:r>
        <w:rPr>
          <w:rFonts w:ascii="Comic Sans MS" w:hAnsi="Comic Sans MS" w:cs="Comic Sans MS"/>
          <w:color w:val="000000"/>
          <w:sz w:val="28"/>
        </w:rPr>
        <w:t>Write in detail on microencapsulation : definition, objectives, coating materials and methods of preparation.</w:t>
      </w:r>
    </w:p>
    <w:p>
      <w:pPr>
        <w:spacing w:after="80"/>
        <w:ind w:left="576" w:hanging="403"/>
        <w:jc w:val="both"/>
      </w:pPr>
      <w:r>
        <w:rPr>
          <w:rFonts w:ascii="Comic Sans MS" w:hAnsi="Comic Sans MS" w:cs="Comic Sans MS"/>
          <w:b/>
          <w:sz w:val="28"/>
        </w:rPr>
        <w:t xml:space="preserve">8. </w:t>
      </w:r>
      <w:r>
        <w:rPr>
          <w:rFonts w:ascii="Comic Sans MS" w:hAnsi="Comic Sans MS" w:cs="Comic Sans MS"/>
          <w:color w:val="000000"/>
          <w:sz w:val="28"/>
        </w:rPr>
        <w:t>Discuss coacervation-phase separation and spray-drying methods of microencapsulation with diagrams.</w:t>
      </w:r>
    </w:p>
    <w:p>
      <w:pPr>
        <w:spacing w:after="80"/>
        <w:ind w:left="576" w:hanging="403"/>
        <w:jc w:val="both"/>
      </w:pPr>
      <w:r>
        <w:rPr>
          <w:rFonts w:ascii="Comic Sans MS" w:hAnsi="Comic Sans MS" w:cs="Comic Sans MS"/>
          <w:b/>
          <w:sz w:val="28"/>
        </w:rPr>
        <w:t xml:space="preserve">9. </w:t>
      </w:r>
      <w:r>
        <w:rPr>
          <w:rFonts w:ascii="Comic Sans MS" w:hAnsi="Comic Sans MS" w:cs="Comic Sans MS"/>
          <w:color w:val="000000"/>
          <w:sz w:val="28"/>
        </w:rPr>
        <w:t>Describe the reaction of the host to an implant and of the implant to the host (biocompatibility).</w:t>
      </w:r>
    </w:p>
    <w:p>
      <w:pPr>
        <w:spacing w:after="80"/>
        <w:ind w:left="576" w:hanging="403"/>
        <w:jc w:val="both"/>
      </w:pPr>
      <w:r>
        <w:rPr>
          <w:rFonts w:ascii="Comic Sans MS" w:hAnsi="Comic Sans MS" w:cs="Comic Sans MS"/>
          <w:b/>
          <w:sz w:val="28"/>
        </w:rPr>
        <w:t xml:space="preserve">10. </w:t>
      </w:r>
      <w:r>
        <w:rPr>
          <w:rFonts w:ascii="Comic Sans MS" w:hAnsi="Comic Sans MS" w:cs="Comic Sans MS"/>
          <w:color w:val="000000"/>
          <w:sz w:val="28"/>
        </w:rPr>
        <w:t>Write in detail on ocular inserts – classification, the Ocusert system, advantages and limitations.</w:t>
      </w:r>
    </w:p>
    <w:p>
      <w:pPr>
        <w:spacing w:after="80"/>
        <w:ind w:left="576" w:hanging="403"/>
        <w:jc w:val="both"/>
      </w:pPr>
      <w:r>
        <w:rPr>
          <w:rFonts w:ascii="Comic Sans MS" w:hAnsi="Comic Sans MS" w:cs="Comic Sans MS"/>
          <w:b/>
          <w:sz w:val="28"/>
        </w:rPr>
        <w:t xml:space="preserve">11. </w:t>
      </w:r>
      <w:r>
        <w:rPr>
          <w:rFonts w:ascii="Comic Sans MS" w:hAnsi="Comic Sans MS" w:cs="Comic Sans MS"/>
          <w:color w:val="000000"/>
          <w:sz w:val="28"/>
        </w:rPr>
        <w:t>Discuss the fundamentals of skin permeation and describe the types of transdermal patches with diagrams.</w:t>
      </w:r>
    </w:p>
    <w:p>
      <w:pPr>
        <w:spacing w:after="80"/>
        <w:ind w:left="576" w:hanging="403"/>
        <w:jc w:val="both"/>
      </w:pPr>
      <w:r>
        <w:rPr>
          <w:rFonts w:ascii="Comic Sans MS" w:hAnsi="Comic Sans MS" w:cs="Comic Sans MS"/>
          <w:b/>
          <w:sz w:val="28"/>
        </w:rPr>
        <w:t xml:space="preserve">12. </w:t>
      </w:r>
      <w:r>
        <w:rPr>
          <w:rFonts w:ascii="Comic Sans MS" w:hAnsi="Comic Sans MS" w:cs="Comic Sans MS"/>
          <w:color w:val="000000"/>
          <w:sz w:val="28"/>
        </w:rPr>
        <w:t>Explain iontophoresis and sonophoresis as approaches to enhance transdermal delivery.</w:t>
      </w:r>
    </w:p>
    <w:p>
      <w:pPr>
        <w:spacing w:after="80"/>
        <w:ind w:left="576" w:hanging="403"/>
        <w:jc w:val="both"/>
      </w:pPr>
      <w:r>
        <w:rPr>
          <w:rFonts w:ascii="Comic Sans MS" w:hAnsi="Comic Sans MS" w:cs="Comic Sans MS"/>
          <w:b/>
          <w:sz w:val="28"/>
        </w:rPr>
        <w:t xml:space="preserve">13. </w:t>
      </w:r>
      <w:r>
        <w:rPr>
          <w:rFonts w:ascii="Comic Sans MS" w:hAnsi="Comic Sans MS" w:cs="Comic Sans MS"/>
          <w:color w:val="000000"/>
          <w:sz w:val="28"/>
        </w:rPr>
        <w:t>Define personalized medicine. Explain pharmacogenetics and its role with suitable examples.</w:t>
      </w:r>
    </w:p>
    <w:p>
      <w:pPr>
        <w:spacing w:after="80"/>
        <w:ind w:left="576" w:hanging="403"/>
        <w:jc w:val="both"/>
      </w:pPr>
      <w:r>
        <w:rPr>
          <w:rFonts w:ascii="Comic Sans MS" w:hAnsi="Comic Sans MS" w:cs="Comic Sans MS"/>
          <w:b/>
          <w:sz w:val="28"/>
        </w:rPr>
        <w:t xml:space="preserve">14. </w:t>
      </w:r>
      <w:r>
        <w:rPr>
          <w:rFonts w:ascii="Comic Sans MS" w:hAnsi="Comic Sans MS" w:cs="Comic Sans MS"/>
          <w:color w:val="000000"/>
          <w:sz w:val="28"/>
        </w:rPr>
        <w:t>Write in detail on 3D printing of pharmaceuticals and its role in personalized medicine.</w:t>
      </w:r>
    </w:p>
    <w:p>
      <w:pPr>
        <w:spacing w:before="200" w:after="100" w:line="276" w:lineRule="auto"/>
        <w:keepNext/>
      </w:pPr>
      <w:r>
        <w:rPr>
          <w:rFonts w:ascii="Comic Sans MS" w:hAnsi="Comic Sans MS" w:cs="Comic Sans MS"/>
          <w:b/>
          <w:color w:val="FF0000"/>
          <w:sz w:val="32"/>
        </w:rPr>
        <w:t>Short-Answer (5-mark) Questions</w:t>
      </w:r>
    </w:p>
    <w:p>
      <w:pPr>
        <w:spacing w:after="80"/>
        <w:ind w:left="576" w:hanging="403"/>
        <w:jc w:val="both"/>
      </w:pPr>
      <w:r>
        <w:rPr>
          <w:rFonts w:ascii="Comic Sans MS" w:hAnsi="Comic Sans MS" w:cs="Comic Sans MS"/>
          <w:b/>
          <w:sz w:val="28"/>
        </w:rPr>
        <w:t xml:space="preserve">1. </w:t>
      </w:r>
      <w:r>
        <w:rPr>
          <w:rFonts w:ascii="Comic Sans MS" w:hAnsi="Comic Sans MS" w:cs="Comic Sans MS"/>
          <w:color w:val="000000"/>
          <w:sz w:val="28"/>
        </w:rPr>
        <w:t>Terminology : delayed release, repeat action and site-specific systems.</w:t>
      </w:r>
    </w:p>
    <w:p>
      <w:pPr>
        <w:spacing w:after="80"/>
        <w:ind w:left="576" w:hanging="403"/>
        <w:jc w:val="both"/>
      </w:pPr>
      <w:r>
        <w:rPr>
          <w:rFonts w:ascii="Comic Sans MS" w:hAnsi="Comic Sans MS" w:cs="Comic Sans MS"/>
          <w:b/>
          <w:sz w:val="28"/>
        </w:rPr>
        <w:t xml:space="preserve">2. </w:t>
      </w:r>
      <w:r>
        <w:rPr>
          <w:rFonts w:ascii="Comic Sans MS" w:hAnsi="Comic Sans MS" w:cs="Comic Sans MS"/>
          <w:color w:val="000000"/>
          <w:sz w:val="28"/>
        </w:rPr>
        <w:t>Therapeutic window and its significance in rate-controlled delivery.</w:t>
      </w:r>
    </w:p>
    <w:p>
      <w:pPr>
        <w:spacing w:after="80"/>
        <w:ind w:left="576" w:hanging="403"/>
        <w:jc w:val="both"/>
      </w:pPr>
      <w:r>
        <w:rPr>
          <w:rFonts w:ascii="Comic Sans MS" w:hAnsi="Comic Sans MS" w:cs="Comic Sans MS"/>
          <w:b/>
          <w:sz w:val="28"/>
        </w:rPr>
        <w:t xml:space="preserve">3. </w:t>
      </w:r>
      <w:r>
        <w:rPr>
          <w:rFonts w:ascii="Comic Sans MS" w:hAnsi="Comic Sans MS" w:cs="Comic Sans MS"/>
          <w:color w:val="000000"/>
          <w:sz w:val="28"/>
        </w:rPr>
        <w:t>Higuchi equation and its application to matrix systems.</w:t>
      </w:r>
    </w:p>
    <w:p>
      <w:pPr>
        <w:spacing w:after="80"/>
        <w:ind w:left="576" w:hanging="403"/>
        <w:jc w:val="both"/>
      </w:pPr>
      <w:r>
        <w:rPr>
          <w:rFonts w:ascii="Comic Sans MS" w:hAnsi="Comic Sans MS" w:cs="Comic Sans MS"/>
          <w:b/>
          <w:sz w:val="28"/>
        </w:rPr>
        <w:t xml:space="preserve">4. </w:t>
      </w:r>
      <w:r>
        <w:rPr>
          <w:rFonts w:ascii="Comic Sans MS" w:hAnsi="Comic Sans MS" w:cs="Comic Sans MS"/>
          <w:color w:val="000000"/>
          <w:sz w:val="28"/>
        </w:rPr>
        <w:t>Ion-exchange resin drug delivery systems.</w:t>
      </w:r>
    </w:p>
    <w:p>
      <w:pPr>
        <w:spacing w:after="80"/>
        <w:ind w:left="576" w:hanging="403"/>
        <w:jc w:val="both"/>
      </w:pPr>
      <w:r>
        <w:rPr>
          <w:rFonts w:ascii="Comic Sans MS" w:hAnsi="Comic Sans MS" w:cs="Comic Sans MS"/>
          <w:b/>
          <w:sz w:val="28"/>
        </w:rPr>
        <w:t xml:space="preserve">5. </w:t>
      </w:r>
      <w:r>
        <w:rPr>
          <w:rFonts w:ascii="Comic Sans MS" w:hAnsi="Comic Sans MS" w:cs="Comic Sans MS"/>
          <w:color w:val="000000"/>
          <w:sz w:val="28"/>
        </w:rPr>
        <w:t>Mucoadhesion – theories and applications.</w:t>
      </w:r>
    </w:p>
    <w:p>
      <w:pPr>
        <w:spacing w:after="80"/>
        <w:ind w:left="576" w:hanging="403"/>
        <w:jc w:val="both"/>
      </w:pPr>
      <w:r>
        <w:rPr>
          <w:rFonts w:ascii="Comic Sans MS" w:hAnsi="Comic Sans MS" w:cs="Comic Sans MS"/>
          <w:b/>
          <w:sz w:val="28"/>
        </w:rPr>
        <w:t xml:space="preserve">6. </w:t>
      </w:r>
      <w:r>
        <w:rPr>
          <w:rFonts w:ascii="Comic Sans MS" w:hAnsi="Comic Sans MS" w:cs="Comic Sans MS"/>
          <w:color w:val="000000"/>
          <w:sz w:val="28"/>
        </w:rPr>
        <w:t>Bioerodible drug delivery systems (bulk vs surface erosion).</w:t>
      </w:r>
    </w:p>
    <w:p>
      <w:pPr>
        <w:spacing w:after="80"/>
        <w:ind w:left="576" w:hanging="403"/>
        <w:jc w:val="both"/>
      </w:pPr>
      <w:r>
        <w:rPr>
          <w:rFonts w:ascii="Comic Sans MS" w:hAnsi="Comic Sans MS" w:cs="Comic Sans MS"/>
          <w:b/>
          <w:sz w:val="28"/>
        </w:rPr>
        <w:t xml:space="preserve">7. </w:t>
      </w:r>
      <w:r>
        <w:rPr>
          <w:rFonts w:ascii="Comic Sans MS" w:hAnsi="Comic Sans MS" w:cs="Comic Sans MS"/>
          <w:color w:val="000000"/>
          <w:sz w:val="28"/>
        </w:rPr>
        <w:t>Release and stability kinetics of microcapsules.</w:t>
      </w:r>
    </w:p>
    <w:p>
      <w:pPr>
        <w:spacing w:after="80"/>
        <w:ind w:left="576" w:hanging="403"/>
        <w:jc w:val="both"/>
      </w:pPr>
      <w:r>
        <w:rPr>
          <w:rFonts w:ascii="Comic Sans MS" w:hAnsi="Comic Sans MS" w:cs="Comic Sans MS"/>
          <w:b/>
          <w:sz w:val="28"/>
        </w:rPr>
        <w:t xml:space="preserve">8. </w:t>
      </w:r>
      <w:r>
        <w:rPr>
          <w:rFonts w:ascii="Comic Sans MS" w:hAnsi="Comic Sans MS" w:cs="Comic Sans MS"/>
          <w:color w:val="000000"/>
          <w:sz w:val="28"/>
        </w:rPr>
        <w:t>Types of microcapsules / microspheres.</w:t>
      </w:r>
    </w:p>
    <w:p>
      <w:pPr>
        <w:spacing w:after="80"/>
        <w:ind w:left="576" w:hanging="403"/>
        <w:jc w:val="both"/>
      </w:pPr>
      <w:r>
        <w:rPr>
          <w:rFonts w:ascii="Comic Sans MS" w:hAnsi="Comic Sans MS" w:cs="Comic Sans MS"/>
          <w:b/>
          <w:sz w:val="28"/>
        </w:rPr>
        <w:t xml:space="preserve">9. </w:t>
      </w:r>
      <w:r>
        <w:rPr>
          <w:rFonts w:ascii="Comic Sans MS" w:hAnsi="Comic Sans MS" w:cs="Comic Sans MS"/>
          <w:color w:val="000000"/>
          <w:sz w:val="28"/>
        </w:rPr>
        <w:t>Subcutaneous implants with examples.</w:t>
      </w:r>
    </w:p>
    <w:p>
      <w:pPr>
        <w:spacing w:after="80"/>
        <w:ind w:left="576" w:hanging="403"/>
        <w:jc w:val="both"/>
      </w:pPr>
      <w:r>
        <w:rPr>
          <w:rFonts w:ascii="Comic Sans MS" w:hAnsi="Comic Sans MS" w:cs="Comic Sans MS"/>
          <w:b/>
          <w:sz w:val="28"/>
        </w:rPr>
        <w:t xml:space="preserve">10. </w:t>
      </w:r>
      <w:r>
        <w:rPr>
          <w:rFonts w:ascii="Comic Sans MS" w:hAnsi="Comic Sans MS" w:cs="Comic Sans MS"/>
          <w:color w:val="000000"/>
          <w:sz w:val="28"/>
        </w:rPr>
        <w:t>Intra-uterine and intra-vaginal drug delivery systems.</w:t>
      </w:r>
    </w:p>
    <w:p>
      <w:pPr>
        <w:spacing w:after="80"/>
        <w:ind w:left="576" w:hanging="403"/>
        <w:jc w:val="both"/>
      </w:pPr>
      <w:r>
        <w:rPr>
          <w:rFonts w:ascii="Comic Sans MS" w:hAnsi="Comic Sans MS" w:cs="Comic Sans MS"/>
          <w:b/>
          <w:sz w:val="28"/>
        </w:rPr>
        <w:t xml:space="preserve">11. </w:t>
      </w:r>
      <w:r>
        <w:rPr>
          <w:rFonts w:ascii="Comic Sans MS" w:hAnsi="Comic Sans MS" w:cs="Comic Sans MS"/>
          <w:color w:val="000000"/>
          <w:sz w:val="28"/>
        </w:rPr>
        <w:t>Routes of drug permeation across the skin.</w:t>
      </w:r>
    </w:p>
    <w:p>
      <w:pPr>
        <w:spacing w:after="80"/>
        <w:ind w:left="576" w:hanging="403"/>
        <w:jc w:val="both"/>
      </w:pPr>
      <w:r>
        <w:rPr>
          <w:rFonts w:ascii="Comic Sans MS" w:hAnsi="Comic Sans MS" w:cs="Comic Sans MS"/>
          <w:b/>
          <w:sz w:val="28"/>
        </w:rPr>
        <w:t xml:space="preserve">12. </w:t>
      </w:r>
      <w:r>
        <w:rPr>
          <w:rFonts w:ascii="Comic Sans MS" w:hAnsi="Comic Sans MS" w:cs="Comic Sans MS"/>
          <w:color w:val="000000"/>
          <w:sz w:val="28"/>
        </w:rPr>
        <w:t>Penetration enhancers in TDDS.</w:t>
      </w:r>
    </w:p>
    <w:p>
      <w:pPr>
        <w:spacing w:after="80"/>
        <w:ind w:left="576" w:hanging="403"/>
        <w:jc w:val="both"/>
      </w:pPr>
      <w:r>
        <w:rPr>
          <w:rFonts w:ascii="Comic Sans MS" w:hAnsi="Comic Sans MS" w:cs="Comic Sans MS"/>
          <w:b/>
          <w:sz w:val="28"/>
        </w:rPr>
        <w:t xml:space="preserve">13. </w:t>
      </w:r>
      <w:r>
        <w:rPr>
          <w:rFonts w:ascii="Comic Sans MS" w:hAnsi="Comic Sans MS" w:cs="Comic Sans MS"/>
          <w:color w:val="000000"/>
          <w:sz w:val="28"/>
        </w:rPr>
        <w:t>Metabolizer phenotypes (PM, IM, EM, UM) with examples.</w:t>
      </w:r>
    </w:p>
    <w:p>
      <w:pPr>
        <w:spacing w:after="80"/>
        <w:ind w:left="576" w:hanging="403"/>
        <w:jc w:val="both"/>
      </w:pPr>
      <w:r>
        <w:rPr>
          <w:rFonts w:ascii="Comic Sans MS" w:hAnsi="Comic Sans MS" w:cs="Comic Sans MS"/>
          <w:b/>
          <w:sz w:val="28"/>
        </w:rPr>
        <w:t xml:space="preserve">14. </w:t>
      </w:r>
      <w:r>
        <w:rPr>
          <w:rFonts w:ascii="Comic Sans MS" w:hAnsi="Comic Sans MS" w:cs="Comic Sans MS"/>
          <w:color w:val="000000"/>
          <w:sz w:val="28"/>
        </w:rPr>
        <w:t>Bioelectronic medicines.</w:t>
      </w:r>
    </w:p>
    <w:p>
      <w:pPr>
        <w:spacing w:after="80"/>
        <w:ind w:left="576" w:hanging="403"/>
        <w:jc w:val="both"/>
      </w:pPr>
      <w:r>
        <w:rPr>
          <w:rFonts w:ascii="Comic Sans MS" w:hAnsi="Comic Sans MS" w:cs="Comic Sans MS"/>
          <w:b/>
          <w:sz w:val="28"/>
        </w:rPr>
        <w:t xml:space="preserve">15. </w:t>
      </w:r>
      <w:r>
        <w:rPr>
          <w:rFonts w:ascii="Comic Sans MS" w:hAnsi="Comic Sans MS" w:cs="Comic Sans MS"/>
          <w:color w:val="000000"/>
          <w:sz w:val="28"/>
        </w:rPr>
        <w:t>Telepharmacy – services, advantages and limitations.</w:t>
      </w:r>
    </w:p>
    <w:p>
      <w:pPr>
        <w:spacing w:after="80"/>
        <w:ind w:left="576" w:hanging="403"/>
        <w:jc w:val="both"/>
      </w:pPr>
      <w:r>
        <w:rPr>
          <w:rFonts w:ascii="Comic Sans MS" w:hAnsi="Comic Sans MS" w:cs="Comic Sans MS"/>
          <w:b/>
          <w:sz w:val="28"/>
        </w:rPr>
        <w:t xml:space="preserve">16. </w:t>
      </w:r>
      <w:r>
        <w:rPr>
          <w:rFonts w:ascii="Comic Sans MS" w:hAnsi="Comic Sans MS" w:cs="Comic Sans MS"/>
          <w:color w:val="000000"/>
          <w:sz w:val="28"/>
        </w:rPr>
        <w:t>Criteria for selection of polymers for drug delivery systems.</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Model Short Notes</w:t>
      </w:r>
    </w:p>
    <w:p>
      <w:pPr>
        <w:spacing w:after="160"/>
        <w:jc w:val="both"/>
      </w:pPr>
      <w:r>
        <w:rPr>
          <w:rFonts w:ascii="Comic Sans MS" w:hAnsi="Comic Sans MS" w:cs="Comic Sans MS"/>
          <w:b w:val="0"/>
          <w:i w:val="0"/>
          <w:color w:val="000000"/>
          <w:sz w:val="28"/>
        </w:rPr>
        <w:t>Concise, ready model answers to frequently asked short-note questions, useful for quick pre-exam revision.</w:t>
      </w:r>
    </w:p>
    <w:p>
      <w:pPr>
        <w:spacing w:before="200" w:after="100" w:line="276" w:lineRule="auto"/>
        <w:keepNext/>
      </w:pPr>
      <w:r>
        <w:rPr>
          <w:rFonts w:ascii="Comic Sans MS" w:hAnsi="Comic Sans MS" w:cs="Comic Sans MS"/>
          <w:b/>
          <w:color w:val="FF0000"/>
          <w:sz w:val="32"/>
        </w:rPr>
        <w:t>M.1 Therapeutic Window</w:t>
      </w:r>
    </w:p>
    <w:p>
      <w:pPr>
        <w:spacing w:after="160"/>
        <w:jc w:val="both"/>
      </w:pPr>
      <w:r>
        <w:rPr>
          <w:rFonts w:ascii="Comic Sans MS" w:hAnsi="Comic Sans MS" w:cs="Comic Sans MS"/>
          <w:b w:val="0"/>
          <w:i w:val="0"/>
          <w:color w:val="000000"/>
          <w:sz w:val="28"/>
        </w:rPr>
        <w:t>The therapeutic window is the range of plasma drug concentration lying between the minimum effective concentration (MEC) and the maximum safe / toxic concentration (MSC / MTC). An ideal delivery system maintains the plasma level within this band for the whole duration of therapy. A narrow window (e.g., digoxin, theophylline) demands precise rate control and makes dose dumping dangerous.</w:t>
      </w:r>
    </w:p>
    <w:p>
      <w:pPr>
        <w:spacing w:before="200" w:after="100" w:line="276" w:lineRule="auto"/>
        <w:keepNext/>
      </w:pPr>
      <w:r>
        <w:rPr>
          <w:rFonts w:ascii="Comic Sans MS" w:hAnsi="Comic Sans MS" w:cs="Comic Sans MS"/>
          <w:b/>
          <w:color w:val="FF0000"/>
          <w:sz w:val="32"/>
        </w:rPr>
        <w:t>M.2 Dose Dumping</w:t>
      </w:r>
    </w:p>
    <w:p>
      <w:pPr>
        <w:spacing w:after="160"/>
        <w:jc w:val="both"/>
      </w:pPr>
      <w:r>
        <w:rPr>
          <w:rFonts w:ascii="Comic Sans MS" w:hAnsi="Comic Sans MS" w:cs="Comic Sans MS"/>
          <w:b w:val="0"/>
          <w:i w:val="0"/>
          <w:color w:val="000000"/>
          <w:sz w:val="28"/>
        </w:rPr>
        <w:t>Dose dumping is the unintended, rapid release of a large fraction (or all) of the drug from a modified-release system, producing a sudden high plasma level and possible toxicity. It may follow membrane rupture (reservoir systems), formulation failure or co-ingestion of alcohol (which can dissolve certain matrices). Regulatory guidelines therefore require alcohol-interaction studies for oral modified-release products.</w:t>
      </w:r>
    </w:p>
    <w:p>
      <w:pPr>
        <w:spacing w:before="200" w:after="100" w:line="276" w:lineRule="auto"/>
        <w:keepNext/>
      </w:pPr>
      <w:r>
        <w:rPr>
          <w:rFonts w:ascii="Comic Sans MS" w:hAnsi="Comic Sans MS" w:cs="Comic Sans MS"/>
          <w:b/>
          <w:color w:val="FF0000"/>
          <w:sz w:val="32"/>
        </w:rPr>
        <w:t>M.3 Higuchi Equation</w:t>
      </w:r>
    </w:p>
    <w:p>
      <w:pPr>
        <w:spacing w:after="160"/>
        <w:jc w:val="both"/>
      </w:pPr>
      <w:r>
        <w:rPr>
          <w:rFonts w:ascii="Comic Sans MS" w:hAnsi="Comic Sans MS" w:cs="Comic Sans MS"/>
          <w:b w:val="0"/>
          <w:i w:val="0"/>
          <w:color w:val="000000"/>
          <w:sz w:val="28"/>
        </w:rPr>
        <w:t>The Higuchi model describes diffusion-controlled release from a matrix : Q = kₕ√t, i.e., the amount released is proportional to the square-root of time. It assumes drug content far exceeds solubility, one-dimensional diffusion, constant diffusivity, sink conditions and a non-dissolving matrix. A plot of Q versus √t is linear for a matrix system.</w:t>
      </w:r>
    </w:p>
    <w:p>
      <w:pPr>
        <w:spacing w:before="200" w:after="100" w:line="276" w:lineRule="auto"/>
        <w:keepNext/>
      </w:pPr>
      <w:r>
        <w:rPr>
          <w:rFonts w:ascii="Comic Sans MS" w:hAnsi="Comic Sans MS" w:cs="Comic Sans MS"/>
          <w:b/>
          <w:color w:val="FF0000"/>
          <w:sz w:val="32"/>
        </w:rPr>
        <w:t>M.4 Osmotic Pump</w:t>
      </w:r>
    </w:p>
    <w:p>
      <w:pPr>
        <w:spacing w:after="160"/>
        <w:jc w:val="both"/>
      </w:pPr>
      <w:r>
        <w:rPr>
          <w:rFonts w:ascii="Comic Sans MS" w:hAnsi="Comic Sans MS" w:cs="Comic Sans MS"/>
          <w:b w:val="0"/>
          <w:i w:val="0"/>
          <w:color w:val="000000"/>
          <w:sz w:val="28"/>
        </w:rPr>
        <w:t>An osmotic pump delivers drug at a constant zero-order rate driven by osmotic pressure. Water is imbibed across a semipermeable cellulose-acetate membrane into an osmotic core; the resulting hydrostatic pressure pumps saturated drug solution out through a laser-drilled orifice. Delivery is independent of GI pH, food and motility. The elementary osmotic pump suits soluble drugs; the push-pull (bilayer) type suits poorly soluble drugs.</w:t>
      </w:r>
    </w:p>
    <w:p>
      <w:pPr>
        <w:spacing w:before="200" w:after="100" w:line="276" w:lineRule="auto"/>
        <w:keepNext/>
      </w:pPr>
      <w:r>
        <w:rPr>
          <w:rFonts w:ascii="Comic Sans MS" w:hAnsi="Comic Sans MS" w:cs="Comic Sans MS"/>
          <w:b/>
          <w:color w:val="FF0000"/>
          <w:sz w:val="32"/>
        </w:rPr>
        <w:t>M.5 Complex Coacervation</w:t>
      </w:r>
    </w:p>
    <w:p>
      <w:pPr>
        <w:spacing w:after="160"/>
        <w:jc w:val="both"/>
      </w:pPr>
      <w:r>
        <w:rPr>
          <w:rFonts w:ascii="Comic Sans MS" w:hAnsi="Comic Sans MS" w:cs="Comic Sans MS"/>
          <w:b w:val="0"/>
          <w:i w:val="0"/>
          <w:color w:val="000000"/>
          <w:sz w:val="28"/>
        </w:rPr>
        <w:t>Complex coacervation is a phase-separation method of microencapsulation using two oppositely charged polymers (classically gelatin and acacia). Below gelatin's isoelectric point the positively charged gelatin and negatively charged acacia attract, forming a coacervate that deposits around the core; the wall is then hardened by cross-linking (glutaraldehyde) and cooling.</w:t>
      </w:r>
    </w:p>
    <w:p>
      <w:pPr>
        <w:spacing w:before="200" w:after="100" w:line="276" w:lineRule="auto"/>
        <w:keepNext/>
      </w:pPr>
      <w:r>
        <w:rPr>
          <w:rFonts w:ascii="Comic Sans MS" w:hAnsi="Comic Sans MS" w:cs="Comic Sans MS"/>
          <w:b/>
          <w:color w:val="FF0000"/>
          <w:sz w:val="32"/>
        </w:rPr>
        <w:t>M.6 Foreign-Body Reaction to an Implant</w:t>
      </w:r>
    </w:p>
    <w:p>
      <w:pPr>
        <w:spacing w:after="160"/>
        <w:jc w:val="both"/>
      </w:pPr>
      <w:r>
        <w:rPr>
          <w:rFonts w:ascii="Comic Sans MS" w:hAnsi="Comic Sans MS" w:cs="Comic Sans MS"/>
          <w:b w:val="0"/>
          <w:i w:val="0"/>
          <w:color w:val="000000"/>
          <w:sz w:val="28"/>
        </w:rPr>
        <w:t>The host response to an implant proceeds through protein adsorption, acute and chronic inflammation, granulation-tissue formation, foreign-body giant-cell formation and finally fibrous encapsulation. The fibrous capsule walls off the implant and can act as an additional diffusion barrier that slows drug release. A biocompatible material produces only a thin, quiescent capsule.</w:t>
      </w:r>
    </w:p>
    <w:p>
      <w:pPr>
        <w:spacing w:before="200" w:after="100" w:line="276" w:lineRule="auto"/>
        <w:keepNext/>
      </w:pPr>
      <w:r>
        <w:rPr>
          <w:rFonts w:ascii="Comic Sans MS" w:hAnsi="Comic Sans MS" w:cs="Comic Sans MS"/>
          <w:b/>
          <w:color w:val="FF0000"/>
          <w:sz w:val="32"/>
        </w:rPr>
        <w:t>M.7 Stratum Corneum &amp; Permeation Routes</w:t>
      </w:r>
    </w:p>
    <w:p>
      <w:pPr>
        <w:spacing w:after="160"/>
        <w:jc w:val="both"/>
      </w:pPr>
      <w:r>
        <w:rPr>
          <w:rFonts w:ascii="Comic Sans MS" w:hAnsi="Comic Sans MS" w:cs="Comic Sans MS"/>
          <w:b w:val="0"/>
          <w:i w:val="0"/>
          <w:color w:val="000000"/>
          <w:sz w:val="28"/>
        </w:rPr>
        <w:t>The stratum corneum, the outermost dead keratinised layer of the epidermis, is the principal barrier to transdermal permeation – a 'brick-and-mortar' of corneocytes in a lipid matrix. Drugs cross by the transcellular, intercellular (major) or appendageal (minor) route. Its resistance is the reason only potent, low-molecular-weight, suitably lipophilic drugs are deliverable transdermally.</w:t>
      </w:r>
    </w:p>
    <w:p>
      <w:pPr>
        <w:spacing w:before="200" w:after="100" w:line="276" w:lineRule="auto"/>
        <w:keepNext/>
      </w:pPr>
      <w:r>
        <w:rPr>
          <w:rFonts w:ascii="Comic Sans MS" w:hAnsi="Comic Sans MS" w:cs="Comic Sans MS"/>
          <w:b/>
          <w:color w:val="FF0000"/>
          <w:sz w:val="32"/>
        </w:rPr>
        <w:t>M.8 Iontophoresis vs Sonophoresis</w:t>
      </w:r>
    </w:p>
    <w:p>
      <w:pPr>
        <w:spacing w:after="160"/>
        <w:jc w:val="both"/>
      </w:pPr>
      <w:r>
        <w:rPr>
          <w:rFonts w:ascii="Comic Sans MS" w:hAnsi="Comic Sans MS" w:cs="Comic Sans MS"/>
          <w:b w:val="0"/>
          <w:i w:val="0"/>
          <w:color w:val="000000"/>
          <w:sz w:val="28"/>
        </w:rPr>
        <w:t>Iontophoresis uses a small electric current to drive charged drug molecules across the skin by electro-repulsion and electro-osmosis; delivery is proportional to the current and can be switched on/off. Sonophoresis uses ultrasound, mainly low frequency, whose cavitation transiently disrupts the stratum-corneum lipids; it can deliver even macromolecules such as insulin.</w:t>
      </w:r>
    </w:p>
    <w:p>
      <w:pPr>
        <w:spacing w:before="200" w:after="100" w:line="276" w:lineRule="auto"/>
        <w:keepNext/>
      </w:pPr>
      <w:r>
        <w:rPr>
          <w:rFonts w:ascii="Comic Sans MS" w:hAnsi="Comic Sans MS" w:cs="Comic Sans MS"/>
          <w:b/>
          <w:color w:val="FF0000"/>
          <w:sz w:val="32"/>
        </w:rPr>
        <w:t>M.9 Pharmacogenetics</w:t>
      </w:r>
    </w:p>
    <w:p>
      <w:pPr>
        <w:spacing w:after="160"/>
        <w:jc w:val="both"/>
      </w:pPr>
      <w:r>
        <w:rPr>
          <w:rFonts w:ascii="Comic Sans MS" w:hAnsi="Comic Sans MS" w:cs="Comic Sans MS"/>
          <w:b w:val="0"/>
          <w:i w:val="0"/>
          <w:color w:val="000000"/>
          <w:sz w:val="28"/>
        </w:rPr>
        <w:t>Pharmacogenetics is the study of how variation in a single gene affects an individual's response to a drug. Polymorphisms in metabolising enzymes (e.g., CYP2D6, TPMT) create poor, intermediate, extensive and ultra-rapid metabolizers, explaining why standard doses may be toxic in some and ineffective in others. It is the basis of dose individualisation in personalized medicine.</w:t>
      </w:r>
    </w:p>
    <w:p>
      <w:pPr>
        <w:spacing w:before="200" w:after="100" w:line="276" w:lineRule="auto"/>
        <w:keepNext/>
      </w:pPr>
      <w:r>
        <w:rPr>
          <w:rFonts w:ascii="Comic Sans MS" w:hAnsi="Comic Sans MS" w:cs="Comic Sans MS"/>
          <w:b/>
          <w:color w:val="FF0000"/>
          <w:sz w:val="32"/>
        </w:rPr>
        <w:t>M.10 3D Printing of Medicines</w:t>
      </w:r>
    </w:p>
    <w:p>
      <w:pPr>
        <w:spacing w:after="160"/>
        <w:jc w:val="both"/>
      </w:pPr>
      <w:r>
        <w:rPr>
          <w:rFonts w:ascii="Comic Sans MS" w:hAnsi="Comic Sans MS" w:cs="Comic Sans MS"/>
          <w:b w:val="0"/>
          <w:i w:val="0"/>
          <w:color w:val="000000"/>
          <w:sz w:val="28"/>
        </w:rPr>
        <w:t>3D printing builds a dosage form layer-by-layer from a digital design, allowing precise, individualised doses, complex geometries, multi-drug 'polyprintlets' and tailored release. Techniques include FDM, powder binder-jet (used for Spritam®, the first approved 3D-printed tablet), stereolithography and semi-solid extrusion. It is a key enabler of point-of-care personalized medicine.</w:t>
      </w:r>
    </w:p>
    <w:p>
      <w:r>
        <w:br w:type="page"/>
      </w:r>
    </w:p>
    <w:p>
      <w:pPr>
        <w:spacing w:before="200" w:after="100" w:line="276" w:lineRule="auto"/>
        <w:keepNext/>
      </w:pPr>
      <w:r>
        <w:rPr>
          <w:rFonts w:ascii="Comic Sans MS" w:hAnsi="Comic Sans MS" w:cs="Comic Sans MS"/>
          <w:b/>
          <w:color w:val="FF0000"/>
          <w:sz w:val="32"/>
        </w:rPr>
        <w:t>M.11 Mucoadhesion</w:t>
      </w:r>
    </w:p>
    <w:p>
      <w:pPr>
        <w:spacing w:after="160"/>
        <w:jc w:val="both"/>
      </w:pPr>
      <w:r>
        <w:rPr>
          <w:rFonts w:ascii="Comic Sans MS" w:hAnsi="Comic Sans MS" w:cs="Comic Sans MS"/>
          <w:b w:val="0"/>
          <w:i w:val="0"/>
          <w:color w:val="000000"/>
          <w:sz w:val="28"/>
        </w:rPr>
        <w:t>Mucoadhesion is the adhesion of a (usually hydrophilic) polymer to the mucus layer of a biological surface, prolonging the residence time of the dosage form and intensifying contact for absorption or local action. It proceeds through wetting / contact, swelling, interpenetration of polymer and mucin chains and finally entanglement and secondary bonding. Common mucoadhesives are carbopol, chitosan, sodium CMC and thiomers; applications include buccal, nasal, ocular, vaginal and gastro-retentive systems.</w:t>
      </w:r>
    </w:p>
    <w:p>
      <w:pPr>
        <w:spacing w:before="200" w:after="100" w:line="276" w:lineRule="auto"/>
        <w:keepNext/>
      </w:pPr>
      <w:r>
        <w:rPr>
          <w:rFonts w:ascii="Comic Sans MS" w:hAnsi="Comic Sans MS" w:cs="Comic Sans MS"/>
          <w:b/>
          <w:color w:val="FF0000"/>
          <w:sz w:val="32"/>
        </w:rPr>
        <w:t>M.12 Ion-Exchange Resin Systems</w:t>
      </w:r>
    </w:p>
    <w:p>
      <w:pPr>
        <w:spacing w:after="160"/>
        <w:jc w:val="both"/>
      </w:pPr>
      <w:r>
        <w:rPr>
          <w:rFonts w:ascii="Comic Sans MS" w:hAnsi="Comic Sans MS" w:cs="Comic Sans MS"/>
          <w:b w:val="0"/>
          <w:i w:val="0"/>
          <w:color w:val="000000"/>
          <w:sz w:val="28"/>
        </w:rPr>
        <w:t>An ionised drug is bound to an oppositely charged, insoluble cross-linked resin to form a resinate. In the GI tract the abundant counter-ions (Na⁺, K⁺, H⁺, Cl⁻) displace the drug, releasing it slowly at a rate governed by the ionic environment rather than pH alone. Useful for liquid sustained-release suspensions and taste masking; limited to ionisable drugs and dependent on diet.</w:t>
      </w:r>
    </w:p>
    <w:p>
      <w:pPr>
        <w:spacing w:before="200" w:after="100" w:line="276" w:lineRule="auto"/>
        <w:keepNext/>
      </w:pPr>
      <w:r>
        <w:rPr>
          <w:rFonts w:ascii="Comic Sans MS" w:hAnsi="Comic Sans MS" w:cs="Comic Sans MS"/>
          <w:b/>
          <w:color w:val="FF0000"/>
          <w:sz w:val="32"/>
        </w:rPr>
        <w:t>M.13 Bioerodible Systems</w:t>
      </w:r>
    </w:p>
    <w:p>
      <w:pPr>
        <w:spacing w:after="160"/>
        <w:jc w:val="both"/>
      </w:pPr>
      <w:r>
        <w:rPr>
          <w:rFonts w:ascii="Comic Sans MS" w:hAnsi="Comic Sans MS" w:cs="Comic Sans MS"/>
          <w:b w:val="0"/>
          <w:i w:val="0"/>
          <w:color w:val="000000"/>
          <w:sz w:val="28"/>
        </w:rPr>
        <w:t>In bioerodible systems the polymer matrix gradually degrades in the body and the drug is released by combined diffusion and erosion, leaving no residue to be removed. Bulk erosion (PLGA) degrades throughout the matrix, whereas surface erosion (polyanhydrides, poly-ortho-esters) proceeds layer-by-layer and gives release nearer to zero-order.</w:t>
      </w:r>
    </w:p>
    <w:p>
      <w:pPr>
        <w:spacing w:before="200" w:after="100" w:line="276" w:lineRule="auto"/>
        <w:keepNext/>
      </w:pPr>
      <w:r>
        <w:rPr>
          <w:rFonts w:ascii="Comic Sans MS" w:hAnsi="Comic Sans MS" w:cs="Comic Sans MS"/>
          <w:b/>
          <w:color w:val="FF0000"/>
          <w:sz w:val="32"/>
        </w:rPr>
        <w:t>M.14 Gastro-retentive Systems</w:t>
      </w:r>
    </w:p>
    <w:p>
      <w:pPr>
        <w:spacing w:after="160"/>
        <w:jc w:val="both"/>
      </w:pPr>
      <w:r>
        <w:rPr>
          <w:rFonts w:ascii="Comic Sans MS" w:hAnsi="Comic Sans MS" w:cs="Comic Sans MS"/>
          <w:b w:val="0"/>
          <w:i w:val="0"/>
          <w:color w:val="000000"/>
          <w:sz w:val="28"/>
        </w:rPr>
        <w:t>Gastro-retentive systems prolong gastric residence to improve absorption of drugs with a narrow upper-GI absorption window or for local gastric action. Approaches include floating (low-density) systems, high-density (sinking) systems, mucoadhesive, swelling / expanding, raft-forming and magnetic systems. Floating effervescent systems generate CO₂ from bicarbonate to lower the density below that of gastric fluid.</w:t>
      </w:r>
    </w:p>
    <w:p>
      <w:pPr>
        <w:spacing w:before="200" w:after="100" w:line="276" w:lineRule="auto"/>
        <w:keepNext/>
      </w:pPr>
      <w:r>
        <w:rPr>
          <w:rFonts w:ascii="Comic Sans MS" w:hAnsi="Comic Sans MS" w:cs="Comic Sans MS"/>
          <w:b/>
          <w:color w:val="FF0000"/>
          <w:sz w:val="32"/>
        </w:rPr>
        <w:t>M.15 Microspheres vs Microcapsules</w:t>
      </w:r>
    </w:p>
    <w:p>
      <w:pPr>
        <w:spacing w:after="160"/>
        <w:jc w:val="both"/>
      </w:pPr>
      <w:r>
        <w:rPr>
          <w:rFonts w:ascii="Comic Sans MS" w:hAnsi="Comic Sans MS" w:cs="Comic Sans MS"/>
          <w:b w:val="0"/>
          <w:i w:val="0"/>
          <w:color w:val="000000"/>
          <w:sz w:val="28"/>
        </w:rPr>
        <w:t>A microcapsule is a reservoir (core-shell) structure in which a distinct core is surrounded by a wall, whereas a microsphere is a matrix particle in which the drug is dispersed uniformly throughout the polymer. Both lie in the 1–1000 µm range; below 1 µm the equivalents are nanocapsules and nanospheres.</w:t>
      </w:r>
    </w:p>
    <w:p>
      <w:pPr>
        <w:spacing w:before="200" w:after="100" w:line="276" w:lineRule="auto"/>
        <w:keepNext/>
      </w:pPr>
      <w:r>
        <w:rPr>
          <w:rFonts w:ascii="Comic Sans MS" w:hAnsi="Comic Sans MS" w:cs="Comic Sans MS"/>
          <w:b/>
          <w:color w:val="FF0000"/>
          <w:sz w:val="32"/>
        </w:rPr>
        <w:t>M.16 Companion Diagnostics</w:t>
      </w:r>
    </w:p>
    <w:p>
      <w:pPr>
        <w:spacing w:after="160"/>
        <w:jc w:val="both"/>
      </w:pPr>
      <w:r>
        <w:rPr>
          <w:rFonts w:ascii="Comic Sans MS" w:hAnsi="Comic Sans MS" w:cs="Comic Sans MS"/>
          <w:b w:val="0"/>
          <w:i w:val="0"/>
          <w:color w:val="000000"/>
          <w:sz w:val="28"/>
        </w:rPr>
        <w:t>A companion diagnostic is an in-vitro test co-developed with a drug and essential to its safe, effective use, identifying the patients most likely to benefit or to be harmed. Examples include HER2 testing before trastuzumab, EGFR-mutation testing before gefitinib and HLA-B*57:01 testing before abacavir. They are central to biomarker-guided personalized therapy.</w:t>
      </w:r>
    </w:p>
    <w:p>
      <w:pPr>
        <w:spacing w:before="200" w:after="100" w:line="276" w:lineRule="auto"/>
        <w:keepNext/>
      </w:pPr>
      <w:r>
        <w:rPr>
          <w:rFonts w:ascii="Comic Sans MS" w:hAnsi="Comic Sans MS" w:cs="Comic Sans MS"/>
          <w:b/>
          <w:color w:val="FF0000"/>
          <w:sz w:val="32"/>
        </w:rPr>
        <w:t>M.17 In-Situ Forming Implants</w:t>
      </w:r>
    </w:p>
    <w:p>
      <w:pPr>
        <w:spacing w:after="160"/>
        <w:jc w:val="both"/>
      </w:pPr>
      <w:r>
        <w:rPr>
          <w:rFonts w:ascii="Comic Sans MS" w:hAnsi="Comic Sans MS" w:cs="Comic Sans MS"/>
          <w:b w:val="0"/>
          <w:i w:val="0"/>
          <w:color w:val="000000"/>
          <w:sz w:val="28"/>
        </w:rPr>
        <w:t>These are injectable liquids that solidify into a drug depot in the body, avoiding surgery. Formation is triggered by solvent removal / phase inversion (PLGA in NMP, as in Atrigel / Eligard), thermal gelation (poloxamers), in-situ cross-linking or ionic gelation. They combine the convenience of an injection with the prolonged action of an implant.</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Glossary of Key Terms</w:t>
      </w:r>
    </w:p>
    <w:p>
      <w:pPr>
        <w:spacing w:before="200" w:after="100" w:line="276" w:lineRule="auto"/>
        <w:keepNext/>
      </w:pPr>
      <w:r>
        <w:rPr>
          <w:rFonts w:ascii="Comic Sans MS" w:hAnsi="Comic Sans MS" w:cs="Comic Sans MS"/>
          <w:b/>
          <w:color w:val="FF0000"/>
          <w:sz w:val="32"/>
        </w:rPr>
        <w:t>Glossary</w:t>
      </w:r>
    </w:p>
    <w:p>
      <w:pPr>
        <w:spacing w:after="160"/>
        <w:jc w:val="both"/>
      </w:pPr>
      <w:r>
        <w:rPr>
          <w:rFonts w:ascii="Comic Sans MS" w:hAnsi="Comic Sans MS" w:cs="Comic Sans MS"/>
          <w:b/>
          <w:i w:val="0"/>
          <w:color w:val="000000"/>
          <w:sz w:val="28"/>
        </w:rPr>
        <w:t xml:space="preserve">Sustained release – </w:t>
      </w:r>
      <w:r>
        <w:rPr>
          <w:rFonts w:ascii="Comic Sans MS" w:hAnsi="Comic Sans MS" w:cs="Comic Sans MS"/>
          <w:b w:val="0"/>
          <w:i w:val="0"/>
          <w:color w:val="000000"/>
          <w:sz w:val="28"/>
        </w:rPr>
        <w:t>System that prolongs the duration of action by releasing drug slowly; release rate declines with time.</w:t>
      </w:r>
    </w:p>
    <w:p>
      <w:pPr>
        <w:spacing w:after="160"/>
        <w:jc w:val="both"/>
      </w:pPr>
      <w:r>
        <w:rPr>
          <w:rFonts w:ascii="Comic Sans MS" w:hAnsi="Comic Sans MS" w:cs="Comic Sans MS"/>
          <w:b/>
          <w:i w:val="0"/>
          <w:color w:val="000000"/>
          <w:sz w:val="28"/>
        </w:rPr>
        <w:t xml:space="preserve">Controlled release – </w:t>
      </w:r>
      <w:r>
        <w:rPr>
          <w:rFonts w:ascii="Comic Sans MS" w:hAnsi="Comic Sans MS" w:cs="Comic Sans MS"/>
          <w:b w:val="0"/>
          <w:i w:val="0"/>
          <w:color w:val="000000"/>
          <w:sz w:val="28"/>
        </w:rPr>
        <w:t>System that releases drug at a constant (zero-order) rate to maintain a constant plasma level.</w:t>
      </w:r>
    </w:p>
    <w:p>
      <w:pPr>
        <w:spacing w:after="160"/>
        <w:jc w:val="both"/>
      </w:pPr>
      <w:r>
        <w:rPr>
          <w:rFonts w:ascii="Comic Sans MS" w:hAnsi="Comic Sans MS" w:cs="Comic Sans MS"/>
          <w:b/>
          <w:i w:val="0"/>
          <w:color w:val="000000"/>
          <w:sz w:val="28"/>
        </w:rPr>
        <w:t xml:space="preserve">Delayed release – </w:t>
      </w:r>
      <w:r>
        <w:rPr>
          <w:rFonts w:ascii="Comic Sans MS" w:hAnsi="Comic Sans MS" w:cs="Comic Sans MS"/>
          <w:b w:val="0"/>
          <w:i w:val="0"/>
          <w:color w:val="000000"/>
          <w:sz w:val="28"/>
        </w:rPr>
        <w:t>Release of drug at a time other than immediately after administration (e.g., enteric-coated).</w:t>
      </w:r>
    </w:p>
    <w:p>
      <w:pPr>
        <w:spacing w:after="160"/>
        <w:jc w:val="both"/>
      </w:pPr>
      <w:r>
        <w:rPr>
          <w:rFonts w:ascii="Comic Sans MS" w:hAnsi="Comic Sans MS" w:cs="Comic Sans MS"/>
          <w:b/>
          <w:i w:val="0"/>
          <w:color w:val="000000"/>
          <w:sz w:val="28"/>
        </w:rPr>
        <w:t xml:space="preserve">Repeat action – </w:t>
      </w:r>
      <w:r>
        <w:rPr>
          <w:rFonts w:ascii="Comic Sans MS" w:hAnsi="Comic Sans MS" w:cs="Comic Sans MS"/>
          <w:b w:val="0"/>
          <w:i w:val="0"/>
          <w:color w:val="000000"/>
          <w:sz w:val="28"/>
        </w:rPr>
        <w:t>System releasing one dose promptly and another after a lag period.</w:t>
      </w:r>
    </w:p>
    <w:p>
      <w:pPr>
        <w:spacing w:after="160"/>
        <w:jc w:val="both"/>
      </w:pPr>
      <w:r>
        <w:rPr>
          <w:rFonts w:ascii="Comic Sans MS" w:hAnsi="Comic Sans MS" w:cs="Comic Sans MS"/>
          <w:b/>
          <w:i w:val="0"/>
          <w:color w:val="000000"/>
          <w:sz w:val="28"/>
        </w:rPr>
        <w:t xml:space="preserve">Therapeutic window – </w:t>
      </w:r>
      <w:r>
        <w:rPr>
          <w:rFonts w:ascii="Comic Sans MS" w:hAnsi="Comic Sans MS" w:cs="Comic Sans MS"/>
          <w:b w:val="0"/>
          <w:i w:val="0"/>
          <w:color w:val="000000"/>
          <w:sz w:val="28"/>
        </w:rPr>
        <w:t>Plasma-concentration range between the MEC and the maximum safe concentration.</w:t>
      </w:r>
    </w:p>
    <w:p>
      <w:pPr>
        <w:spacing w:after="160"/>
        <w:jc w:val="both"/>
      </w:pPr>
      <w:r>
        <w:rPr>
          <w:rFonts w:ascii="Comic Sans MS" w:hAnsi="Comic Sans MS" w:cs="Comic Sans MS"/>
          <w:b/>
          <w:i w:val="0"/>
          <w:color w:val="000000"/>
          <w:sz w:val="28"/>
        </w:rPr>
        <w:t xml:space="preserve">MEC / MTC – </w:t>
      </w:r>
      <w:r>
        <w:rPr>
          <w:rFonts w:ascii="Comic Sans MS" w:hAnsi="Comic Sans MS" w:cs="Comic Sans MS"/>
          <w:b w:val="0"/>
          <w:i w:val="0"/>
          <w:color w:val="000000"/>
          <w:sz w:val="28"/>
        </w:rPr>
        <w:t>Minimum effective and minimum toxic concentration, respectively.</w:t>
      </w:r>
    </w:p>
    <w:p>
      <w:pPr>
        <w:spacing w:after="160"/>
        <w:jc w:val="both"/>
      </w:pPr>
      <w:r>
        <w:rPr>
          <w:rFonts w:ascii="Comic Sans MS" w:hAnsi="Comic Sans MS" w:cs="Comic Sans MS"/>
          <w:b/>
          <w:i w:val="0"/>
          <w:color w:val="000000"/>
          <w:sz w:val="28"/>
        </w:rPr>
        <w:t xml:space="preserve">Zero-order release – </w:t>
      </w:r>
      <w:r>
        <w:rPr>
          <w:rFonts w:ascii="Comic Sans MS" w:hAnsi="Comic Sans MS" w:cs="Comic Sans MS"/>
          <w:b w:val="0"/>
          <w:i w:val="0"/>
          <w:color w:val="000000"/>
          <w:sz w:val="28"/>
        </w:rPr>
        <w:t>Constant amount of drug released per unit time, independent of concentration.</w:t>
      </w:r>
    </w:p>
    <w:p>
      <w:pPr>
        <w:spacing w:after="160"/>
        <w:jc w:val="both"/>
      </w:pPr>
      <w:r>
        <w:rPr>
          <w:rFonts w:ascii="Comic Sans MS" w:hAnsi="Comic Sans MS" w:cs="Comic Sans MS"/>
          <w:b/>
          <w:i w:val="0"/>
          <w:color w:val="000000"/>
          <w:sz w:val="28"/>
        </w:rPr>
        <w:t xml:space="preserve">Higuchi model – </w:t>
      </w:r>
      <w:r>
        <w:rPr>
          <w:rFonts w:ascii="Comic Sans MS" w:hAnsi="Comic Sans MS" w:cs="Comic Sans MS"/>
          <w:b w:val="0"/>
          <w:i w:val="0"/>
          <w:color w:val="000000"/>
          <w:sz w:val="28"/>
        </w:rPr>
        <w:t>Release proportional to the square-root of time; describes matrix diffusion.</w:t>
      </w:r>
    </w:p>
    <w:p>
      <w:pPr>
        <w:spacing w:after="160"/>
        <w:jc w:val="both"/>
      </w:pPr>
      <w:r>
        <w:rPr>
          <w:rFonts w:ascii="Comic Sans MS" w:hAnsi="Comic Sans MS" w:cs="Comic Sans MS"/>
          <w:b/>
          <w:i w:val="0"/>
          <w:color w:val="000000"/>
          <w:sz w:val="28"/>
        </w:rPr>
        <w:t xml:space="preserve">Korsmeyer–Peppas – </w:t>
      </w:r>
      <w:r>
        <w:rPr>
          <w:rFonts w:ascii="Comic Sans MS" w:hAnsi="Comic Sans MS" w:cs="Comic Sans MS"/>
          <w:b w:val="0"/>
          <w:i w:val="0"/>
          <w:color w:val="000000"/>
          <w:sz w:val="28"/>
        </w:rPr>
        <w:t>Empirical model (Mt/M∞ = k·tⁿ) used to identify the release mechanism from the exponent n.</w:t>
      </w:r>
    </w:p>
    <w:p>
      <w:pPr>
        <w:spacing w:after="160"/>
        <w:jc w:val="both"/>
      </w:pPr>
      <w:r>
        <w:rPr>
          <w:rFonts w:ascii="Comic Sans MS" w:hAnsi="Comic Sans MS" w:cs="Comic Sans MS"/>
          <w:b/>
          <w:i w:val="0"/>
          <w:color w:val="000000"/>
          <w:sz w:val="28"/>
        </w:rPr>
        <w:t xml:space="preserve">Reservoir system – </w:t>
      </w:r>
      <w:r>
        <w:rPr>
          <w:rFonts w:ascii="Comic Sans MS" w:hAnsi="Comic Sans MS" w:cs="Comic Sans MS"/>
          <w:b w:val="0"/>
          <w:i w:val="0"/>
          <w:color w:val="000000"/>
          <w:sz w:val="28"/>
        </w:rPr>
        <w:t>Drug core enclosed in a rate-controlling membrane.</w:t>
      </w:r>
    </w:p>
    <w:p>
      <w:pPr>
        <w:spacing w:after="160"/>
        <w:jc w:val="both"/>
      </w:pPr>
      <w:r>
        <w:rPr>
          <w:rFonts w:ascii="Comic Sans MS" w:hAnsi="Comic Sans MS" w:cs="Comic Sans MS"/>
          <w:b/>
          <w:i w:val="0"/>
          <w:color w:val="000000"/>
          <w:sz w:val="28"/>
        </w:rPr>
        <w:t xml:space="preserve">Matrix system – </w:t>
      </w:r>
      <w:r>
        <w:rPr>
          <w:rFonts w:ascii="Comic Sans MS" w:hAnsi="Comic Sans MS" w:cs="Comic Sans MS"/>
          <w:b w:val="0"/>
          <w:i w:val="0"/>
          <w:color w:val="000000"/>
          <w:sz w:val="28"/>
        </w:rPr>
        <w:t>Drug dispersed uniformly throughout a polymer.</w:t>
      </w:r>
    </w:p>
    <w:p>
      <w:pPr>
        <w:spacing w:after="160"/>
        <w:jc w:val="both"/>
      </w:pPr>
      <w:r>
        <w:rPr>
          <w:rFonts w:ascii="Comic Sans MS" w:hAnsi="Comic Sans MS" w:cs="Comic Sans MS"/>
          <w:b/>
          <w:i w:val="0"/>
          <w:color w:val="000000"/>
          <w:sz w:val="28"/>
        </w:rPr>
        <w:t xml:space="preserve">Osmotic pump – </w:t>
      </w:r>
      <w:r>
        <w:rPr>
          <w:rFonts w:ascii="Comic Sans MS" w:hAnsi="Comic Sans MS" w:cs="Comic Sans MS"/>
          <w:b w:val="0"/>
          <w:i w:val="0"/>
          <w:color w:val="000000"/>
          <w:sz w:val="28"/>
        </w:rPr>
        <w:t>Device that delivers drug at a constant rate driven by osmotic pressure.</w:t>
      </w:r>
    </w:p>
    <w:p>
      <w:pPr>
        <w:spacing w:after="160"/>
        <w:jc w:val="both"/>
      </w:pPr>
      <w:r>
        <w:rPr>
          <w:rFonts w:ascii="Comic Sans MS" w:hAnsi="Comic Sans MS" w:cs="Comic Sans MS"/>
          <w:b/>
          <w:i w:val="0"/>
          <w:color w:val="000000"/>
          <w:sz w:val="28"/>
        </w:rPr>
        <w:t xml:space="preserve">Osmogen – </w:t>
      </w:r>
      <w:r>
        <w:rPr>
          <w:rFonts w:ascii="Comic Sans MS" w:hAnsi="Comic Sans MS" w:cs="Comic Sans MS"/>
          <w:b w:val="0"/>
          <w:i w:val="0"/>
          <w:color w:val="000000"/>
          <w:sz w:val="28"/>
        </w:rPr>
        <w:t>Osmotically active agent (e.g., NaCl, mannitol) in an osmotic core.</w:t>
      </w:r>
    </w:p>
    <w:p>
      <w:pPr>
        <w:spacing w:after="160"/>
        <w:jc w:val="both"/>
      </w:pPr>
      <w:r>
        <w:rPr>
          <w:rFonts w:ascii="Comic Sans MS" w:hAnsi="Comic Sans MS" w:cs="Comic Sans MS"/>
          <w:b/>
          <w:i w:val="0"/>
          <w:color w:val="000000"/>
          <w:sz w:val="28"/>
        </w:rPr>
        <w:t xml:space="preserve">Ion-exchange resin – </w:t>
      </w:r>
      <w:r>
        <w:rPr>
          <w:rFonts w:ascii="Comic Sans MS" w:hAnsi="Comic Sans MS" w:cs="Comic Sans MS"/>
          <w:b w:val="0"/>
          <w:i w:val="0"/>
          <w:color w:val="000000"/>
          <w:sz w:val="28"/>
        </w:rPr>
        <w:t>Insoluble polymer that binds an ionised drug and releases it by exchange with GI ions.</w:t>
      </w:r>
    </w:p>
    <w:p>
      <w:pPr>
        <w:spacing w:after="160"/>
        <w:jc w:val="both"/>
      </w:pPr>
      <w:r>
        <w:rPr>
          <w:rFonts w:ascii="Comic Sans MS" w:hAnsi="Comic Sans MS" w:cs="Comic Sans MS"/>
          <w:b/>
          <w:i w:val="0"/>
          <w:color w:val="000000"/>
          <w:sz w:val="28"/>
        </w:rPr>
        <w:t xml:space="preserve">Mucoadhesion – </w:t>
      </w:r>
      <w:r>
        <w:rPr>
          <w:rFonts w:ascii="Comic Sans MS" w:hAnsi="Comic Sans MS" w:cs="Comic Sans MS"/>
          <w:b w:val="0"/>
          <w:i w:val="0"/>
          <w:color w:val="000000"/>
          <w:sz w:val="28"/>
        </w:rPr>
        <w:t>Adhesion of a material to the mucus layer to prolong residence time.</w:t>
      </w:r>
    </w:p>
    <w:p>
      <w:pPr>
        <w:spacing w:after="160"/>
        <w:jc w:val="both"/>
      </w:pPr>
      <w:r>
        <w:rPr>
          <w:rFonts w:ascii="Comic Sans MS" w:hAnsi="Comic Sans MS" w:cs="Comic Sans MS"/>
          <w:b/>
          <w:i w:val="0"/>
          <w:color w:val="000000"/>
          <w:sz w:val="28"/>
        </w:rPr>
        <w:t xml:space="preserve">Bioerodible polymer – </w:t>
      </w:r>
      <w:r>
        <w:rPr>
          <w:rFonts w:ascii="Comic Sans MS" w:hAnsi="Comic Sans MS" w:cs="Comic Sans MS"/>
          <w:b w:val="0"/>
          <w:i w:val="0"/>
          <w:color w:val="000000"/>
          <w:sz w:val="28"/>
        </w:rPr>
        <w:t>Polymer that degrades in the body, releasing drug and leaving no residue.</w:t>
      </w:r>
    </w:p>
    <w:p>
      <w:pPr>
        <w:spacing w:after="160"/>
        <w:jc w:val="both"/>
      </w:pPr>
      <w:r>
        <w:rPr>
          <w:rFonts w:ascii="Comic Sans MS" w:hAnsi="Comic Sans MS" w:cs="Comic Sans MS"/>
          <w:b/>
          <w:i w:val="0"/>
          <w:color w:val="000000"/>
          <w:sz w:val="28"/>
        </w:rPr>
        <w:t xml:space="preserve">Microencapsulation – </w:t>
      </w:r>
      <w:r>
        <w:rPr>
          <w:rFonts w:ascii="Comic Sans MS" w:hAnsi="Comic Sans MS" w:cs="Comic Sans MS"/>
          <w:b w:val="0"/>
          <w:i w:val="0"/>
          <w:color w:val="000000"/>
          <w:sz w:val="28"/>
        </w:rPr>
        <w:t>Enclosure of small particles / droplets within a thin coating to form microcapsules (1–1000 µm).</w:t>
      </w:r>
    </w:p>
    <w:p>
      <w:pPr>
        <w:spacing w:after="160"/>
        <w:jc w:val="both"/>
      </w:pPr>
      <w:r>
        <w:rPr>
          <w:rFonts w:ascii="Comic Sans MS" w:hAnsi="Comic Sans MS" w:cs="Comic Sans MS"/>
          <w:b/>
          <w:i w:val="0"/>
          <w:color w:val="000000"/>
          <w:sz w:val="28"/>
        </w:rPr>
        <w:t xml:space="preserve">Coacervation – </w:t>
      </w:r>
      <w:r>
        <w:rPr>
          <w:rFonts w:ascii="Comic Sans MS" w:hAnsi="Comic Sans MS" w:cs="Comic Sans MS"/>
          <w:b w:val="0"/>
          <w:i w:val="0"/>
          <w:color w:val="000000"/>
          <w:sz w:val="28"/>
        </w:rPr>
        <w:t>Phase-separation method of microencapsulation.</w:t>
      </w:r>
    </w:p>
    <w:p>
      <w:pPr>
        <w:spacing w:after="160"/>
        <w:jc w:val="both"/>
      </w:pPr>
      <w:r>
        <w:rPr>
          <w:rFonts w:ascii="Comic Sans MS" w:hAnsi="Comic Sans MS" w:cs="Comic Sans MS"/>
          <w:b/>
          <w:i w:val="0"/>
          <w:color w:val="000000"/>
          <w:sz w:val="28"/>
        </w:rPr>
        <w:t xml:space="preserve">Implant – </w:t>
      </w:r>
      <w:r>
        <w:rPr>
          <w:rFonts w:ascii="Comic Sans MS" w:hAnsi="Comic Sans MS" w:cs="Comic Sans MS"/>
          <w:b w:val="0"/>
          <w:i w:val="0"/>
          <w:color w:val="000000"/>
          <w:sz w:val="28"/>
        </w:rPr>
        <w:t>Solid device placed in the body (s.c. / i.m.) for prolonged drug release.</w:t>
      </w:r>
    </w:p>
    <w:p>
      <w:pPr>
        <w:spacing w:after="160"/>
        <w:jc w:val="both"/>
      </w:pPr>
      <w:r>
        <w:rPr>
          <w:rFonts w:ascii="Comic Sans MS" w:hAnsi="Comic Sans MS" w:cs="Comic Sans MS"/>
          <w:b/>
          <w:i w:val="0"/>
          <w:color w:val="000000"/>
          <w:sz w:val="28"/>
        </w:rPr>
        <w:t xml:space="preserve">Insert – </w:t>
      </w:r>
      <w:r>
        <w:rPr>
          <w:rFonts w:ascii="Comic Sans MS" w:hAnsi="Comic Sans MS" w:cs="Comic Sans MS"/>
          <w:b w:val="0"/>
          <w:i w:val="0"/>
          <w:color w:val="000000"/>
          <w:sz w:val="28"/>
        </w:rPr>
        <w:t>Rate-controlled device placed in a body cavity (eye, vagina, uterus).</w:t>
      </w:r>
    </w:p>
    <w:p>
      <w:pPr>
        <w:spacing w:after="160"/>
        <w:jc w:val="both"/>
      </w:pPr>
      <w:r>
        <w:rPr>
          <w:rFonts w:ascii="Comic Sans MS" w:hAnsi="Comic Sans MS" w:cs="Comic Sans MS"/>
          <w:b/>
          <w:i w:val="0"/>
          <w:color w:val="000000"/>
          <w:sz w:val="28"/>
        </w:rPr>
        <w:t xml:space="preserve">Biocompatibility – </w:t>
      </w:r>
      <w:r>
        <w:rPr>
          <w:rFonts w:ascii="Comic Sans MS" w:hAnsi="Comic Sans MS" w:cs="Comic Sans MS"/>
          <w:b w:val="0"/>
          <w:i w:val="0"/>
          <w:color w:val="000000"/>
          <w:sz w:val="28"/>
        </w:rPr>
        <w:t>Ability of a material to perform with an appropriate host response.</w:t>
      </w:r>
    </w:p>
    <w:p>
      <w:pPr>
        <w:spacing w:after="160"/>
        <w:jc w:val="both"/>
      </w:pPr>
      <w:r>
        <w:rPr>
          <w:rFonts w:ascii="Comic Sans MS" w:hAnsi="Comic Sans MS" w:cs="Comic Sans MS"/>
          <w:b/>
          <w:i w:val="0"/>
          <w:color w:val="000000"/>
          <w:sz w:val="28"/>
        </w:rPr>
        <w:t xml:space="preserve">Foreign-body reaction – </w:t>
      </w:r>
      <w:r>
        <w:rPr>
          <w:rFonts w:ascii="Comic Sans MS" w:hAnsi="Comic Sans MS" w:cs="Comic Sans MS"/>
          <w:b w:val="0"/>
          <w:i w:val="0"/>
          <w:color w:val="000000"/>
          <w:sz w:val="28"/>
        </w:rPr>
        <w:t>Host tissue response culminating in fibrous encapsulation of an implant.</w:t>
      </w:r>
    </w:p>
    <w:p>
      <w:pPr>
        <w:spacing w:after="160"/>
        <w:jc w:val="both"/>
      </w:pPr>
      <w:r>
        <w:rPr>
          <w:rFonts w:ascii="Comic Sans MS" w:hAnsi="Comic Sans MS" w:cs="Comic Sans MS"/>
          <w:b/>
          <w:i w:val="0"/>
          <w:color w:val="000000"/>
          <w:sz w:val="28"/>
        </w:rPr>
        <w:t xml:space="preserve">TDDS – </w:t>
      </w:r>
      <w:r>
        <w:rPr>
          <w:rFonts w:ascii="Comic Sans MS" w:hAnsi="Comic Sans MS" w:cs="Comic Sans MS"/>
          <w:b w:val="0"/>
          <w:i w:val="0"/>
          <w:color w:val="000000"/>
          <w:sz w:val="28"/>
        </w:rPr>
        <w:t>Transdermal drug delivery system – a patch delivering drug through intact skin.</w:t>
      </w:r>
    </w:p>
    <w:p>
      <w:pPr>
        <w:spacing w:after="160"/>
        <w:jc w:val="both"/>
      </w:pPr>
      <w:r>
        <w:rPr>
          <w:rFonts w:ascii="Comic Sans MS" w:hAnsi="Comic Sans MS" w:cs="Comic Sans MS"/>
          <w:b/>
          <w:i w:val="0"/>
          <w:color w:val="000000"/>
          <w:sz w:val="28"/>
        </w:rPr>
        <w:t xml:space="preserve">Stratum corneum – </w:t>
      </w:r>
      <w:r>
        <w:rPr>
          <w:rFonts w:ascii="Comic Sans MS" w:hAnsi="Comic Sans MS" w:cs="Comic Sans MS"/>
          <w:b w:val="0"/>
          <w:i w:val="0"/>
          <w:color w:val="000000"/>
          <w:sz w:val="28"/>
        </w:rPr>
        <w:t>Outermost dead keratinised layer of skin; the main permeation barrier.</w:t>
      </w:r>
    </w:p>
    <w:p>
      <w:pPr>
        <w:spacing w:after="160"/>
        <w:jc w:val="both"/>
      </w:pPr>
      <w:r>
        <w:rPr>
          <w:rFonts w:ascii="Comic Sans MS" w:hAnsi="Comic Sans MS" w:cs="Comic Sans MS"/>
          <w:b/>
          <w:i w:val="0"/>
          <w:color w:val="000000"/>
          <w:sz w:val="28"/>
        </w:rPr>
        <w:t xml:space="preserve">Flux (Jss) – </w:t>
      </w:r>
      <w:r>
        <w:rPr>
          <w:rFonts w:ascii="Comic Sans MS" w:hAnsi="Comic Sans MS" w:cs="Comic Sans MS"/>
          <w:b w:val="0"/>
          <w:i w:val="0"/>
          <w:color w:val="000000"/>
          <w:sz w:val="28"/>
        </w:rPr>
        <w:t>Steady-state amount of drug permeating per unit area per unit time.</w:t>
      </w:r>
    </w:p>
    <w:p>
      <w:pPr>
        <w:spacing w:after="160"/>
        <w:jc w:val="both"/>
      </w:pPr>
      <w:r>
        <w:rPr>
          <w:rFonts w:ascii="Comic Sans MS" w:hAnsi="Comic Sans MS" w:cs="Comic Sans MS"/>
          <w:b/>
          <w:i w:val="0"/>
          <w:color w:val="000000"/>
          <w:sz w:val="28"/>
        </w:rPr>
        <w:t xml:space="preserve">Lag time – </w:t>
      </w:r>
      <w:r>
        <w:rPr>
          <w:rFonts w:ascii="Comic Sans MS" w:hAnsi="Comic Sans MS" w:cs="Comic Sans MS"/>
          <w:b w:val="0"/>
          <w:i w:val="0"/>
          <w:color w:val="000000"/>
          <w:sz w:val="28"/>
        </w:rPr>
        <w:t>Time before steady-state permeation is established (tₗ = h²/6D).</w:t>
      </w:r>
    </w:p>
    <w:p>
      <w:pPr>
        <w:spacing w:after="160"/>
        <w:jc w:val="both"/>
      </w:pPr>
      <w:r>
        <w:rPr>
          <w:rFonts w:ascii="Comic Sans MS" w:hAnsi="Comic Sans MS" w:cs="Comic Sans MS"/>
          <w:b/>
          <w:i w:val="0"/>
          <w:color w:val="000000"/>
          <w:sz w:val="28"/>
        </w:rPr>
        <w:t xml:space="preserve">Iontophoresis – </w:t>
      </w:r>
      <w:r>
        <w:rPr>
          <w:rFonts w:ascii="Comic Sans MS" w:hAnsi="Comic Sans MS" w:cs="Comic Sans MS"/>
          <w:b w:val="0"/>
          <w:i w:val="0"/>
          <w:color w:val="000000"/>
          <w:sz w:val="28"/>
        </w:rPr>
        <w:t>Use of an electric current to drive charged drug across skin.</w:t>
      </w:r>
    </w:p>
    <w:p>
      <w:pPr>
        <w:spacing w:after="160"/>
        <w:jc w:val="both"/>
      </w:pPr>
      <w:r>
        <w:rPr>
          <w:rFonts w:ascii="Comic Sans MS" w:hAnsi="Comic Sans MS" w:cs="Comic Sans MS"/>
          <w:b/>
          <w:i w:val="0"/>
          <w:color w:val="000000"/>
          <w:sz w:val="28"/>
        </w:rPr>
        <w:t xml:space="preserve">Sonophoresis – </w:t>
      </w:r>
      <w:r>
        <w:rPr>
          <w:rFonts w:ascii="Comic Sans MS" w:hAnsi="Comic Sans MS" w:cs="Comic Sans MS"/>
          <w:b w:val="0"/>
          <w:i w:val="0"/>
          <w:color w:val="000000"/>
          <w:sz w:val="28"/>
        </w:rPr>
        <w:t>Use of ultrasound to enhance transdermal permeation.</w:t>
      </w:r>
    </w:p>
    <w:p>
      <w:pPr>
        <w:spacing w:after="160"/>
        <w:jc w:val="both"/>
      </w:pPr>
      <w:r>
        <w:rPr>
          <w:rFonts w:ascii="Comic Sans MS" w:hAnsi="Comic Sans MS" w:cs="Comic Sans MS"/>
          <w:b/>
          <w:i w:val="0"/>
          <w:color w:val="000000"/>
          <w:sz w:val="28"/>
        </w:rPr>
        <w:t xml:space="preserve">Personalized medicine – </w:t>
      </w:r>
      <w:r>
        <w:rPr>
          <w:rFonts w:ascii="Comic Sans MS" w:hAnsi="Comic Sans MS" w:cs="Comic Sans MS"/>
          <w:b w:val="0"/>
          <w:i w:val="0"/>
          <w:color w:val="000000"/>
          <w:sz w:val="28"/>
        </w:rPr>
        <w:t>Tailoring therapy to an individual's genetic and molecular profile.</w:t>
      </w:r>
    </w:p>
    <w:p>
      <w:pPr>
        <w:spacing w:after="160"/>
        <w:jc w:val="both"/>
      </w:pPr>
      <w:r>
        <w:rPr>
          <w:rFonts w:ascii="Comic Sans MS" w:hAnsi="Comic Sans MS" w:cs="Comic Sans MS"/>
          <w:b/>
          <w:i w:val="0"/>
          <w:color w:val="000000"/>
          <w:sz w:val="28"/>
        </w:rPr>
        <w:t xml:space="preserve">Pharmacogenetics – </w:t>
      </w:r>
      <w:r>
        <w:rPr>
          <w:rFonts w:ascii="Comic Sans MS" w:hAnsi="Comic Sans MS" w:cs="Comic Sans MS"/>
          <w:b w:val="0"/>
          <w:i w:val="0"/>
          <w:color w:val="000000"/>
          <w:sz w:val="28"/>
        </w:rPr>
        <w:t>Study of how single-gene variation affects drug response.</w:t>
      </w:r>
    </w:p>
    <w:p>
      <w:pPr>
        <w:spacing w:after="160"/>
        <w:jc w:val="both"/>
      </w:pPr>
      <w:r>
        <w:rPr>
          <w:rFonts w:ascii="Comic Sans MS" w:hAnsi="Comic Sans MS" w:cs="Comic Sans MS"/>
          <w:b/>
          <w:i w:val="0"/>
          <w:color w:val="000000"/>
          <w:sz w:val="28"/>
        </w:rPr>
        <w:t xml:space="preserve">Pharmacogenomics – </w:t>
      </w:r>
      <w:r>
        <w:rPr>
          <w:rFonts w:ascii="Comic Sans MS" w:hAnsi="Comic Sans MS" w:cs="Comic Sans MS"/>
          <w:b w:val="0"/>
          <w:i w:val="0"/>
          <w:color w:val="000000"/>
          <w:sz w:val="28"/>
        </w:rPr>
        <w:t>Study of how the whole genome affects drug response.</w:t>
      </w:r>
    </w:p>
    <w:p>
      <w:pPr>
        <w:spacing w:after="160"/>
        <w:jc w:val="both"/>
      </w:pPr>
      <w:r>
        <w:rPr>
          <w:rFonts w:ascii="Comic Sans MS" w:hAnsi="Comic Sans MS" w:cs="Comic Sans MS"/>
          <w:b/>
          <w:i w:val="0"/>
          <w:color w:val="000000"/>
          <w:sz w:val="28"/>
        </w:rPr>
        <w:t xml:space="preserve">Bioelectronic medicine – </w:t>
      </w:r>
      <w:r>
        <w:rPr>
          <w:rFonts w:ascii="Comic Sans MS" w:hAnsi="Comic Sans MS" w:cs="Comic Sans MS"/>
          <w:b w:val="0"/>
          <w:i w:val="0"/>
          <w:color w:val="000000"/>
          <w:sz w:val="28"/>
        </w:rPr>
        <w:t>Use of electrical impulses from implanted devices to treat disease.</w:t>
      </w:r>
    </w:p>
    <w:p>
      <w:pPr>
        <w:spacing w:after="160"/>
        <w:jc w:val="both"/>
      </w:pPr>
      <w:r>
        <w:rPr>
          <w:rFonts w:ascii="Comic Sans MS" w:hAnsi="Comic Sans MS" w:cs="Comic Sans MS"/>
          <w:b/>
          <w:i w:val="0"/>
          <w:color w:val="000000"/>
          <w:sz w:val="28"/>
        </w:rPr>
        <w:t xml:space="preserve">3D printing – </w:t>
      </w:r>
      <w:r>
        <w:rPr>
          <w:rFonts w:ascii="Comic Sans MS" w:hAnsi="Comic Sans MS" w:cs="Comic Sans MS"/>
          <w:b w:val="0"/>
          <w:i w:val="0"/>
          <w:color w:val="000000"/>
          <w:sz w:val="28"/>
        </w:rPr>
        <w:t>Additive, layer-by-layer manufacture of dosage forms with tailored dose and structure.</w:t>
      </w:r>
    </w:p>
    <w:p>
      <w:pPr>
        <w:spacing w:after="160"/>
        <w:jc w:val="both"/>
      </w:pPr>
      <w:r>
        <w:rPr>
          <w:rFonts w:ascii="Comic Sans MS" w:hAnsi="Comic Sans MS" w:cs="Comic Sans MS"/>
          <w:b/>
          <w:i w:val="0"/>
          <w:color w:val="000000"/>
          <w:sz w:val="28"/>
        </w:rPr>
        <w:t xml:space="preserve">Telepharmacy – </w:t>
      </w:r>
      <w:r>
        <w:rPr>
          <w:rFonts w:ascii="Comic Sans MS" w:hAnsi="Comic Sans MS" w:cs="Comic Sans MS"/>
          <w:b w:val="0"/>
          <w:i w:val="0"/>
          <w:color w:val="000000"/>
          <w:sz w:val="28"/>
        </w:rPr>
        <w:t>Provision of pharmaceutical care at a distance using telecommunication technology.</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Abbreviations</w:t>
      </w:r>
    </w:p>
    <w:p>
      <w:pPr>
        <w:spacing w:before="200" w:after="100" w:line="276" w:lineRule="auto"/>
        <w:keepNext/>
      </w:pPr>
      <w:r>
        <w:rPr>
          <w:rFonts w:ascii="Comic Sans MS" w:hAnsi="Comic Sans MS" w:cs="Comic Sans MS"/>
          <w:b/>
          <w:color w:val="FF0000"/>
          <w:sz w:val="32"/>
        </w:rPr>
        <w:t>Common Abbreviations used in this Subject</w:t>
      </w:r>
    </w:p>
    <w:p>
      <w:pPr>
        <w:spacing w:after="160"/>
        <w:jc w:val="both"/>
      </w:pPr>
      <w:r>
        <w:rPr>
          <w:rFonts w:ascii="Comic Sans MS" w:hAnsi="Comic Sans MS" w:cs="Comic Sans MS"/>
          <w:b/>
          <w:i w:val="0"/>
          <w:color w:val="000000"/>
          <w:sz w:val="28"/>
        </w:rPr>
        <w:t xml:space="preserve">SR / CR – </w:t>
      </w:r>
      <w:r>
        <w:rPr>
          <w:rFonts w:ascii="Comic Sans MS" w:hAnsi="Comic Sans MS" w:cs="Comic Sans MS"/>
          <w:b w:val="0"/>
          <w:i w:val="0"/>
          <w:color w:val="000000"/>
          <w:sz w:val="28"/>
        </w:rPr>
        <w:t>Sustained release / Controlled release</w:t>
      </w:r>
    </w:p>
    <w:p>
      <w:pPr>
        <w:spacing w:after="160"/>
        <w:jc w:val="both"/>
      </w:pPr>
      <w:r>
        <w:rPr>
          <w:rFonts w:ascii="Comic Sans MS" w:hAnsi="Comic Sans MS" w:cs="Comic Sans MS"/>
          <w:b/>
          <w:i w:val="0"/>
          <w:color w:val="000000"/>
          <w:sz w:val="28"/>
        </w:rPr>
        <w:t xml:space="preserve">NDDS – </w:t>
      </w:r>
      <w:r>
        <w:rPr>
          <w:rFonts w:ascii="Comic Sans MS" w:hAnsi="Comic Sans MS" w:cs="Comic Sans MS"/>
          <w:b w:val="0"/>
          <w:i w:val="0"/>
          <w:color w:val="000000"/>
          <w:sz w:val="28"/>
        </w:rPr>
        <w:t>Novel drug delivery system</w:t>
      </w:r>
    </w:p>
    <w:p>
      <w:pPr>
        <w:spacing w:after="160"/>
        <w:jc w:val="both"/>
      </w:pPr>
      <w:r>
        <w:rPr>
          <w:rFonts w:ascii="Comic Sans MS" w:hAnsi="Comic Sans MS" w:cs="Comic Sans MS"/>
          <w:b/>
          <w:i w:val="0"/>
          <w:color w:val="000000"/>
          <w:sz w:val="28"/>
        </w:rPr>
        <w:t xml:space="preserve">CDDS – </w:t>
      </w:r>
      <w:r>
        <w:rPr>
          <w:rFonts w:ascii="Comic Sans MS" w:hAnsi="Comic Sans MS" w:cs="Comic Sans MS"/>
          <w:b w:val="0"/>
          <w:i w:val="0"/>
          <w:color w:val="000000"/>
          <w:sz w:val="28"/>
        </w:rPr>
        <w:t>Controlled drug delivery system</w:t>
      </w:r>
    </w:p>
    <w:p>
      <w:pPr>
        <w:spacing w:after="160"/>
        <w:jc w:val="both"/>
      </w:pPr>
      <w:r>
        <w:rPr>
          <w:rFonts w:ascii="Comic Sans MS" w:hAnsi="Comic Sans MS" w:cs="Comic Sans MS"/>
          <w:b/>
          <w:i w:val="0"/>
          <w:color w:val="000000"/>
          <w:sz w:val="28"/>
        </w:rPr>
        <w:t xml:space="preserve">MEC / MTC – </w:t>
      </w:r>
      <w:r>
        <w:rPr>
          <w:rFonts w:ascii="Comic Sans MS" w:hAnsi="Comic Sans MS" w:cs="Comic Sans MS"/>
          <w:b w:val="0"/>
          <w:i w:val="0"/>
          <w:color w:val="000000"/>
          <w:sz w:val="28"/>
        </w:rPr>
        <w:t>Minimum effective / minimum toxic concentration</w:t>
      </w:r>
    </w:p>
    <w:p>
      <w:pPr>
        <w:spacing w:after="160"/>
        <w:jc w:val="both"/>
      </w:pPr>
      <w:r>
        <w:rPr>
          <w:rFonts w:ascii="Comic Sans MS" w:hAnsi="Comic Sans MS" w:cs="Comic Sans MS"/>
          <w:b/>
          <w:i w:val="0"/>
          <w:color w:val="000000"/>
          <w:sz w:val="28"/>
        </w:rPr>
        <w:t xml:space="preserve">MSC – </w:t>
      </w:r>
      <w:r>
        <w:rPr>
          <w:rFonts w:ascii="Comic Sans MS" w:hAnsi="Comic Sans MS" w:cs="Comic Sans MS"/>
          <w:b w:val="0"/>
          <w:i w:val="0"/>
          <w:color w:val="000000"/>
          <w:sz w:val="28"/>
        </w:rPr>
        <w:t>Maximum safe concentration</w:t>
      </w:r>
    </w:p>
    <w:p>
      <w:pPr>
        <w:spacing w:after="160"/>
        <w:jc w:val="both"/>
      </w:pPr>
      <w:r>
        <w:rPr>
          <w:rFonts w:ascii="Comic Sans MS" w:hAnsi="Comic Sans MS" w:cs="Comic Sans MS"/>
          <w:b/>
          <w:i w:val="0"/>
          <w:color w:val="000000"/>
          <w:sz w:val="28"/>
        </w:rPr>
        <w:t xml:space="preserve">Cp,ss – </w:t>
      </w:r>
      <w:r>
        <w:rPr>
          <w:rFonts w:ascii="Comic Sans MS" w:hAnsi="Comic Sans MS" w:cs="Comic Sans MS"/>
          <w:b w:val="0"/>
          <w:i w:val="0"/>
          <w:color w:val="000000"/>
          <w:sz w:val="28"/>
        </w:rPr>
        <w:t>Steady-state plasma concentration</w:t>
      </w:r>
    </w:p>
    <w:p>
      <w:pPr>
        <w:spacing w:after="160"/>
        <w:jc w:val="both"/>
      </w:pPr>
      <w:r>
        <w:rPr>
          <w:rFonts w:ascii="Comic Sans MS" w:hAnsi="Comic Sans MS" w:cs="Comic Sans MS"/>
          <w:b/>
          <w:i w:val="0"/>
          <w:color w:val="000000"/>
          <w:sz w:val="28"/>
        </w:rPr>
        <w:t xml:space="preserve">Vd – </w:t>
      </w:r>
      <w:r>
        <w:rPr>
          <w:rFonts w:ascii="Comic Sans MS" w:hAnsi="Comic Sans MS" w:cs="Comic Sans MS"/>
          <w:b w:val="0"/>
          <w:i w:val="0"/>
          <w:color w:val="000000"/>
          <w:sz w:val="28"/>
        </w:rPr>
        <w:t>Volume of distribution</w:t>
      </w:r>
    </w:p>
    <w:p>
      <w:pPr>
        <w:spacing w:after="160"/>
        <w:jc w:val="both"/>
      </w:pPr>
      <w:r>
        <w:rPr>
          <w:rFonts w:ascii="Comic Sans MS" w:hAnsi="Comic Sans MS" w:cs="Comic Sans MS"/>
          <w:b/>
          <w:i w:val="0"/>
          <w:color w:val="000000"/>
          <w:sz w:val="28"/>
        </w:rPr>
        <w:t xml:space="preserve">kₑ – </w:t>
      </w:r>
      <w:r>
        <w:rPr>
          <w:rFonts w:ascii="Comic Sans MS" w:hAnsi="Comic Sans MS" w:cs="Comic Sans MS"/>
          <w:b w:val="0"/>
          <w:i w:val="0"/>
          <w:color w:val="000000"/>
          <w:sz w:val="28"/>
        </w:rPr>
        <w:t>Elimination rate constant</w:t>
      </w:r>
    </w:p>
    <w:p>
      <w:pPr>
        <w:spacing w:after="160"/>
        <w:jc w:val="both"/>
      </w:pPr>
      <w:r>
        <w:rPr>
          <w:rFonts w:ascii="Comic Sans MS" w:hAnsi="Comic Sans MS" w:cs="Comic Sans MS"/>
          <w:b/>
          <w:i w:val="0"/>
          <w:color w:val="000000"/>
          <w:sz w:val="28"/>
        </w:rPr>
        <w:t xml:space="preserve">t½ – </w:t>
      </w:r>
      <w:r>
        <w:rPr>
          <w:rFonts w:ascii="Comic Sans MS" w:hAnsi="Comic Sans MS" w:cs="Comic Sans MS"/>
          <w:b w:val="0"/>
          <w:i w:val="0"/>
          <w:color w:val="000000"/>
          <w:sz w:val="28"/>
        </w:rPr>
        <w:t>Biological half-life</w:t>
      </w:r>
    </w:p>
    <w:p>
      <w:pPr>
        <w:spacing w:after="160"/>
        <w:jc w:val="both"/>
      </w:pPr>
      <w:r>
        <w:rPr>
          <w:rFonts w:ascii="Comic Sans MS" w:hAnsi="Comic Sans MS" w:cs="Comic Sans MS"/>
          <w:b/>
          <w:i w:val="0"/>
          <w:color w:val="000000"/>
          <w:sz w:val="28"/>
        </w:rPr>
        <w:t xml:space="preserve">CL – </w:t>
      </w:r>
      <w:r>
        <w:rPr>
          <w:rFonts w:ascii="Comic Sans MS" w:hAnsi="Comic Sans MS" w:cs="Comic Sans MS"/>
          <w:b w:val="0"/>
          <w:i w:val="0"/>
          <w:color w:val="000000"/>
          <w:sz w:val="28"/>
        </w:rPr>
        <w:t>Total body clearance</w:t>
      </w:r>
    </w:p>
    <w:p>
      <w:pPr>
        <w:spacing w:after="160"/>
        <w:jc w:val="both"/>
      </w:pPr>
      <w:r>
        <w:rPr>
          <w:rFonts w:ascii="Comic Sans MS" w:hAnsi="Comic Sans MS" w:cs="Comic Sans MS"/>
          <w:b/>
          <w:i w:val="0"/>
          <w:color w:val="000000"/>
          <w:sz w:val="28"/>
        </w:rPr>
        <w:t xml:space="preserve">F – </w:t>
      </w:r>
      <w:r>
        <w:rPr>
          <w:rFonts w:ascii="Comic Sans MS" w:hAnsi="Comic Sans MS" w:cs="Comic Sans MS"/>
          <w:b w:val="0"/>
          <w:i w:val="0"/>
          <w:color w:val="000000"/>
          <w:sz w:val="28"/>
        </w:rPr>
        <w:t>Bioavailability</w:t>
      </w:r>
    </w:p>
    <w:p>
      <w:pPr>
        <w:spacing w:after="160"/>
        <w:jc w:val="both"/>
      </w:pPr>
      <w:r>
        <w:rPr>
          <w:rFonts w:ascii="Comic Sans MS" w:hAnsi="Comic Sans MS" w:cs="Comic Sans MS"/>
          <w:b/>
          <w:i w:val="0"/>
          <w:color w:val="000000"/>
          <w:sz w:val="28"/>
        </w:rPr>
        <w:t xml:space="preserve">IVIVC – </w:t>
      </w:r>
      <w:r>
        <w:rPr>
          <w:rFonts w:ascii="Comic Sans MS" w:hAnsi="Comic Sans MS" w:cs="Comic Sans MS"/>
          <w:b w:val="0"/>
          <w:i w:val="0"/>
          <w:color w:val="000000"/>
          <w:sz w:val="28"/>
        </w:rPr>
        <w:t>In-vitro / in-vivo correlation</w:t>
      </w:r>
    </w:p>
    <w:p>
      <w:pPr>
        <w:spacing w:after="160"/>
        <w:jc w:val="both"/>
      </w:pPr>
      <w:r>
        <w:rPr>
          <w:rFonts w:ascii="Comic Sans MS" w:hAnsi="Comic Sans MS" w:cs="Comic Sans MS"/>
          <w:b/>
          <w:i w:val="0"/>
          <w:color w:val="000000"/>
          <w:sz w:val="28"/>
        </w:rPr>
        <w:t xml:space="preserve">EOP / OROS – </w:t>
      </w:r>
      <w:r>
        <w:rPr>
          <w:rFonts w:ascii="Comic Sans MS" w:hAnsi="Comic Sans MS" w:cs="Comic Sans MS"/>
          <w:b w:val="0"/>
          <w:i w:val="0"/>
          <w:color w:val="000000"/>
          <w:sz w:val="28"/>
        </w:rPr>
        <w:t>Elementary osmotic pump / oral osmotic system</w:t>
      </w:r>
    </w:p>
    <w:p>
      <w:pPr>
        <w:spacing w:after="160"/>
        <w:jc w:val="both"/>
      </w:pPr>
      <w:r>
        <w:rPr>
          <w:rFonts w:ascii="Comic Sans MS" w:hAnsi="Comic Sans MS" w:cs="Comic Sans MS"/>
          <w:b/>
          <w:i w:val="0"/>
          <w:color w:val="000000"/>
          <w:sz w:val="28"/>
        </w:rPr>
        <w:t xml:space="preserve">GRDDS – </w:t>
      </w:r>
      <w:r>
        <w:rPr>
          <w:rFonts w:ascii="Comic Sans MS" w:hAnsi="Comic Sans MS" w:cs="Comic Sans MS"/>
          <w:b w:val="0"/>
          <w:i w:val="0"/>
          <w:color w:val="000000"/>
          <w:sz w:val="28"/>
        </w:rPr>
        <w:t>Gastro-retentive drug delivery system</w:t>
      </w:r>
    </w:p>
    <w:p>
      <w:pPr>
        <w:spacing w:after="160"/>
        <w:jc w:val="both"/>
      </w:pPr>
      <w:r>
        <w:rPr>
          <w:rFonts w:ascii="Comic Sans MS" w:hAnsi="Comic Sans MS" w:cs="Comic Sans MS"/>
          <w:b/>
          <w:i w:val="0"/>
          <w:color w:val="000000"/>
          <w:sz w:val="28"/>
        </w:rPr>
        <w:t xml:space="preserve">TDDS – </w:t>
      </w:r>
      <w:r>
        <w:rPr>
          <w:rFonts w:ascii="Comic Sans MS" w:hAnsi="Comic Sans MS" w:cs="Comic Sans MS"/>
          <w:b w:val="0"/>
          <w:i w:val="0"/>
          <w:color w:val="000000"/>
          <w:sz w:val="28"/>
        </w:rPr>
        <w:t>Transdermal drug delivery system</w:t>
      </w:r>
    </w:p>
    <w:p>
      <w:pPr>
        <w:spacing w:after="160"/>
        <w:jc w:val="both"/>
      </w:pPr>
      <w:r>
        <w:rPr>
          <w:rFonts w:ascii="Comic Sans MS" w:hAnsi="Comic Sans MS" w:cs="Comic Sans MS"/>
          <w:b/>
          <w:i w:val="0"/>
          <w:color w:val="000000"/>
          <w:sz w:val="28"/>
        </w:rPr>
        <w:t xml:space="preserve">PSA – </w:t>
      </w:r>
      <w:r>
        <w:rPr>
          <w:rFonts w:ascii="Comic Sans MS" w:hAnsi="Comic Sans MS" w:cs="Comic Sans MS"/>
          <w:b w:val="0"/>
          <w:i w:val="0"/>
          <w:color w:val="000000"/>
          <w:sz w:val="28"/>
        </w:rPr>
        <w:t>Pressure-sensitive adhesive</w:t>
      </w:r>
    </w:p>
    <w:p>
      <w:pPr>
        <w:spacing w:after="160"/>
        <w:jc w:val="both"/>
      </w:pPr>
      <w:r>
        <w:rPr>
          <w:rFonts w:ascii="Comic Sans MS" w:hAnsi="Comic Sans MS" w:cs="Comic Sans MS"/>
          <w:b/>
          <w:i w:val="0"/>
          <w:color w:val="000000"/>
          <w:sz w:val="28"/>
        </w:rPr>
        <w:t xml:space="preserve">EVA – </w:t>
      </w:r>
      <w:r>
        <w:rPr>
          <w:rFonts w:ascii="Comic Sans MS" w:hAnsi="Comic Sans MS" w:cs="Comic Sans MS"/>
          <w:b w:val="0"/>
          <w:i w:val="0"/>
          <w:color w:val="000000"/>
          <w:sz w:val="28"/>
        </w:rPr>
        <w:t>Ethylene-vinyl acetate</w:t>
      </w:r>
    </w:p>
    <w:p>
      <w:pPr>
        <w:spacing w:after="160"/>
        <w:jc w:val="both"/>
      </w:pPr>
      <w:r>
        <w:rPr>
          <w:rFonts w:ascii="Comic Sans MS" w:hAnsi="Comic Sans MS" w:cs="Comic Sans MS"/>
          <w:b/>
          <w:i w:val="0"/>
          <w:color w:val="000000"/>
          <w:sz w:val="28"/>
        </w:rPr>
        <w:t xml:space="preserve">PLA / PGA / PLGA – </w:t>
      </w:r>
      <w:r>
        <w:rPr>
          <w:rFonts w:ascii="Comic Sans MS" w:hAnsi="Comic Sans MS" w:cs="Comic Sans MS"/>
          <w:b w:val="0"/>
          <w:i w:val="0"/>
          <w:color w:val="000000"/>
          <w:sz w:val="28"/>
        </w:rPr>
        <w:t>Poly(lactic), poly(glycolic), poly(lactic-co-glycolic) acid</w:t>
      </w:r>
    </w:p>
    <w:p>
      <w:pPr>
        <w:spacing w:after="160"/>
        <w:jc w:val="both"/>
      </w:pPr>
      <w:r>
        <w:rPr>
          <w:rFonts w:ascii="Comic Sans MS" w:hAnsi="Comic Sans MS" w:cs="Comic Sans MS"/>
          <w:b/>
          <w:i w:val="0"/>
          <w:color w:val="000000"/>
          <w:sz w:val="28"/>
        </w:rPr>
        <w:t xml:space="preserve">PDMS – </w:t>
      </w:r>
      <w:r>
        <w:rPr>
          <w:rFonts w:ascii="Comic Sans MS" w:hAnsi="Comic Sans MS" w:cs="Comic Sans MS"/>
          <w:b w:val="0"/>
          <w:i w:val="0"/>
          <w:color w:val="000000"/>
          <w:sz w:val="28"/>
        </w:rPr>
        <w:t>Polydimethylsiloxane (silicone)</w:t>
      </w:r>
    </w:p>
    <w:p>
      <w:pPr>
        <w:spacing w:after="160"/>
        <w:jc w:val="both"/>
      </w:pPr>
      <w:r>
        <w:rPr>
          <w:rFonts w:ascii="Comic Sans MS" w:hAnsi="Comic Sans MS" w:cs="Comic Sans MS"/>
          <w:b/>
          <w:i w:val="0"/>
          <w:color w:val="000000"/>
          <w:sz w:val="28"/>
        </w:rPr>
        <w:t xml:space="preserve">CAP / HPMCP – </w:t>
      </w:r>
      <w:r>
        <w:rPr>
          <w:rFonts w:ascii="Comic Sans MS" w:hAnsi="Comic Sans MS" w:cs="Comic Sans MS"/>
          <w:b w:val="0"/>
          <w:i w:val="0"/>
          <w:color w:val="000000"/>
          <w:sz w:val="28"/>
        </w:rPr>
        <w:t>Cellulose acetate phthalate / HPMC phthalate</w:t>
      </w:r>
    </w:p>
    <w:p>
      <w:pPr>
        <w:spacing w:after="160"/>
        <w:jc w:val="both"/>
      </w:pPr>
      <w:r>
        <w:rPr>
          <w:rFonts w:ascii="Comic Sans MS" w:hAnsi="Comic Sans MS" w:cs="Comic Sans MS"/>
          <w:b/>
          <w:i w:val="0"/>
          <w:color w:val="000000"/>
          <w:sz w:val="28"/>
        </w:rPr>
        <w:t xml:space="preserve">IUD / IUS – </w:t>
      </w:r>
      <w:r>
        <w:rPr>
          <w:rFonts w:ascii="Comic Sans MS" w:hAnsi="Comic Sans MS" w:cs="Comic Sans MS"/>
          <w:b w:val="0"/>
          <w:i w:val="0"/>
          <w:color w:val="000000"/>
          <w:sz w:val="28"/>
        </w:rPr>
        <w:t>Intra-uterine device / system</w:t>
      </w:r>
    </w:p>
    <w:p>
      <w:pPr>
        <w:spacing w:after="160"/>
        <w:jc w:val="both"/>
      </w:pPr>
      <w:r>
        <w:rPr>
          <w:rFonts w:ascii="Comic Sans MS" w:hAnsi="Comic Sans MS" w:cs="Comic Sans MS"/>
          <w:b/>
          <w:i w:val="0"/>
          <w:color w:val="000000"/>
          <w:sz w:val="28"/>
        </w:rPr>
        <w:t xml:space="preserve">Jss – </w:t>
      </w:r>
      <w:r>
        <w:rPr>
          <w:rFonts w:ascii="Comic Sans MS" w:hAnsi="Comic Sans MS" w:cs="Comic Sans MS"/>
          <w:b w:val="0"/>
          <w:i w:val="0"/>
          <w:color w:val="000000"/>
          <w:sz w:val="28"/>
        </w:rPr>
        <w:t>Steady-state flux</w:t>
      </w:r>
    </w:p>
    <w:p>
      <w:pPr>
        <w:spacing w:after="160"/>
        <w:jc w:val="both"/>
      </w:pPr>
      <w:r>
        <w:rPr>
          <w:rFonts w:ascii="Comic Sans MS" w:hAnsi="Comic Sans MS" w:cs="Comic Sans MS"/>
          <w:b/>
          <w:i w:val="0"/>
          <w:color w:val="000000"/>
          <w:sz w:val="28"/>
        </w:rPr>
        <w:t xml:space="preserve">SNP – </w:t>
      </w:r>
      <w:r>
        <w:rPr>
          <w:rFonts w:ascii="Comic Sans MS" w:hAnsi="Comic Sans MS" w:cs="Comic Sans MS"/>
          <w:b w:val="0"/>
          <w:i w:val="0"/>
          <w:color w:val="000000"/>
          <w:sz w:val="28"/>
        </w:rPr>
        <w:t>Single-nucleotide polymorphism</w:t>
      </w:r>
    </w:p>
    <w:p>
      <w:pPr>
        <w:spacing w:after="160"/>
        <w:jc w:val="both"/>
      </w:pPr>
      <w:r>
        <w:rPr>
          <w:rFonts w:ascii="Comic Sans MS" w:hAnsi="Comic Sans MS" w:cs="Comic Sans MS"/>
          <w:b/>
          <w:i w:val="0"/>
          <w:color w:val="000000"/>
          <w:sz w:val="28"/>
        </w:rPr>
        <w:t xml:space="preserve">PM / IM / EM / UM – </w:t>
      </w:r>
      <w:r>
        <w:rPr>
          <w:rFonts w:ascii="Comic Sans MS" w:hAnsi="Comic Sans MS" w:cs="Comic Sans MS"/>
          <w:b w:val="0"/>
          <w:i w:val="0"/>
          <w:color w:val="000000"/>
          <w:sz w:val="28"/>
        </w:rPr>
        <w:t>Poor / intermediate / extensive / ultra-rapid metabolizer</w:t>
      </w:r>
    </w:p>
    <w:p>
      <w:pPr>
        <w:spacing w:after="160"/>
        <w:jc w:val="both"/>
      </w:pPr>
      <w:r>
        <w:rPr>
          <w:rFonts w:ascii="Comic Sans MS" w:hAnsi="Comic Sans MS" w:cs="Comic Sans MS"/>
          <w:b/>
          <w:i w:val="0"/>
          <w:color w:val="000000"/>
          <w:sz w:val="28"/>
        </w:rPr>
        <w:t xml:space="preserve">CYP – </w:t>
      </w:r>
      <w:r>
        <w:rPr>
          <w:rFonts w:ascii="Comic Sans MS" w:hAnsi="Comic Sans MS" w:cs="Comic Sans MS"/>
          <w:b w:val="0"/>
          <w:i w:val="0"/>
          <w:color w:val="000000"/>
          <w:sz w:val="28"/>
        </w:rPr>
        <w:t>Cytochrome P450</w:t>
      </w:r>
    </w:p>
    <w:p>
      <w:pPr>
        <w:spacing w:after="160"/>
        <w:jc w:val="both"/>
      </w:pPr>
      <w:r>
        <w:rPr>
          <w:rFonts w:ascii="Comic Sans MS" w:hAnsi="Comic Sans MS" w:cs="Comic Sans MS"/>
          <w:b/>
          <w:i w:val="0"/>
          <w:color w:val="000000"/>
          <w:sz w:val="28"/>
        </w:rPr>
        <w:t xml:space="preserve">TPMT – </w:t>
      </w:r>
      <w:r>
        <w:rPr>
          <w:rFonts w:ascii="Comic Sans MS" w:hAnsi="Comic Sans MS" w:cs="Comic Sans MS"/>
          <w:b w:val="0"/>
          <w:i w:val="0"/>
          <w:color w:val="000000"/>
          <w:sz w:val="28"/>
        </w:rPr>
        <w:t>Thiopurine methyltransferase</w:t>
      </w:r>
    </w:p>
    <w:p>
      <w:pPr>
        <w:spacing w:after="160"/>
        <w:jc w:val="both"/>
      </w:pPr>
      <w:r>
        <w:rPr>
          <w:rFonts w:ascii="Comic Sans MS" w:hAnsi="Comic Sans MS" w:cs="Comic Sans MS"/>
          <w:b/>
          <w:i w:val="0"/>
          <w:color w:val="000000"/>
          <w:sz w:val="28"/>
        </w:rPr>
        <w:t xml:space="preserve">FDM / SLA / SSE – </w:t>
      </w:r>
      <w:r>
        <w:rPr>
          <w:rFonts w:ascii="Comic Sans MS" w:hAnsi="Comic Sans MS" w:cs="Comic Sans MS"/>
          <w:b w:val="0"/>
          <w:i w:val="0"/>
          <w:color w:val="000000"/>
          <w:sz w:val="28"/>
        </w:rPr>
        <w:t>Fused deposition modelling / stereolithography / semi-solid extrusion</w:t>
      </w:r>
    </w:p>
    <w:p>
      <w:pPr>
        <w:spacing w:after="160"/>
        <w:jc w:val="both"/>
      </w:pPr>
      <w:r>
        <w:rPr>
          <w:rFonts w:ascii="Comic Sans MS" w:hAnsi="Comic Sans MS" w:cs="Comic Sans MS"/>
          <w:b/>
          <w:i w:val="0"/>
          <w:color w:val="000000"/>
          <w:sz w:val="28"/>
        </w:rPr>
        <w:t xml:space="preserve">ICH – </w:t>
      </w:r>
      <w:r>
        <w:rPr>
          <w:rFonts w:ascii="Comic Sans MS" w:hAnsi="Comic Sans MS" w:cs="Comic Sans MS"/>
          <w:b w:val="0"/>
          <w:i w:val="0"/>
          <w:color w:val="000000"/>
          <w:sz w:val="28"/>
        </w:rPr>
        <w:t>International Council for Harmonisation</w:t>
      </w:r>
    </w:p>
    <w:p>
      <w:pPr>
        <w:spacing w:after="160"/>
        <w:jc w:val="both"/>
      </w:pPr>
      <w:r>
        <w:rPr>
          <w:rFonts w:ascii="Comic Sans MS" w:hAnsi="Comic Sans MS" w:cs="Comic Sans MS"/>
          <w:b/>
          <w:i w:val="0"/>
          <w:color w:val="000000"/>
          <w:sz w:val="28"/>
        </w:rPr>
        <w:t xml:space="preserve">SEM – </w:t>
      </w:r>
      <w:r>
        <w:rPr>
          <w:rFonts w:ascii="Comic Sans MS" w:hAnsi="Comic Sans MS" w:cs="Comic Sans MS"/>
          <w:b w:val="0"/>
          <w:i w:val="0"/>
          <w:color w:val="000000"/>
          <w:sz w:val="28"/>
        </w:rPr>
        <w:t>Scanning electron microscopy</w:t>
      </w:r>
    </w:p>
    <w:p>
      <w:r>
        <w:br w:type="page"/>
      </w:r>
    </w:p>
    <w:p>
      <w:pPr>
        <w:spacing w:before="80" w:after="240" w:line="276" w:lineRule="auto"/>
        <w:jc w:val="center"/>
        <w:pBdr>
          <w:bottom w:val="single" w:sz="12" w:space="4" w:color="5B1A38"/>
        </w:pBdr>
        <w:keepNext/>
      </w:pPr>
      <w:r>
        <w:rPr>
          <w:rFonts w:ascii="Comic Sans MS" w:hAnsi="Comic Sans MS" w:cs="Comic Sans MS"/>
          <w:b/>
          <w:color w:val="FF0000"/>
          <w:sz w:val="40"/>
        </w:rPr>
        <w:t>Quick Revision</w:t>
      </w:r>
    </w:p>
    <w:p>
      <w:pPr>
        <w:spacing w:before="200" w:after="100" w:line="276" w:lineRule="auto"/>
        <w:keepNext/>
      </w:pPr>
      <w:r>
        <w:rPr>
          <w:rFonts w:ascii="Comic Sans MS" w:hAnsi="Comic Sans MS" w:cs="Comic Sans MS"/>
          <w:b/>
          <w:color w:val="FF0000"/>
          <w:sz w:val="32"/>
        </w:rPr>
        <w:t>Unit I – SR / CR Formulations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SR prolongs action (rate declines); CR maintains a constant level (zero-order).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Ideal drug : MW &lt; 500, t½ 2–8 h, dose &lt; 0.5 g, moderate solubility, wide therapeutic index, uniform GI absorption.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Total dose W = D₀ (loading) + Dₘ (maintenance); Kᵣ₀ = Cₚ × kₑ × Vd.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Advantages : compliance, less fluctuation, lower dose; disadvantage : dose dumping, cost, hard to reverse.</w:t>
      </w:r>
    </w:p>
    <w:p>
      <w:pPr>
        <w:spacing w:before="200" w:after="100" w:line="276" w:lineRule="auto"/>
        <w:keepNext/>
      </w:pPr>
      <w:r>
        <w:rPr>
          <w:rFonts w:ascii="Comic Sans MS" w:hAnsi="Comic Sans MS" w:cs="Comic Sans MS"/>
          <w:b/>
          <w:color w:val="FF0000"/>
          <w:sz w:val="32"/>
        </w:rPr>
        <w:t>Unit II – Oral SR Mechanisms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Diffusion : reservoir (zero-order, Fick) &amp; matrix (Higuchi, √t).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Dissolution : coated beads / slowly-dissolving matrix (Noyes–Whitney).</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Osmotic : EOP / push-pull – zero-order, pH &amp; motility independent.</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Ion-exchange : drug–resinate released by GI counter-ions.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Bioerodible : bulk vs surface erosion; mucoadhesive : prolongs residence via interpenetration.</w:t>
      </w:r>
    </w:p>
    <w:p>
      <w:pPr>
        <w:spacing w:before="200" w:after="100" w:line="276" w:lineRule="auto"/>
        <w:keepNext/>
      </w:pPr>
      <w:r>
        <w:rPr>
          <w:rFonts w:ascii="Comic Sans MS" w:hAnsi="Comic Sans MS" w:cs="Comic Sans MS"/>
          <w:b/>
          <w:color w:val="FF0000"/>
          <w:sz w:val="32"/>
        </w:rPr>
        <w:t>Unit III – Microencapsulation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Size 1–1000 µm; core + wall; types – mononuclear, polynuclear, matrix.</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Objectives : SR, taste masking, stability, liquid→solid, separate incompatibles.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Methods : coacervation (simple / complex), spray drying, Wurster / pan coating, solvent evaporation.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 Encapsulation efficiency = actual/theoretical × 100; release fitted to kinetic models.</w:t>
      </w:r>
    </w:p>
    <w:p>
      <w:pPr>
        <w:spacing w:before="200" w:after="100" w:line="276" w:lineRule="auto"/>
        <w:keepNext/>
      </w:pPr>
      <w:r>
        <w:rPr>
          <w:rFonts w:ascii="Comic Sans MS" w:hAnsi="Comic Sans MS" w:cs="Comic Sans MS"/>
          <w:b/>
          <w:color w:val="FF0000"/>
          <w:sz w:val="32"/>
        </w:rPr>
        <w:t>Unit IV – Implants &amp; Inserts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Implant – s.c./i.m.; insert – eye/vagina/uterus.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Host→implant : injury → inflammation → giant cells → fibrous capsule. Implant→host : degradation / corrosion.</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Subcutaneous : Norplant, Implanon; i.m. depot : Lupron, Zoladex.</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Ocular : Ocusert (pilocarpine, EVA, 7 days); vaginal : NuvaRing; uterine : Mirena, Progestasert.</w:t>
      </w:r>
    </w:p>
    <w:p>
      <w:pPr>
        <w:spacing w:before="200" w:after="100" w:line="276" w:lineRule="auto"/>
        <w:keepNext/>
      </w:pPr>
      <w:r>
        <w:rPr>
          <w:rFonts w:ascii="Comic Sans MS" w:hAnsi="Comic Sans MS" w:cs="Comic Sans MS"/>
          <w:b/>
          <w:color w:val="FF0000"/>
          <w:sz w:val="32"/>
        </w:rPr>
        <w:t>Unit V – Transdermal DDS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Barrier = stratum corneum ('brick &amp; mortar'); routes – transcellular, intercellular (main), appendageal.</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Jss = D·K·ΔC/h = P·ΔC; lag time tₗ = h²/6D.</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Patch types : reservoir, matrix, drug-in-adhesive, micro-reservoir.</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Enhancement : chemical enhancers, iontophoresis (charged drugs), sonophoresis (ultrasound), microneedles.</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Ideal drug : MW &lt; 500, log P 1–3, potent (&lt; ~20 mg/day), non-irritant.</w:t>
      </w:r>
    </w:p>
    <w:p>
      <w:pPr>
        <w:spacing w:before="200" w:after="100" w:line="276" w:lineRule="auto"/>
        <w:keepNext/>
      </w:pPr>
      <w:r>
        <w:rPr>
          <w:rFonts w:ascii="Comic Sans MS" w:hAnsi="Comic Sans MS" w:cs="Comic Sans MS"/>
          <w:b/>
          <w:color w:val="FF0000"/>
          <w:sz w:val="32"/>
        </w:rPr>
        <w:t>Unit VI – Personalized Medicine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Right drug, right dose, right patient, right time – based on genetic / molecular profile.</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Pharmacogenetics (one gene) vs pharmacogenomics (whole genome); phenotypes PM/IM/EM/UM.</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Examples : warfarin (CYP2C9/VKORC1), codeine (CYP2D6), abacavir (HLA-B*57:01), trastuzumab (HER2).</w:t>
      </w:r>
    </w:p>
    <w:p>
      <w:pPr>
        <w:spacing w:after="80"/>
        <w:ind w:left="576" w:hanging="403"/>
        <w:jc w:val="both"/>
      </w:pPr>
      <w:r>
        <w:rPr>
          <w:rFonts w:ascii="Wingdings" w:hAnsi="Wingdings" w:cs="Wingdings"/>
          <w:color w:val="000000"/>
          <w:sz w:val="24"/>
        </w:rPr>
        <w:t></w:t>
      </w:r>
      <w:r>
        <w:rPr>
          <w:rFonts w:ascii="Comic Sans MS" w:hAnsi="Comic Sans MS" w:cs="Comic Sans MS"/>
          <w:sz w:val="28"/>
        </w:rPr>
        <w:t xml:space="preserve">  </w:t>
      </w:r>
      <w:r>
        <w:rPr>
          <w:rFonts w:ascii="Comic Sans MS" w:hAnsi="Comic Sans MS" w:cs="Comic Sans MS"/>
          <w:color w:val="000000"/>
          <w:sz w:val="28"/>
        </w:rPr>
        <w:t>Customized DDS, bioelectronic medicine (electroceuticals), 3D printing (Spritam®), telepharmacy.</w:t>
      </w:r>
    </w:p>
    <w:tbl>
      <w:tblPr>
        <w:tblW w:type="auto" w:w="0"/>
        <w:jc w:val="center"/>
        <w:tblLook w:firstColumn="1" w:firstRow="1" w:lastColumn="0" w:lastRow="0" w:noHBand="0" w:noVBand="1" w:val="04A0"/>
      </w:tblPr>
      <w:tblGrid>
        <w:gridCol w:w="9360"/>
      </w:tblGrid>
      <w:tr>
        <w:tc>
          <w:tcPr>
            <w:tcW w:type="dxa" w:w="9216"/>
            <w:shd w:val="clear" w:color="auto" w:fill="FFF3D6"/>
            <w:tcBorders>
              <w:top w:val="single" w:sz="6" w:space="0" w:color="E0A800"/>
              <w:bottom w:val="single" w:sz="6" w:space="0" w:color="E0A800"/>
              <w:start w:val="single" w:sz="24" w:space="0" w:color="E0A800"/>
              <w:end w:val="single" w:sz="6" w:space="0" w:color="E0A800"/>
            </w:tcBorders>
            <w:tcMar>
              <w:top w:w="90" w:type="dxa"/>
              <w:bottom w:w="90" w:type="dxa"/>
              <w:start w:w="160" w:type="dxa"/>
              <w:end w:w="140" w:type="dxa"/>
            </w:tcMar>
          </w:tcPr>
          <w:p>
            <w:pPr>
              <w:spacing w:after="60" w:line="288" w:lineRule="auto"/>
            </w:pPr>
            <w:r>
              <w:rPr>
                <w:rFonts w:ascii="Comic Sans MS" w:hAnsi="Comic Sans MS" w:cs="Comic Sans MS"/>
                <w:b/>
                <w:color w:val="CC0000"/>
                <w:sz w:val="26"/>
              </w:rPr>
              <w:t>★ Final tip</w:t>
            </w:r>
          </w:p>
          <w:p>
            <w:pPr>
              <w:spacing w:after="40" w:line="300" w:lineRule="auto"/>
              <w:ind w:left="288" w:hanging="259"/>
            </w:pPr>
            <w:r>
              <w:rPr>
                <w:rFonts w:ascii="Arial" w:hAnsi="Arial" w:cs="Arial"/>
                <w:sz w:val="22"/>
              </w:rPr>
              <w:t xml:space="preserve">•  </w:t>
            </w:r>
            <w:r>
              <w:rPr>
                <w:rFonts w:ascii="Comic Sans MS" w:hAnsi="Comic Sans MS" w:cs="Comic Sans MS"/>
                <w:color w:val="000000"/>
                <w:sz w:val="28"/>
              </w:rPr>
              <w:t>For the theory paper, always support answers with a labelled diagram, a definition, a classification and named examples – these earn the most marks.</w:t>
            </w:r>
          </w:p>
        </w:tc>
      </w:tr>
    </w:tbl>
    <w:p>
      <w:pPr>
        <w:spacing w:after="40"/>
      </w:pPr>
    </w:p>
    <w:sectPr w:rsidR="00FC693F" w:rsidRPr="0006063C" w:rsidSect="00034616">
      <w:headerReference w:type="default" r:id="rId9"/>
      <w:footerReference w:type="default" r:id="rId10"/>
      <w:pgSz w:w="12240" w:h="15840"/>
      <w:pgMar w:top="1296"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0" w:space="1" w:color="823B0A"/>
      </w:pBdr>
      <w:tabs>
        <w:tab w:pos="9360" w:val="right"/>
      </w:tabs>
      <w:spacing w:before="40" w:after="0" w:line="240" w:lineRule="auto"/>
    </w:pPr>
    <w:r>
      <w:rPr>
        <w:rFonts w:ascii="Comic Sans MS" w:hAnsi="Comic Sans MS" w:cs="Comic Sans MS"/>
        <w:sz w:val="18"/>
      </w:rPr>
      <w:t xml:space="preserve">For More Notes - Visit </w:t>
    </w:r>
    <w:r>
      <w:rPr>
        <w:rFonts w:ascii="Comic Sans MS" w:hAnsi="Comic Sans MS" w:cs="Comic Sans MS"/>
        <w:color w:val="0563C1"/>
        <w:sz w:val="18"/>
        <w:u w:val="single"/>
      </w:rPr>
      <w:t>www.carewellpharmacy.in</w:t>
    </w:r>
    <w:r>
      <w:rPr>
        <w:rFonts w:ascii="Comic Sans MS" w:hAnsi="Comic Sans MS" w:cs="Comic Sans MS"/>
        <w:sz w:val="18"/>
      </w:rPr>
      <w:tab/>
      <w:t xml:space="preserve">Page </w:t>
    </w:r>
    <w:r>
      <w:rPr>
        <w:rFonts w:ascii="Comic Sans MS" w:hAnsi="Comic Sans MS" w:cs="Comic Sans MS"/>
        <w:sz w:val="18"/>
      </w:rPr>
      <w:fldChar w:fldCharType="begin"/>
      <w:instrText xml:space="preserve">PAGE</w:instrText>
      <w:fldChar w:fldCharType="end"/>
    </w:r>
  </w:p>
  <w:p>
    <w:pPr>
      <w:spacing w:before="40" w:after="0" w:line="240" w:lineRule="auto"/>
    </w:pPr>
    <w:r>
      <w:rPr>
        <w:rFonts w:ascii="Arial" w:hAnsi="Arial" w:cs="Arial"/>
        <w:b/>
        <w:color w:val="CC0000"/>
        <w:sz w:val="26"/>
      </w:rPr>
      <w:t>Buy Courses From Telegram Id = @M_Pharmacy_OwnerBot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auto"/>
      <w:jc w:val="center"/>
      <w:pBdr>
        <w:bottom w:val="single" w:sz="20" w:space="1" w:color="823B0A"/>
      </w:pBdr>
    </w:pPr>
    <w:r>
      <w:rPr>
        <w:rFonts w:ascii="Comic Sans MS" w:hAnsi="Comic Sans MS" w:cs="Comic Sans MS"/>
        <w:b/>
        <w:color w:val="000000"/>
        <w:sz w:val="28"/>
      </w:rPr>
      <w:t>CAREWELL PHARMACY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60"/>
    </w:pPr>
    <w:rPr>
      <w:rFonts w:ascii="Comic Sans MS" w:hAnsi="Comic Sans MS" w:cs="Comic Sans MS"/>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