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4"/>
        </w:rPr>
        <w:t>CHAPTER ABSTRACT</w:t>
      </w:r>
    </w:p>
    <w:p>
      <w:pPr>
        <w:spacing w:after="120"/>
        <w:jc w:val="center"/>
      </w:pPr>
      <w:r>
        <w:rPr>
          <w:rFonts w:ascii="Times New Roman" w:hAnsi="Times New Roman"/>
          <w:b/>
          <w:sz w:val="24"/>
        </w:rPr>
        <w:t>Chapter 10: Medical and Surgical Management</w:t>
      </w:r>
    </w:p>
    <w:p>
      <w:pPr>
        <w:spacing w:after="160"/>
        <w:jc w:val="center"/>
      </w:pPr>
      <w:r>
        <w:rPr>
          <w:rFonts w:ascii="Times New Roman" w:hAnsi="Times New Roman"/>
          <w:b/>
          <w:sz w:val="28"/>
        </w:rPr>
        <w:t>Medical and Surgical Management of Recurrent Pregnancy Loss: From Etiology to Individualized Care</w:t>
      </w:r>
    </w:p>
    <w:tbl>
      <w:tblPr>
        <w:tblW w:type="auto" w:w="0"/>
        <w:tblLayout w:type="fixed"/>
        <w:tblLook w:firstColumn="1" w:firstRow="1" w:lastColumn="0" w:lastRow="0" w:noHBand="0" w:noVBand="1" w:val="04A0"/>
      </w:tblPr>
      <w:tblGrid>
        <w:gridCol w:w="2088"/>
        <w:gridCol w:w="7848"/>
      </w:tblGrid>
      <w:tr>
        <w:tc>
          <w:tcPr>
            <w:tcW w:type="dxa" w:w="208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b/>
                <w:sz w:val="22"/>
              </w:rPr>
              <w:t>Contributor:</w:t>
            </w:r>
          </w:p>
        </w:tc>
        <w:tc>
          <w:tcPr>
            <w:tcW w:type="dxa" w:w="784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sz w:val="22"/>
              </w:rPr>
              <w:t>[Enter full name]</w:t>
            </w:r>
          </w:p>
        </w:tc>
      </w:tr>
      <w:tr>
        <w:tc>
          <w:tcPr>
            <w:tcW w:type="dxa" w:w="208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b/>
                <w:sz w:val="22"/>
              </w:rPr>
              <w:t>Affiliation:</w:t>
            </w:r>
          </w:p>
        </w:tc>
        <w:tc>
          <w:tcPr>
            <w:tcW w:type="dxa" w:w="784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sz w:val="22"/>
              </w:rPr>
              <w:t>[Enter department, institution, city, and country]</w:t>
            </w:r>
          </w:p>
        </w:tc>
      </w:tr>
      <w:tr>
        <w:tc>
          <w:tcPr>
            <w:tcW w:type="dxa" w:w="208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b/>
                <w:sz w:val="22"/>
              </w:rPr>
              <w:t>Email:</w:t>
            </w:r>
          </w:p>
        </w:tc>
        <w:tc>
          <w:tcPr>
            <w:tcW w:type="dxa" w:w="7848"/>
            <w:tcMar>
              <w:top w:w="80" w:type="dxa"/>
              <w:start w:w="100" w:type="dxa"/>
              <w:bottom w:w="80" w:type="dxa"/>
              <w:end w:w="100" w:type="dxa"/>
            </w:tcMar>
            <w:tcBorders>
              <w:top w:val="nil"/>
              <w:left w:val="nil"/>
              <w:bottom w:val="nil"/>
              <w:right w:val="nil"/>
              <w:insideH w:val="nil"/>
              <w:insideV w:val="nil"/>
            </w:tcBorders>
          </w:tcPr>
          <w:p>
            <w:pPr>
              <w:spacing w:after="0"/>
            </w:pPr>
            <w:r>
              <w:rPr>
                <w:rFonts w:ascii="Times New Roman" w:hAnsi="Times New Roman"/>
                <w:sz w:val="22"/>
              </w:rPr>
              <w:t>[Enter email address]</w:t>
            </w:r>
          </w:p>
        </w:tc>
      </w:tr>
    </w:tbl>
    <w:p>
      <w:pPr>
        <w:spacing w:before="160" w:after="100"/>
        <w:jc w:val="center"/>
      </w:pPr>
      <w:r>
        <w:rPr>
          <w:rFonts w:ascii="Times New Roman" w:hAnsi="Times New Roman"/>
          <w:b/>
          <w:sz w:val="24"/>
        </w:rPr>
        <w:t>ABSTRACT</w:t>
      </w:r>
    </w:p>
    <w:p>
      <w:pPr>
        <w:spacing w:line="276" w:lineRule="auto" w:after="100"/>
        <w:ind w:firstLine="360"/>
        <w:jc w:val="both"/>
      </w:pPr>
      <w:r>
        <w:t>Recurrent pregnancy loss (RPL) presents a therapeutic challenge because comparable clinical histories may arise from different endocrine, thrombotic, anatomical, immune, or cervical factors. Management should therefore be guided by etiological assessment rather than the empirical combination of multiple treatments. This chapter will critically examine the medical and surgical options used in RPL and translate the available evidence into a practical, patient-centred pathway. Medical management will encompass the selective use of progesterone, correction of thyroid, glycaemic, and other endocrine disturbances, and antithrombotic treatment for women with confirmed antiphospholipid syndrome. The uncertain benefit of aspirin or heparin outside established indications will be highlighted. Immunomodulatory approaches, including corticosteroids, intravenous immunoglobulin, intralipid infusions, and emerging immune-directed strategies, will be appraised in relation to efficacy, safety, evidence quality, and the need for specialist supervision.</w:t>
      </w:r>
    </w:p>
    <w:p>
      <w:pPr>
        <w:spacing w:line="276" w:lineRule="auto" w:after="100"/>
        <w:ind w:firstLine="360"/>
        <w:jc w:val="both"/>
      </w:pPr>
      <w:r>
        <w:t>The surgical section will consider whether an identified lesion is clinically relevant to pregnancy loss before an intervention is recommended. Hysteroscopic management of a septate uterus, intrauterine adhesions, cavity-distorting fibroids, and endometrial polyps will be discussed alongside procedural limitations and potential complications. Cervical cerclage will be reviewed according to obstetric history, ultrasound findings, and examination-based indications, with attention to timing, follow-up, and associated risks.</w:t>
      </w:r>
    </w:p>
    <w:p>
      <w:pPr>
        <w:spacing w:line="276" w:lineRule="auto" w:after="140"/>
        <w:ind w:firstLine="360"/>
        <w:jc w:val="both"/>
      </w:pPr>
      <w:r>
        <w:t>Particular emphasis will be placed on the principle that unexplained RPL does not justify indiscriminate therapy. Clinical history, imaging, laboratory assessment, and the pattern of previous losses will be integrated to distinguish treatable conditions from uncertain therapeutic targets. A concise management algorithm will connect medical treatment, surgery, preconception optimization, counselling, and early-pregnancy surveillance. This balanced approach aims to limit unnecessary intervention while enabling transparent, evidence-informed decisions that reflect each patient’s clinical circumstances and reproductive priorities.</w:t>
      </w:r>
    </w:p>
    <w:p>
      <w:pPr>
        <w:spacing w:before="40" w:after="0"/>
        <w:jc w:val="both"/>
      </w:pPr>
      <w:r>
        <w:rPr>
          <w:b/>
        </w:rPr>
        <w:t xml:space="preserve">Keywords: </w:t>
      </w:r>
      <w:r>
        <w:t>Recurrent pregnancy loss; recurrent miscarriage; progesterone; antiphospholipid syndrome; antithrombotic therapy; immunomodulation; hysteroscopy; uterine abnormalities; cervical cerclage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Chapter 10 Abstract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and Surgical Management of Recurrent Pregnancy Loss: From Etiology to Individualized Care</dc:title>
  <dc:subject>Abstract for Chapter 10: Medical and Surgical Management</dc:subject>
  <dc:creator>python-docx</dc:creator>
  <cp:keywords>Recurrent pregnancy loss; recurrent miscarriage; progesterone; antiphospholipid syndrome; antithrombotic therapy; immunomodulation; hysteroscopy; uterine abnormalities; cervical cerclage</cp:keywords>
  <dc:description>Original draft prepared for academic submission; contributor details must be completed before submission.</dc:description>
  <cp:lastModifiedBy/>
  <cp:revision>1</cp:revision>
  <dcterms:created xsi:type="dcterms:W3CDTF">2013-12-23T23:15:00Z</dcterms:created>
  <dcterms:modified xsi:type="dcterms:W3CDTF">2013-12-23T23:15:00Z</dcterms:modified>
  <cp:category/>
</cp:coreProperties>
</file>