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40"/>
        <w:jc w:val="center"/>
      </w:pPr>
      <w:r>
        <w:rPr>
          <w:rFonts w:ascii="Times New Roman" w:hAnsi="Times New Roman" w:eastAsia="Times New Roman"/>
          <w:b/>
          <w:i w:val="0"/>
          <w:sz w:val="28"/>
        </w:rPr>
        <w:t>Medical and Surgical Management of Recurrent Pregnancy Loss: An Evidence-Based Approach</w:t>
      </w:r>
    </w:p>
    <w:p>
      <w:pPr>
        <w:keepNext/>
        <w:spacing w:after="160"/>
        <w:jc w:val="center"/>
      </w:pPr>
      <w:r>
        <w:rPr>
          <w:rFonts w:ascii="Times New Roman" w:hAnsi="Times New Roman" w:eastAsia="Times New Roman"/>
          <w:b/>
          <w:i/>
          <w:sz w:val="24"/>
        </w:rPr>
        <w:t>Abstract</w:t>
      </w:r>
    </w:p>
    <w:p>
      <w:pPr>
        <w:spacing w:line="276" w:lineRule="auto" w:after="160"/>
        <w:ind w:firstLine="0"/>
        <w:jc w:val="both"/>
      </w:pPr>
      <w:r>
        <w:rPr>
          <w:rFonts w:ascii="Times New Roman" w:hAnsi="Times New Roman" w:eastAsia="Times New Roman"/>
          <w:b w:val="0"/>
          <w:i w:val="0"/>
          <w:sz w:val="24"/>
        </w:rPr>
        <w:t>Recurrent pregnancy loss (RPL) is a multifactorial reproductive disorder that requires treatment directed by the underlying cause rather than routine empirical therapy. This review outlines current medical and surgical strategies and presents a practical framework for individualized care. Medical management includes progesterone support in appropriately selected women, correction of thyroid and glycaemic abnormalities, and combined low-dose aspirin and heparin for confirmed antiphospholipid syndrome. The use of anticoagulants in inherited thrombophilia or unexplained RPL remains uncertain and should be considered cautiously. Immunomodulatory interventions—including corticosteroids, intravenous immunoglobulin, and intralipid therapy—are critically assessed because evidence of benefit is inconsistent, while safety, cost, and specialist monitoring require consideration.</w:t>
      </w:r>
    </w:p>
    <w:p>
      <w:pPr>
        <w:spacing w:line="276" w:lineRule="auto" w:after="200"/>
        <w:ind w:firstLine="0"/>
        <w:jc w:val="both"/>
      </w:pPr>
      <w:r>
        <w:rPr>
          <w:rFonts w:ascii="Times New Roman" w:hAnsi="Times New Roman" w:eastAsia="Times New Roman"/>
          <w:b w:val="0"/>
          <w:i w:val="0"/>
          <w:sz w:val="24"/>
        </w:rPr>
        <w:t>Surgical treatment is discussed according to the clinical significance of the detected abnormality. Hysteroscopic correction may be considered in selected cases involving a uterine septum, intrauterine adhesions, cavity-distorting submucosal fibroids, or endometrial polyps. Cervical cerclage is reviewed for women with history-, ultrasound-, or examination-indicated cervical insufficiency, with emphasis on appropriate timing and risk assessment. The proposed approach integrates reproductive history, diagnostic findings, previous pregnancy patterns, and patient preferences. Preconception optimization, counselling, shared decision-making, and close early-pregnancy surveillance remain central to care, particularly when no definitive cause is identified. Careful treatment selection can reduce unnecessary intervention while supporting safer, evidence-informed reproductive care.</w:t>
      </w:r>
    </w:p>
    <w:p>
      <w:pPr>
        <w:spacing w:before="40" w:after="0"/>
        <w:jc w:val="both"/>
      </w:pPr>
      <w:r>
        <w:rPr>
          <w:rFonts w:ascii="Times New Roman" w:hAnsi="Times New Roman" w:eastAsia="Times New Roman"/>
          <w:b/>
          <w:i/>
          <w:sz w:val="24"/>
        </w:rPr>
        <w:t xml:space="preserve">Keywords: </w:t>
      </w:r>
      <w:r>
        <w:rPr>
          <w:rFonts w:ascii="Times New Roman" w:hAnsi="Times New Roman" w:eastAsia="Times New Roman"/>
          <w:b w:val="0"/>
          <w:i/>
          <w:sz w:val="24"/>
        </w:rPr>
        <w:t>Recurrent pregnancy loss; recurrent miscarriage; progesterone; antiphospholipid syndrome; immunomodulation; hysteroscopy; cervical cerclage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and Surgical Management of Recurrent Pregnancy Loss: An Evidence-Based Approach</dc:title>
  <dc:subject>Abstract on the medical and surgical management of recurrent pregnancy loss</dc:subject>
  <dc:creator>python-docx</dc:creator>
  <cp:keywords>Recurrent pregnancy loss; recurrent miscarriage; progesterone; antiphospholipid syndrome; immunomodulation; hysteroscopy; cervical cerclage</cp:keywords>
  <dc:description>Original academic abstract prepared for submission.</dc:description>
  <cp:lastModifiedBy/>
  <cp:revision>1</cp:revision>
  <dcterms:created xsi:type="dcterms:W3CDTF">2013-12-23T23:15:00Z</dcterms:created>
  <dcterms:modified xsi:type="dcterms:W3CDTF">2013-12-23T23:15:00Z</dcterms:modified>
  <cp:category/>
</cp:coreProperties>
</file>