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6" w:space="0" w:color="000000"/>
          <w:left w:val="single" w:sz="8" w:space="0" w:color="000000"/>
          <w:bottom w:val="single" w:sz="36" w:space="0" w:color="000000"/>
          <w:right w:val="single" w:sz="8" w:space="0" w:color="000000"/>
        </w:tblBorders>
      </w:tblPr>
      <w:tblGrid>
        <w:gridCol w:w="10800"/>
      </w:tblGrid>
      <w:tr>
        <w:tc>
          <w:tcPr>
            <w:tcW w:type="dxa" w:w="10800"/>
            <w:tcMar>
              <w:top w:w="420" w:type="dxa"/>
              <w:start w:w="260" w:type="dxa"/>
              <w:bottom w:w="420" w:type="dxa"/>
              <w:end w:w="260" w:type="dxa"/>
            </w:tcMar>
          </w:tcPr>
          <w:p>
            <w:pPr>
              <w:pStyle w:val="CoverSub"/>
              <w:spacing w:after="120"/>
            </w:pPr>
            <w:r>
              <w:rPr>
                <w:b/>
                <w:sz w:val="22"/>
                <w:spacing w:val="60"/>
              </w:rPr>
              <w:t>PART IV — INSTRUMENT TRAYS</w:t>
            </w:r>
          </w:p>
          <w:p>
            <w:pPr>
              <w:pStyle w:val="CoverTitle"/>
              <w:spacing w:before="40" w:after="160"/>
            </w:pPr>
            <w:r>
              <w:t>THORACIC TRAYS</w:t>
            </w:r>
          </w:p>
          <w:p>
            <w:pPr>
              <w:jc w:val="center"/>
              <w:spacing w:before="0" w:after="200" w:line="240" w:lineRule="auto"/>
              <w:pBdr>
                <w:bottom w:val="single" w:sz="12" w:space="1" w:color="000000"/>
              </w:pBdr>
            </w:pPr>
          </w:p>
          <w:p>
            <w:pPr>
              <w:pStyle w:val="CoverSub"/>
              <w:spacing w:before="20" w:after="20"/>
            </w:pPr>
            <w:r>
              <w:rPr>
                <w:sz w:val="21"/>
              </w:rPr>
              <w:t>Complete, illustrated examination notes</w:t>
            </w:r>
          </w:p>
          <w:p>
            <w:pPr>
              <w:pStyle w:val="CoverSub"/>
              <w:spacing w:before="20" w:after="20"/>
            </w:pPr>
            <w:r>
              <w:rPr>
                <w:sz w:val="21"/>
              </w:rPr>
              <w:t>General · Gynaecologic &amp; Obstetric · Genitourinary · Thoracic</w:t>
            </w:r>
          </w:p>
          <w:p>
            <w:pPr>
              <w:pStyle w:val="CoverSub"/>
              <w:spacing w:before="20" w:after="20"/>
            </w:pPr>
            <w:r>
              <w:rPr>
                <w:sz w:val="21"/>
              </w:rPr>
              <w:t>Cardiovascular · Orthopaedic · Neurologic · ENT · Ophthalmic · Paediatric</w:t>
            </w:r>
          </w:p>
          <w:p>
            <w:pPr>
              <w:jc w:val="center"/>
              <w:spacing w:before="280" w:after="40" w:line="240" w:lineRule="auto"/>
              <w:pBdr>
                <w:top w:val="single" w:sz="6" w:space="4" w:color="999999"/>
              </w:pBdr>
            </w:pPr>
          </w:p>
          <w:p>
            <w:pPr>
              <w:pStyle w:val="CoverSub"/>
              <w:spacing w:before="20" w:after="20"/>
            </w:pPr>
            <w:r>
              <w:rPr>
                <w:i/>
                <w:color w:val="555555"/>
                <w:sz w:val="18"/>
              </w:rPr>
              <w:t>Legal (8.5 × 14 in) · 1.27 cm margins · monochrome print-ready</w:t>
            </w:r>
          </w:p>
          <w:p>
            <w:pPr>
              <w:pStyle w:val="CoverSub"/>
              <w:spacing w:before="20" w:after="20"/>
            </w:pPr>
            <w:r>
              <w:rPr>
                <w:i/>
                <w:color w:val="555555"/>
                <w:sz w:val="18"/>
              </w:rPr>
              <w:t>Every figure is an original line diagram, drawn for clarity in black and white</w:t>
            </w:r>
          </w:p>
        </w:tc>
      </w:tr>
    </w:tbl>
    <w:p>
      <w:r>
        <w:br w:type="page"/>
      </w:r>
    </w:p>
    <w:p>
      <w:bookmarkStart w:id="1041" w:name="toc"/>
      <w:pPr>
        <w:pStyle w:val="TOCHead"/>
        <w:spacing w:before="80" w:after="40"/>
      </w:pPr>
      <w:r>
        <w:t>Table of Contents</w:t>
      </w:r>
      <w:bookmarkEnd w:id="1041"/>
    </w:p>
    <w:p>
      <w:pPr>
        <w:jc w:val="center"/>
        <w:spacing w:before="0" w:after="80" w:line="240" w:lineRule="auto"/>
        <w:pBdr>
          <w:bottom w:val="single" w:sz="18" w:space="1" w:color="000000"/>
        </w:pBdr>
      </w:pPr>
    </w:p>
    <w:p>
      <w:pPr>
        <w:jc w:val="center"/>
        <w:spacing w:before="0" w:after="180"/>
      </w:pPr>
      <w:r>
        <w:rPr>
          <w:rFonts w:ascii="Calibri" w:hAnsi="Calibri"/>
          <w:i/>
          <w:color w:val="444444"/>
          <w:sz w:val="17"/>
        </w:rPr>
        <w:t>Page numbers are live fields. To fill them in: press Ctrl+A then F9 (Windows) or Cmd+A then Fn+F9 (Mac). Word will also offer to update them when the file opens.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6" w:space="0" w:color="000000"/>
        </w:tblBorders>
      </w:tblPr>
      <w:tblGrid>
        <w:gridCol w:w="5400"/>
        <w:gridCol w:w="5400"/>
      </w:tblGrid>
      <w:tr>
        <w:trPr>
          <w:tblHeader/>
          <w:cantSplit/>
        </w:trPr>
        <w:tc>
          <w:tcPr>
            <w:tcW w:type="dxa" w:w="9666"/>
            <w:shd w:val="clear" w:color="auto" w:fill="D9D9D9"/>
            <w:tcMar>
              <w:top w:w="60" w:type="dxa"/>
              <w:start w:w="90" w:type="dxa"/>
              <w:bottom w:w="60" w:type="dxa"/>
              <w:end w:w="9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Tray / Chapter</w:t>
            </w:r>
          </w:p>
        </w:tc>
        <w:tc>
          <w:tcPr>
            <w:tcW w:type="dxa" w:w="1134"/>
            <w:shd w:val="clear" w:color="auto" w:fill="D9D9D9"/>
            <w:tcMar>
              <w:top w:w="60" w:type="dxa"/>
              <w:start w:w="90" w:type="dxa"/>
              <w:bottom w:w="60" w:type="dxa"/>
              <w:end w:w="9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Page</w:t>
            </w:r>
          </w:p>
        </w:tc>
      </w:tr>
      <w:tr>
        <w:trPr>
          <w:cantSplit/>
        </w:trPr>
        <w:tc>
          <w:tcPr>
            <w:tcW w:type="dxa" w:w="9666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  <w:shd w:val="clear" w:color="auto" w:fill="E4E4E4"/>
          </w:tcPr>
          <w:p>
            <w:pPr>
              <w:pStyle w:val="TabCell"/>
            </w:pPr>
            <w:r>
              <w:rPr>
                <w:rFonts w:ascii="Calibri" w:hAnsi="Calibri"/>
                <w:b/>
                <w:sz w:val="18"/>
                <w:spacing w:val="12"/>
              </w:rPr>
              <w:t>THORACIC TRAYS</w:t>
            </w:r>
          </w:p>
        </w:tc>
        <w:tc>
          <w:tcPr>
            <w:tcW w:type="dxa" w:w="1134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  <w:shd w:val="clear" w:color="auto" w:fill="E4E4E4"/>
          </w:tcPr>
          <w:p>
            <w:pPr>
              <w:pStyle w:val="TabCell"/>
              <w:jc w:val="center"/>
            </w:pPr>
            <w:r>
              <w:fldChar w:fldCharType="begin"/>
            </w:r>
            <w:r>
              <w:instrText xml:space="preserve"> PAGEREF part_IV \h </w:instrText>
            </w:r>
            <w:r>
              <w:fldChar w:fldCharType="separate"/>
            </w:r>
            <w:r>
              <w:rPr>
                <w:rFonts w:ascii="Calibri" w:hAnsi="Calibri"/>
                <w:b/>
                <w:sz w:val="19"/>
              </w:rPr>
              <w:t>—</w:t>
            </w:r>
            <w:r>
              <w:fldChar w:fldCharType="end"/>
            </w:r>
          </w:p>
        </w:tc>
      </w:tr>
      <w:tr>
        <w:trPr>
          <w:cantSplit/>
        </w:trPr>
        <w:tc>
          <w:tcPr>
            <w:tcW w:type="dxa" w:w="9666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ind w:start="238"/>
            </w:pPr>
            <w:r>
              <w:rPr>
                <w:sz w:val="19"/>
              </w:rPr>
              <w:t>4.1   Mediastinoscopy Tray</w:t>
            </w:r>
          </w:p>
        </w:tc>
        <w:tc>
          <w:tcPr>
            <w:tcW w:type="dxa" w:w="1134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jc w:val="center"/>
            </w:pPr>
            <w:r>
              <w:fldChar w:fldCharType="begin"/>
            </w:r>
            <w:r>
              <w:instrText xml:space="preserve"> PAGEREF tray_4_1 \h </w:instrText>
            </w:r>
            <w:r>
              <w:fldChar w:fldCharType="separate"/>
            </w:r>
            <w:r>
              <w:rPr>
                <w:rFonts w:ascii="Calibri" w:hAnsi="Calibri"/>
                <w:sz w:val="19"/>
              </w:rPr>
              <w:t>—</w:t>
            </w:r>
            <w:r>
              <w:fldChar w:fldCharType="end"/>
            </w:r>
          </w:p>
        </w:tc>
      </w:tr>
      <w:tr>
        <w:trPr>
          <w:cantSplit/>
        </w:trPr>
        <w:tc>
          <w:tcPr>
            <w:tcW w:type="dxa" w:w="9666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ind w:start="238"/>
            </w:pPr>
            <w:r>
              <w:rPr>
                <w:sz w:val="19"/>
              </w:rPr>
              <w:t>4.2   Thoracotomy Tray</w:t>
            </w:r>
          </w:p>
        </w:tc>
        <w:tc>
          <w:tcPr>
            <w:tcW w:type="dxa" w:w="1134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jc w:val="center"/>
            </w:pPr>
            <w:r>
              <w:fldChar w:fldCharType="begin"/>
            </w:r>
            <w:r>
              <w:instrText xml:space="preserve"> PAGEREF tray_4_2 \h </w:instrText>
            </w:r>
            <w:r>
              <w:fldChar w:fldCharType="separate"/>
            </w:r>
            <w:r>
              <w:rPr>
                <w:rFonts w:ascii="Calibri" w:hAnsi="Calibri"/>
                <w:sz w:val="19"/>
              </w:rPr>
              <w:t>—</w:t>
            </w:r>
            <w:r>
              <w:fldChar w:fldCharType="end"/>
            </w:r>
          </w:p>
        </w:tc>
      </w:tr>
      <w:tr>
        <w:trPr>
          <w:cantSplit/>
        </w:trPr>
        <w:tc>
          <w:tcPr>
            <w:tcW w:type="dxa" w:w="9666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ind w:start="238"/>
            </w:pPr>
            <w:r>
              <w:rPr>
                <w:sz w:val="19"/>
              </w:rPr>
              <w:t>4.3   Pacemaker Tray</w:t>
            </w:r>
          </w:p>
        </w:tc>
        <w:tc>
          <w:tcPr>
            <w:tcW w:type="dxa" w:w="1134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jc w:val="center"/>
            </w:pPr>
            <w:r>
              <w:fldChar w:fldCharType="begin"/>
            </w:r>
            <w:r>
              <w:instrText xml:space="preserve"> PAGEREF tray_4_3 \h </w:instrText>
            </w:r>
            <w:r>
              <w:fldChar w:fldCharType="separate"/>
            </w:r>
            <w:r>
              <w:rPr>
                <w:rFonts w:ascii="Calibri" w:hAnsi="Calibri"/>
                <w:sz w:val="19"/>
              </w:rPr>
              <w:t>—</w:t>
            </w:r>
            <w:r>
              <w:fldChar w:fldCharType="end"/>
            </w:r>
          </w:p>
        </w:tc>
      </w:tr>
    </w:tbl>
    <w:p>
      <w:pPr>
        <w:spacing w:before="0" w:after="120" w:line="240" w:lineRule="auto"/>
      </w:pPr>
    </w:p>
    <w:p>
      <w:r>
        <w:br w:type="page"/>
      </w:r>
    </w:p>
    <w:p>
      <w:bookmarkStart w:id="1042" w:name="how_to_read"/>
      <w:pPr>
        <w:pStyle w:val="TOCHead"/>
        <w:spacing w:before="80" w:after="40"/>
      </w:pPr>
      <w:r>
        <w:t>How to Read These Notes</w:t>
      </w:r>
      <w:bookmarkEnd w:id="1042"/>
    </w:p>
    <w:p>
      <w:pPr>
        <w:jc w:val="center"/>
        <w:spacing w:before="0" w:after="160" w:line="240" w:lineRule="auto"/>
        <w:pBdr>
          <w:bottom w:val="single" w:sz="18" w:space="1" w:color="000000"/>
        </w:pBdr>
      </w:pPr>
    </w:p>
    <w:p>
      <w:pPr>
        <w:pStyle w:val="TrayLead"/>
        <w:spacing w:before="0" w:after="160"/>
      </w:pPr>
      <w:r>
        <w:t xml:space="preserve">Every tray chapter is built to the same pattern, so you can find the same kind of information in the same place each time. Read the </w:t>
      </w:r>
      <w:r>
        <w:rPr>
          <w:i/>
        </w:rPr>
        <w:t>lead paragraph</w:t>
      </w:r>
      <w:r>
        <w:t xml:space="preserve"> and the </w:t>
      </w:r>
      <w:r>
        <w:rPr>
          <w:i/>
        </w:rPr>
        <w:t>figure</w:t>
      </w:r>
      <w:r>
        <w:t xml:space="preserve"> first to fix the idea, then work through the contents 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bottom w:val="single" w:sz="12" w:space="0" w:color="000000"/>
          <w:insideH w:val="single" w:sz="4" w:space="0" w:color="BBBBBB"/>
        </w:tblBorders>
      </w:tblPr>
      <w:tblGrid>
        <w:gridCol w:w="5400"/>
        <w:gridCol w:w="5400"/>
      </w:tblGrid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Lead paragraph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What the tray is for and the single idea that shapes it. If you remember nothing else from a chapter, remember this.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Used for / includes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The procedures the tray serves — useful for 'name three indications' questions.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Figure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 xml:space="preserve">An original line diagram of the tray's </w:t>
            </w:r>
            <w:r>
              <w:rPr>
                <w:b/>
                <w:sz w:val="19"/>
              </w:rPr>
              <w:t>signature instruments</w:t>
            </w:r>
            <w:r>
              <w:rPr>
                <w:sz w:val="19"/>
              </w:rPr>
              <w:t xml:space="preserve"> — the items that identify it. Diagrams are schematic: they show the identifying feature (jaw pattern, bevel direction, footplate, curve) rather than a photographic likeness.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Callout box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The one concept, distinction or safety rule that examiners return to for that tray.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Contents of the tray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 xml:space="preserve">The full instrument list, grouped by </w:t>
            </w:r>
            <w:r>
              <w:rPr>
                <w:b/>
                <w:sz w:val="19"/>
              </w:rPr>
              <w:t>function</w:t>
            </w:r>
            <w:r>
              <w:rPr>
                <w:sz w:val="19"/>
              </w:rPr>
              <w:t xml:space="preserve"> — cutting, grasping, clamping, retracting, suturing, suctioning — with quantities and the reason each item is present. Answer 'enumerate the contents' questions using these groups as headings.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Additional supplies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Position, draping, structures at risk and procedure-specific notes.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Comparison table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Where two trays or two instruments are easily confused, they are set side by side.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Examination pointers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The specific facts most often awarded marks — learn these last, as revision.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Common mistakes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Errors that lose marks, marked with ✗.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Likely examination questions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Questions with model answers written at the length an examiner expects.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A note on quantities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 xml:space="preserve">Instrument </w:t>
            </w:r>
            <w:r>
              <w:rPr>
                <w:b/>
                <w:sz w:val="19"/>
              </w:rPr>
              <w:t>names, functions and groupings</w:t>
            </w:r>
            <w:r>
              <w:rPr>
                <w:sz w:val="19"/>
              </w:rPr>
              <w:t xml:space="preserve"> are standard. The </w:t>
            </w:r>
            <w:r>
              <w:rPr>
                <w:b/>
                <w:sz w:val="19"/>
              </w:rPr>
              <w:t>numbers</w:t>
            </w:r>
            <w:r>
              <w:rPr>
                <w:sz w:val="19"/>
              </w:rPr>
              <w:t xml:space="preserve"> ("6 Allis clamps") vary between institutions — please cross-check them against your prescribed textbook.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Printing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Legal paper (8.5 × 14 in), 1.27 cm margins, monochrome throughout. No information depends on colour, so a black-and-white printer loses nothing.</w:t>
            </w:r>
          </w:p>
        </w:tc>
      </w:tr>
    </w:tbl>
    <w:p>
      <w:pPr>
        <w:spacing w:before="0" w:after="12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</w:tblPr>
      <w:tblGrid>
        <w:gridCol w:w="10800"/>
      </w:tblGrid>
      <w:tr>
        <w:tc>
          <w:tcPr>
            <w:tcW w:type="dxa" w:w="10800"/>
            <w:shd w:val="clear" w:color="auto" w:fill="1A1A1A"/>
            <w:tcMar>
              <w:top w:w="150" w:type="dxa"/>
              <w:start w:w="220" w:type="dxa"/>
              <w:bottom w:w="150" w:type="dxa"/>
              <w:end w:w="220" w:type="dxa"/>
            </w:tcMar>
          </w:tcPr>
          <w:p>
            <w:pPr>
              <w:jc w:val="left"/>
              <w:spacing w:before="0" w:after="40" w:line="240" w:lineRule="auto"/>
              <w:keepLines/>
              <w:keepNext/>
            </w:pPr>
            <w:r>
              <w:rPr>
                <w:rFonts w:ascii="Calibri" w:hAnsi="Calibri"/>
                <w:b/>
                <w:caps/>
                <w:color w:val="CCCCCC"/>
                <w:sz w:val="19"/>
                <w:spacing w:val="50"/>
              </w:rPr>
              <w:t>PART IV</w:t>
            </w:r>
          </w:p>
          <w:p>
            <w:bookmarkStart w:id="1043" w:name="part_IV"/>
            <w:pPr>
              <w:pStyle w:val="Heading1"/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38"/>
              </w:rPr>
              <w:t>Thoracic Trays</w:t>
            </w:r>
            <w:bookmarkEnd w:id="1043"/>
          </w:p>
          <w:p>
            <w:pPr>
              <w:spacing w:before="80" w:after="0"/>
            </w:pPr>
            <w:r>
              <w:rPr>
                <w:rFonts w:ascii="Calibri" w:hAnsi="Calibri"/>
                <w:i/>
                <w:color w:val="D6D6D6"/>
                <w:sz w:val="19"/>
              </w:rPr>
              <w:t>Mediastinoscopy · Thoracotomy · Pacemaker</w:t>
            </w:r>
          </w:p>
        </w:tc>
      </w:tr>
    </w:tbl>
    <w:p>
      <w:pPr>
        <w:spacing w:before="0" w:after="160" w:line="240" w:lineRule="auto"/>
      </w:pPr>
    </w:p>
    <w:p>
      <w:pPr>
        <w:pStyle w:val="TrayLead"/>
        <w:spacing w:before="40" w:after="160"/>
      </w:pPr>
      <w:r>
        <w:t xml:space="preserve">Thoracic trays are governed by one anatomical fact: the chest is a </w:t>
      </w:r>
      <w:r>
        <w:rPr>
          <w:b/>
        </w:rPr>
        <w:t>rigid bony cage containing a negative-pressure space</w:t>
      </w:r>
      <w:r>
        <w:t xml:space="preserve">. Every tray therefore needs instruments to </w:t>
      </w:r>
      <w:r>
        <w:rPr>
          <w:b/>
        </w:rPr>
        <w:t>get through or between the ribs</w:t>
      </w:r>
      <w:r>
        <w:t xml:space="preserve">, and every thoracic procedure ends with </w:t>
      </w:r>
      <w:r>
        <w:rPr>
          <w:b/>
        </w:rPr>
        <w:t>restoration of negative intrapleural pressure</w:t>
      </w:r>
      <w:r>
        <w:t xml:space="preserve"> through an underwater-seal chest drain. A pacemaker tray is the exception — a small subcutaneous set that nevertheless carries the same pneumothorax risk.</w:t>
      </w:r>
    </w:p>
    <w:p>
      <w:bookmarkStart w:id="1044" w:name="tray_4_1"/>
      <w:pPr>
        <w:pStyle w:val="Heading2"/>
        <w:spacing w:before="320" w:after="40"/>
        <w:keepLines/>
        <w:keepNext/>
        <w:pBdr>
          <w:bottom w:val="single" w:sz="12" w:space="3" w:color="000000"/>
        </w:pBdr>
      </w:pPr>
      <w:r>
        <w:rPr>
          <w:rFonts w:ascii="Calibri" w:hAnsi="Calibri"/>
          <w:b/>
          <w:color w:val="666666"/>
          <w:sz w:val="29"/>
        </w:rPr>
        <w:t xml:space="preserve">4.1   </w:t>
      </w:r>
      <w:r>
        <w:rPr>
          <w:rFonts w:ascii="Calibri" w:hAnsi="Calibri"/>
          <w:b/>
          <w:sz w:val="29"/>
        </w:rPr>
        <w:t>Mediastinoscopy Tray</w:t>
      </w:r>
      <w:bookmarkEnd w:id="1044"/>
    </w:p>
    <w:p>
      <w:pPr>
        <w:spacing w:before="60" w:after="100"/>
      </w:pPr>
      <w:r>
        <w:rPr>
          <w:rFonts w:ascii="Calibri" w:hAnsi="Calibri"/>
          <w:b/>
          <w:caps/>
          <w:color w:val="555555"/>
          <w:sz w:val="17"/>
        </w:rPr>
        <w:t xml:space="preserve">Also called:  </w:t>
      </w:r>
      <w:r>
        <w:rPr>
          <w:i/>
          <w:color w:val="333333"/>
          <w:sz w:val="18"/>
        </w:rPr>
        <w:t>Cervical mediastinoscopy · Carlens procedure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W w:type="dxa" w:w="691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rayLead"/>
            </w:pPr>
            <w:r>
              <w:rPr>
                <w:b/>
              </w:rPr>
              <w:t>Mediastinoscopy</w:t>
            </w:r>
            <w:r>
              <w:t xml:space="preserve"> inspects and biopsies the </w:t>
            </w:r>
            <w:r>
              <w:rPr>
                <w:b/>
              </w:rPr>
              <w:t>paratracheal and tracheobronchial lymph nodes</w:t>
            </w:r>
            <w:r>
              <w:t xml:space="preserve"> through a small suprasternal incision, using a tapered open scope passed down the pretracheal plane by blunt finger dissection. It is a small set with a very large potential complication: the scope lies between the great vessels, so the tray must be able to support </w:t>
            </w:r>
            <w:r>
              <w:rPr>
                <w:b/>
              </w:rPr>
              <w:t>immediate thoracotomy or sternotomy</w:t>
            </w:r>
            <w:r>
              <w:t>.</w:t>
            </w:r>
          </w:p>
          <w:p>
            <w:pPr>
              <w:pStyle w:val="TinyLabel"/>
            </w:pPr>
            <w:r>
              <w:t>Used for / includes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Staging of bronchogenic carcinoma — mediastinal node sampling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Diagnosis of mediastinal lymphadenopathy — lymphoma, sarcoidosis, tuberculosis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Biopsy of a mediastinal mass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Assessment before thoracotomy for resectability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Drainage of a mediastinal abscess (rarely)</w:t>
            </w:r>
          </w:p>
        </w:tc>
        <w:tc>
          <w:tcPr>
            <w:tcW w:type="dxa" w:w="19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68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spacing w:before="40" w:after="20" w:line="240" w:lineRule="auto"/>
              <w:pBdr>
                <w:top w:val="single" w:sz="4" w:space="2" w:color="999999"/>
                <w:left w:val="single" w:sz="4" w:space="3" w:color="999999"/>
                <w:bottom w:val="single" w:sz="4" w:space="2" w:color="999999"/>
                <w:right w:val="single" w:sz="4" w:space="3" w:color="999999"/>
              </w:pBdr>
            </w:pPr>
            <w:r>
              <w:drawing>
                <wp:inline xmlns:a="http://schemas.openxmlformats.org/drawingml/2006/main" xmlns:pic="http://schemas.openxmlformats.org/drawingml/2006/picture">
                  <wp:extent cx="2286000" cy="16779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_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77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Caption"/>
              <w:jc w:val="center"/>
              <w:spacing w:before="40" w:after="120"/>
            </w:pPr>
            <w:r>
              <w:t>Fig 4.1 — A small set with major back-up requirements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E4E4E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Aspirate before you biopsy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In the mediastinum a </w:t>
            </w:r>
            <w:r>
              <w:rPr>
                <w:b/>
              </w:rPr>
              <w:t>node and a vessel can look identical</w:t>
            </w:r>
            <w:r>
              <w:t xml:space="preserve"> through a narrow scope.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A </w:t>
            </w:r>
            <w:r>
              <w:rPr>
                <w:b/>
              </w:rPr>
              <w:t>fine needle is passed and aspirated first</w:t>
            </w:r>
            <w:r>
              <w:t>: blood means vessel — do not biopsy.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This single step is the most examined safety point of the procedure.</w:t>
            </w:r>
          </w:p>
        </w:tc>
      </w:tr>
    </w:tbl>
    <w:p>
      <w:pPr>
        <w:spacing w:before="0" w:after="140" w:line="240" w:lineRule="auto"/>
      </w:pPr>
    </w:p>
    <w:p>
      <w:pPr>
        <w:pStyle w:val="Heading3"/>
        <w:keepLines/>
        <w:keepNext/>
      </w:pPr>
      <w:r>
        <w:rPr>
          <w:rFonts w:ascii="Calibri" w:hAnsi="Calibri"/>
          <w:b/>
        </w:rPr>
        <w:t>Contents of the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85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Qty</w:t>
            </w:r>
          </w:p>
        </w:tc>
        <w:tc>
          <w:tcPr>
            <w:tcW w:type="dxa" w:w="4082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Instrument</w:t>
            </w:r>
          </w:p>
        </w:tc>
        <w:tc>
          <w:tcPr>
            <w:tcW w:type="dxa" w:w="5868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Notes / rationale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BASE SET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Basic / minor procedures tray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see 1.2 — the incision itself is small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THE SCOPE SYSTEM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Mediastinoscope, tapered open tube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slightly flattened, open-ended, with an integral or attachable light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Fibre-optic light carrier, cable and source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cold light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Camera, coupler and monitor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for video-assisted mediastinoscopy and teaching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Suction–coagulation (insulated) cannula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combined suction and cautery down the scope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INSTRUMENTS PASSED DOWN THE SCOPE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mediastinal biopsy forceps, cup pattern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node sampling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aspirating (fine) needle with syringe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a node is aspirated before it is biopsied</w:t>
            </w:r>
            <w:r>
              <w:t xml:space="preserve"> — to confirm it is not a vessel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blunt dissectors / peanut carriers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sweeping tissue off the node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insulated suction tip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clip applier with clips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haemostasis at depth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swab carriers with gauze pledgets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pressure haemostasis in a narrow channel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NECK EXPOSURE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Langenbeck / Army-Navy retractors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suprasternal incision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Weitlaner self-retaining retractor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holds the strap muscles apart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artery forceps and Adson forceps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Metzenbaum scissors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dividing the pretracheal fascia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Malleable retractor, narrow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protects the trachea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EMERGENCY BACK-UP — THE DEFINING REQUIREMENT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Complete thoracotomy tray, open and ready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see 4.2 — for uncontrollable bleeding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Sternal saw and sternotomy set available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median sternotomy gives the fastest access to the great vessels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Vascular clamps, vascular suture and haemostatic agents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Cross-matched blood immediately available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haemorrhage from the innominate artery or azygos vein is catastrophic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Chest drain with underwater seal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the pleura may be entered</w:t>
            </w:r>
          </w:p>
        </w:tc>
      </w:tr>
    </w:tbl>
    <w:p>
      <w:pPr>
        <w:spacing w:before="0" w:after="16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Additional supplies and accessories</w:t>
      </w:r>
    </w:p>
    <w:p>
      <w:pPr>
        <w:pStyle w:val="BoxBody"/>
        <w:ind w:start="170"/>
      </w:pPr>
      <w:r>
        <w:rPr>
          <w:b/>
        </w:rPr>
        <w:t>Position</w:t>
      </w:r>
      <w:r>
        <w:t xml:space="preserve"> — Supine with the neck extended over a head-ring and slight head-up tilt, as for thyroidectomy; a small transverse incision one finger-breadth above the sternal notch.</w:t>
      </w:r>
    </w:p>
    <w:p>
      <w:pPr>
        <w:pStyle w:val="BoxBody"/>
        <w:ind w:start="170"/>
      </w:pPr>
      <w:r>
        <w:rPr>
          <w:b/>
        </w:rPr>
        <w:t>Technique</w:t>
      </w:r>
      <w:r>
        <w:t xml:space="preserve"> — The pretracheal plane is opened by </w:t>
      </w:r>
      <w:r>
        <w:rPr>
          <w:b/>
        </w:rPr>
        <w:t>blunt finger dissection</w:t>
      </w:r>
      <w:r>
        <w:t xml:space="preserve"> anterior to the trachea, the scope is passed along the finger track, and nodes are identified, </w:t>
      </w:r>
      <w:r>
        <w:rPr>
          <w:b/>
        </w:rPr>
        <w:t>aspirated with a needle first</w:t>
      </w:r>
      <w:r>
        <w:t xml:space="preserve"> and then biopsied.</w:t>
      </w:r>
    </w:p>
    <w:p>
      <w:pPr>
        <w:pStyle w:val="BoxBody"/>
        <w:ind w:start="170"/>
      </w:pPr>
      <w:r>
        <w:rPr>
          <w:b/>
        </w:rPr>
        <w:t>Structures at risk</w:t>
      </w:r>
      <w:r>
        <w:t xml:space="preserve"> — </w:t>
      </w:r>
      <w:r>
        <w:rPr>
          <w:b/>
        </w:rPr>
        <w:t>Innominate (brachiocephalic) artery, aortic arch, azygos vein, superior vena cava, pulmonary artery, recurrent laryngeal nerve, trachea and oesophagus.</w:t>
      </w:r>
      <w:r>
        <w:t xml:space="preserve"> This concentration of great vessels in a blind narrow channel is what makes the procedure hazardous.</w:t>
      </w:r>
    </w:p>
    <w:p>
      <w:pPr>
        <w:pStyle w:val="BoxBody"/>
        <w:ind w:start="170"/>
      </w:pPr>
      <w:r>
        <w:rPr>
          <w:b/>
        </w:rPr>
        <w:t>Complications</w:t>
      </w:r>
      <w:r>
        <w:t xml:space="preserve"> — Major haemorrhage, pneumothorax, recurrent laryngeal nerve palsy, oesophageal or tracheal injury, wound infection, mediastinitis and air embolism.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F0F0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Examination pointers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signature item is the </w:t>
            </w:r>
            <w:r>
              <w:rPr>
                <w:b/>
              </w:rPr>
              <w:t>tapered open mediastinoscope</w:t>
            </w:r>
            <w:r>
              <w:t xml:space="preserve">; all working instruments are </w:t>
            </w:r>
            <w:r>
              <w:rPr>
                <w:b/>
              </w:rPr>
              <w:t>long</w:t>
            </w:r>
            <w:r>
              <w:t>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State the </w:t>
            </w:r>
            <w:r>
              <w:rPr>
                <w:b/>
              </w:rPr>
              <w:t>aspirate-before-biopsy rule</w:t>
            </w:r>
            <w:r>
              <w:t xml:space="preserve"> explicitly.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</w:t>
            </w:r>
            <w:r>
              <w:rPr>
                <w:b/>
              </w:rPr>
              <w:t>thoracotomy tray and sternal saw must be open and ready</w:t>
            </w:r>
            <w:r>
              <w:t xml:space="preserve"> — marks are given for recognising this.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Name the vessels at risk, particularly the </w:t>
            </w:r>
            <w:r>
              <w:rPr>
                <w:b/>
              </w:rPr>
              <w:t>innominate artery and azygos vein</w:t>
            </w:r>
            <w:r>
              <w:t>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Access is by </w:t>
            </w:r>
            <w:r>
              <w:rPr>
                <w:b/>
              </w:rPr>
              <w:t>blunt finger dissection in the pretracheal plane</w:t>
            </w:r>
            <w:r>
              <w:t xml:space="preserve"> — mention it.</w:t>
            </w:r>
          </w:p>
        </w:tc>
      </w:tr>
    </w:tbl>
    <w:p>
      <w:pPr>
        <w:spacing w:before="0" w:after="14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Likely examination questions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Q1.  </w:t>
      </w:r>
      <w:r>
        <w:rPr>
          <w:b/>
          <w:sz w:val="19"/>
        </w:rPr>
        <w:t>What does a mediastinoscopy tray contain?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A minor tray for the suprasternal incision plus: a tapered open mediastinoscope with fibre-optic light carrier, cable, source and camera; long cup biopsy forceps, long aspirating needle and syringe, long blunt dissectors, long insulated suction–coagulation cannula, long clip applier and long swab carriers; small Langenbeck and Weitlaner retractors with fine Metzenbaum scissors and Adson forceps; and — essentially — a complete thoracotomy tray with sternal saw, vascular clamps and suture, haemostatic agents, chest drain and cross-matched blood immediately available.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Q2.  </w:t>
      </w:r>
      <w:r>
        <w:rPr>
          <w:b/>
          <w:sz w:val="19"/>
        </w:rPr>
        <w:t>Why is a node aspirated before biopsy?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Because a great vessel can be mistaken for a lymph node in the narrow, poorly lit mediastinal channel. Aspiration returning blood identifies a vessel and prevents catastrophic haemorrhage from biopsying it.</w:t>
      </w:r>
    </w:p>
    <w:p>
      <w:r>
        <w:br w:type="page"/>
      </w:r>
    </w:p>
    <w:p>
      <w:bookmarkStart w:id="1045" w:name="tray_4_2"/>
      <w:pPr>
        <w:pStyle w:val="Heading2"/>
        <w:spacing w:before="320" w:after="40"/>
        <w:keepLines/>
        <w:keepNext/>
        <w:pBdr>
          <w:bottom w:val="single" w:sz="12" w:space="3" w:color="000000"/>
        </w:pBdr>
      </w:pPr>
      <w:r>
        <w:rPr>
          <w:rFonts w:ascii="Calibri" w:hAnsi="Calibri"/>
          <w:b/>
          <w:color w:val="666666"/>
          <w:sz w:val="29"/>
        </w:rPr>
        <w:t xml:space="preserve">4.2   </w:t>
      </w:r>
      <w:r>
        <w:rPr>
          <w:rFonts w:ascii="Calibri" w:hAnsi="Calibri"/>
          <w:b/>
          <w:sz w:val="29"/>
        </w:rPr>
        <w:t>Thoracotomy Tray</w:t>
      </w:r>
      <w:bookmarkEnd w:id="1045"/>
    </w:p>
    <w:p>
      <w:pPr>
        <w:spacing w:before="60" w:after="100"/>
      </w:pPr>
      <w:r>
        <w:rPr>
          <w:rFonts w:ascii="Calibri" w:hAnsi="Calibri"/>
          <w:b/>
          <w:caps/>
          <w:color w:val="555555"/>
          <w:sz w:val="17"/>
        </w:rPr>
        <w:t xml:space="preserve">Also called:  </w:t>
      </w:r>
      <w:r>
        <w:rPr>
          <w:i/>
          <w:color w:val="333333"/>
          <w:sz w:val="18"/>
        </w:rPr>
        <w:t>Posterolateral thoracotomy tray · lung resection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W w:type="dxa" w:w="691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rayLead"/>
            </w:pPr>
            <w:r>
              <w:rPr>
                <w:b/>
              </w:rPr>
              <w:t>Thoracotomy</w:t>
            </w:r>
            <w:r>
              <w:t xml:space="preserve"> opens the chest between the ribs to reach the lung, pleura, oesophagus or mediastinum. The tray is a major tray plus three distinct groups: </w:t>
            </w:r>
            <w:r>
              <w:rPr>
                <w:b/>
              </w:rPr>
              <w:t>rib instruments</w:t>
            </w:r>
            <w:r>
              <w:t xml:space="preserve"> to enter and spread the chest, </w:t>
            </w:r>
            <w:r>
              <w:rPr>
                <w:b/>
              </w:rPr>
              <w:t>pulmonary vascular and bronchial instruments</w:t>
            </w:r>
            <w:r>
              <w:t xml:space="preserve"> to divide the hilum, and </w:t>
            </w:r>
            <w:r>
              <w:rPr>
                <w:b/>
              </w:rPr>
              <w:t>closure/drainage</w:t>
            </w:r>
            <w:r>
              <w:t xml:space="preserve"> equipment to restore negative intrapleural pressure.</w:t>
            </w:r>
          </w:p>
          <w:p>
            <w:pPr>
              <w:pStyle w:val="TinyLabel"/>
            </w:pPr>
            <w:r>
              <w:t>Used for / includes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Lobectomy, pneumonectomy and wedge resection for carcinoma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Decortication and pleurectomy for empyema or trapped lung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Open lung biopsy; excision of a bulla or blebs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Oesophagectomy (thoracic component)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Repair of thoracic trauma; drainage of a haemothorax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Excision of a mediastinal mass</w:t>
            </w:r>
          </w:p>
        </w:tc>
        <w:tc>
          <w:tcPr>
            <w:tcW w:type="dxa" w:w="19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68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spacing w:before="40" w:after="20" w:line="240" w:lineRule="auto"/>
              <w:pBdr>
                <w:top w:val="single" w:sz="4" w:space="2" w:color="999999"/>
                <w:left w:val="single" w:sz="4" w:space="3" w:color="999999"/>
                <w:bottom w:val="single" w:sz="4" w:space="2" w:color="999999"/>
                <w:right w:val="single" w:sz="4" w:space="3" w:color="999999"/>
              </w:pBdr>
            </w:pPr>
            <w:r>
              <w:drawing>
                <wp:inline xmlns:a="http://schemas.openxmlformats.org/drawingml/2006/main" xmlns:pic="http://schemas.openxmlformats.org/drawingml/2006/picture">
                  <wp:extent cx="2286000" cy="26334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633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Caption"/>
              <w:jc w:val="center"/>
              <w:spacing w:before="40" w:after="120"/>
            </w:pPr>
            <w:r>
              <w:t>Fig 4.2 — Enter, spread, divide, close, drain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E4E4E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Chest drain rules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Drains are placed </w:t>
            </w:r>
            <w:r>
              <w:rPr>
                <w:b/>
              </w:rPr>
              <w:t>apically for air</w:t>
            </w:r>
            <w:r>
              <w:t xml:space="preserve"> and </w:t>
            </w:r>
            <w:r>
              <w:rPr>
                <w:b/>
              </w:rPr>
              <w:t>basally for fluid</w:t>
            </w:r>
            <w:r>
              <w:t>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</w:t>
            </w:r>
            <w:r>
              <w:rPr>
                <w:b/>
              </w:rPr>
              <w:t>underwater seal</w:t>
            </w:r>
            <w:r>
              <w:t xml:space="preserve"> acts as a one-way valve, letting air out and none in.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Two clamps travel with every chest drain.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bottle is kept </w:t>
            </w:r>
            <w:r>
              <w:rPr>
                <w:b/>
              </w:rPr>
              <w:t>below the level of the chest</w:t>
            </w:r>
            <w:r>
              <w:t xml:space="preserve"> at all times.</w:t>
            </w:r>
          </w:p>
        </w:tc>
      </w:tr>
    </w:tbl>
    <w:p>
      <w:pPr>
        <w:spacing w:before="0" w:after="140" w:line="240" w:lineRule="auto"/>
      </w:pPr>
    </w:p>
    <w:p>
      <w:pPr>
        <w:pStyle w:val="Heading3"/>
        <w:keepLines/>
        <w:keepNext/>
      </w:pPr>
      <w:r>
        <w:rPr>
          <w:rFonts w:ascii="Calibri" w:hAnsi="Calibri"/>
          <w:b/>
        </w:rPr>
        <w:t>Contents of the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85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Qty</w:t>
            </w:r>
          </w:p>
        </w:tc>
        <w:tc>
          <w:tcPr>
            <w:tcW w:type="dxa" w:w="4082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Instrument</w:t>
            </w:r>
          </w:p>
        </w:tc>
        <w:tc>
          <w:tcPr>
            <w:tcW w:type="dxa" w:w="5868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Notes / rationale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BASE SET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Complete major procedures tray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see 1.1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instruments tray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the hilum is deep within the cage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RIB INSTRUMENTS — ENTERING AND SPREADING THE CHEST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Finochietto rib spreader (self-retaining)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rack-and-crank retractor that spreads the intercostal space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Rib shears / rib cutter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divides a rib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Doyen periosteal elevator (rib raspatory)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semicircular hook stripping periosteum from the rib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Rib rongeur / bone nibbler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trimming the cut rib end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Rib approximator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pulls adjacent ribs together for closure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rasp and bone wax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Gigli saw with handles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alternative rib division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Sternal saw and sternal wire set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if the approach is converted to sternotomy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Alexander / Matson periosteotome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raising periosteum along the rib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LUNG, HILAR AND BRONCHIAL INSTRUMENTS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Lung (Duval / Pennington) grasping forceps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triangular atraumatic jaws for holding lung tissue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Bronchus clamp (Sarot / Lees)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occludes the bronchus before division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Satinsky (side-biting) vascular clamps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pulmonary artery and vein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Bulldog clamps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small pulmonary vessels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DeBakey vascular forceps, long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atraumatic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Potts-Smith angled vascular scissors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6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right-angled (Mixter) forceps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encircling hilar structures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Vessel loops and umbilical tapes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Bronchial / pulmonary stapler with reloads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the modern method of dividing bronchus and vessels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Bronchoscope with light source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available — checks the bronchial stump and clears secretions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Vascular suture 3-0 to 5-0 double-armed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RETRACTION AND EXPOSURE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Deaver retractors, deep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Malleable retractors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protects lung and pericardium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Richardson retractors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chest wall layers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Scapular retractor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elevates the scapula in a posterolateral approach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Moist packs / lung swabs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packing the lung away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Head-light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CLOSURE AND DRAINAGE — NEVER OMITTED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Chest drain(s), 28–32 Fr, with trocar or clamp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requirement</w:t>
            </w:r>
            <w:r>
              <w:t xml:space="preserve"> — apical drain for air, basal drain for fluid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Underwater-seal drainage system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restores and maintains negative intrapleural pressure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Chest drain (tube) clamps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two clamps must accompany every chest drain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Heavy non-absorbable suture / sternal wire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pericostal closure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Rib approximator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brings the ribs together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Wire twister and wire cutter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if sternotomy was performed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Absorbable suture for muscle layers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Suction source and tubing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Specimen container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lung specimen orientated and labelled; nodes sent separately by station</w:t>
            </w:r>
          </w:p>
        </w:tc>
      </w:tr>
    </w:tbl>
    <w:p>
      <w:pPr>
        <w:spacing w:before="0" w:after="16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Additional supplies and accessories</w:t>
      </w:r>
    </w:p>
    <w:p>
      <w:pPr>
        <w:pStyle w:val="BoxBody"/>
        <w:ind w:start="170"/>
      </w:pPr>
      <w:r>
        <w:rPr>
          <w:b/>
        </w:rPr>
        <w:t>Position</w:t>
      </w:r>
      <w:r>
        <w:t xml:space="preserve"> — </w:t>
      </w:r>
      <w:r>
        <w:rPr>
          <w:b/>
        </w:rPr>
        <w:t>Lateral decubitus</w:t>
      </w:r>
      <w:r>
        <w:t xml:space="preserve"> with the operative side up, arm forward on an arm-board, axillary roll, table flexed to open the intercostal spaces; the lower leg flexed with padding between the knees.</w:t>
      </w:r>
    </w:p>
    <w:p>
      <w:pPr>
        <w:pStyle w:val="BoxBody"/>
        <w:ind w:start="170"/>
      </w:pPr>
      <w:r>
        <w:rPr>
          <w:b/>
        </w:rPr>
        <w:t>Anaesthesia</w:t>
      </w:r>
      <w:r>
        <w:t xml:space="preserve"> — Double-lumen endotracheal tube for </w:t>
      </w:r>
      <w:r>
        <w:rPr>
          <w:b/>
        </w:rPr>
        <w:t>one-lung ventilation</w:t>
      </w:r>
      <w:r>
        <w:t>, allowing the operative lung to be collapsed.</w:t>
      </w:r>
    </w:p>
    <w:p>
      <w:pPr>
        <w:pStyle w:val="BoxBody"/>
        <w:ind w:start="170"/>
      </w:pPr>
      <w:r>
        <w:rPr>
          <w:b/>
        </w:rPr>
        <w:t>Incision</w:t>
      </w:r>
      <w:r>
        <w:t xml:space="preserve"> — Posterolateral thoracotomy through the 5th or 6th intercostal space is standard; anterolateral for trauma; median sternotomy for bilateral or mediastinal access.</w:t>
      </w:r>
    </w:p>
    <w:p>
      <w:pPr>
        <w:pStyle w:val="BoxBody"/>
        <w:ind w:start="170"/>
      </w:pPr>
      <w:r>
        <w:rPr>
          <w:b/>
        </w:rPr>
        <w:t>Complications</w:t>
      </w:r>
      <w:r>
        <w:t xml:space="preserve"> — Haemorrhage, persistent air leak, bronchopleural fistula, empyema, atelectasis and pneumonia, post-thoracotomy pain, arrhythmia and chylothorax.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F0F0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Examination pointers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Name the </w:t>
            </w:r>
            <w:r>
              <w:rPr>
                <w:b/>
              </w:rPr>
              <w:t>four rib instruments</w:t>
            </w:r>
            <w:r>
              <w:t>: Finochietto spreader, rib shears, Doyen periosteal elevator, rib approximator.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Duval lung forceps</w:t>
            </w:r>
            <w:r>
              <w:t xml:space="preserve"> is the lung-specific grasper.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Chest drain + underwater seal + two clamps</w:t>
            </w:r>
            <w:r>
              <w:t xml:space="preserve"> must appear in every answer.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Mention </w:t>
            </w:r>
            <w:r>
              <w:rPr>
                <w:b/>
              </w:rPr>
              <w:t>one-lung ventilation via a double-lumen tube</w:t>
            </w:r>
            <w:r>
              <w:t xml:space="preserve"> — an easy mark showing you understand the operation.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Describe the </w:t>
            </w:r>
            <w:r>
              <w:rPr>
                <w:b/>
              </w:rPr>
              <w:t>lateral decubitus position with the table flexed and an axillary roll</w:t>
            </w:r>
            <w:r>
              <w:t>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Bronchoscope available</w:t>
            </w:r>
            <w:r>
              <w:t xml:space="preserve"> to check the bronchial stump.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E4E4E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Common mistakes to avoid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Omitting the chest drain and underwater seal.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Forgetting the rib approximator for closure — candidates remember how to open but not how to close.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Not mentioning cross-matched blood.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Confusing Finochietto (spreads ribs apart) with the rib approximator (brings them together).</w:t>
            </w:r>
          </w:p>
        </w:tc>
      </w:tr>
    </w:tbl>
    <w:p>
      <w:pPr>
        <w:spacing w:before="0" w:after="14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Likely examination questions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Q1.  </w:t>
      </w:r>
      <w:r>
        <w:rPr>
          <w:b/>
          <w:sz w:val="19"/>
        </w:rPr>
        <w:t>Describe the thoracotomy tray.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A major tray with a long instruments tray, plus: rib instruments — Finochietto self-retaining rib spreader, rib shears, Doyen periosteal elevator, rib rongeur, rib approximator, rasp, bone wax, Gigli saw and a sternal saw with wire set; lung and hilar instruments — Duval lung forceps, bronchus clamps, Satinsky and bulldog vascular clamps, DeBakey forceps, Potts scissors, long Mixter forceps, vessel loops, pulmonary staplers, bronchoscope and vascular suture; deep Deaver, malleable, Richardson and scapular retractors with a head-light; and closure and drainage — 28–32 Fr chest drains with an underwater-seal system and two clamps, heavy pericostal suture, wire twister and specimen containers.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Q2.  </w:t>
      </w:r>
      <w:r>
        <w:rPr>
          <w:b/>
          <w:sz w:val="19"/>
        </w:rPr>
        <w:t>Why is an underwater-seal drainage system used after thoracotomy?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The pleural space is normally at negative pressure. The underwater seal acts as a one-way valve that allows air and fluid to escape from the pleural cavity during expiration but prevents atmospheric air from entering, so the lung re-expands and negative intrapleural pressure is re-established.</w:t>
      </w:r>
    </w:p>
    <w:p>
      <w:r>
        <w:br w:type="page"/>
      </w:r>
    </w:p>
    <w:p>
      <w:bookmarkStart w:id="1046" w:name="tray_4_3"/>
      <w:pPr>
        <w:pStyle w:val="Heading2"/>
        <w:spacing w:before="320" w:after="40"/>
        <w:keepLines/>
        <w:keepNext/>
        <w:pBdr>
          <w:bottom w:val="single" w:sz="12" w:space="3" w:color="000000"/>
        </w:pBdr>
      </w:pPr>
      <w:r>
        <w:rPr>
          <w:rFonts w:ascii="Calibri" w:hAnsi="Calibri"/>
          <w:b/>
          <w:color w:val="666666"/>
          <w:sz w:val="29"/>
        </w:rPr>
        <w:t xml:space="preserve">4.3   </w:t>
      </w:r>
      <w:r>
        <w:rPr>
          <w:rFonts w:ascii="Calibri" w:hAnsi="Calibri"/>
          <w:b/>
          <w:sz w:val="29"/>
        </w:rPr>
        <w:t>Pacemaker Tray</w:t>
      </w:r>
      <w:bookmarkEnd w:id="1046"/>
    </w:p>
    <w:p>
      <w:pPr>
        <w:spacing w:before="60" w:after="100"/>
      </w:pPr>
      <w:r>
        <w:rPr>
          <w:rFonts w:ascii="Calibri" w:hAnsi="Calibri"/>
          <w:b/>
          <w:caps/>
          <w:color w:val="555555"/>
          <w:sz w:val="17"/>
        </w:rPr>
        <w:t xml:space="preserve">Also called:  </w:t>
      </w:r>
      <w:r>
        <w:rPr>
          <w:i/>
          <w:color w:val="333333"/>
          <w:sz w:val="18"/>
        </w:rPr>
        <w:t>Permanent pacemaker insertion tray · PPM implantation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W w:type="dxa" w:w="691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rayLead"/>
            </w:pPr>
            <w:r>
              <w:t xml:space="preserve">A </w:t>
            </w:r>
            <w:r>
              <w:rPr>
                <w:b/>
              </w:rPr>
              <w:t>permanent pacemaker</w:t>
            </w:r>
            <w:r>
              <w:t xml:space="preserve"> consists of a </w:t>
            </w:r>
            <w:r>
              <w:rPr>
                <w:b/>
              </w:rPr>
              <w:t>pulse generator</w:t>
            </w:r>
            <w:r>
              <w:t xml:space="preserve"> implanted in a subcutaneous or subpectoral pocket, connected to one or more </w:t>
            </w:r>
            <w:r>
              <w:rPr>
                <w:b/>
              </w:rPr>
              <w:t>leads</w:t>
            </w:r>
            <w:r>
              <w:t xml:space="preserve"> positioned in the heart. Transvenous implantation is a </w:t>
            </w:r>
            <w:r>
              <w:rPr>
                <w:b/>
              </w:rPr>
              <w:t>small-tray procedure performed under fluoroscopy</w:t>
            </w:r>
            <w:r>
              <w:t xml:space="preserve"> — so the tray is a minor set plus vascular access equipment, the device itself, and radiation protection.</w:t>
            </w:r>
          </w:p>
          <w:p>
            <w:pPr>
              <w:pStyle w:val="TinyLabel"/>
            </w:pPr>
            <w:r>
              <w:t>Used for / includes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Symptomatic bradycardia; sick sinus syndrome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Complete (third-degree) and symptomatic second-degree atrioventricular block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Atrial fibrillation with slow ventricular response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Cardiac resynchronisation therapy (biventricular pacing)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Implantable cardioverter-defibrillator insertion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Generator change (elective replacement for battery depletion) and lead revision</w:t>
            </w:r>
          </w:p>
        </w:tc>
        <w:tc>
          <w:tcPr>
            <w:tcW w:type="dxa" w:w="19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68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spacing w:before="40" w:after="20" w:line="240" w:lineRule="auto"/>
              <w:pBdr>
                <w:top w:val="single" w:sz="4" w:space="2" w:color="999999"/>
                <w:left w:val="single" w:sz="4" w:space="3" w:color="999999"/>
                <w:bottom w:val="single" w:sz="4" w:space="2" w:color="999999"/>
                <w:right w:val="single" w:sz="4" w:space="3" w:color="999999"/>
              </w:pBdr>
            </w:pPr>
            <w:r>
              <w:drawing>
                <wp:inline xmlns:a="http://schemas.openxmlformats.org/drawingml/2006/main" xmlns:pic="http://schemas.openxmlformats.org/drawingml/2006/picture">
                  <wp:extent cx="2286000" cy="18562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_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56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Caption"/>
              <w:jc w:val="center"/>
              <w:spacing w:before="40" w:after="120"/>
            </w:pPr>
            <w:r>
              <w:t>Fig 4.3 — A minor set plus the device and imaging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E4E4E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Small parts, big risk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</w:t>
            </w:r>
            <w:r>
              <w:rPr>
                <w:b/>
              </w:rPr>
              <w:t>torque wrench</w:t>
            </w:r>
            <w:r>
              <w:t xml:space="preserve"> is a tiny item that is easily lost in the pocket — </w:t>
            </w:r>
            <w:r>
              <w:rPr>
                <w:b/>
              </w:rPr>
              <w:t>include it in the count</w:t>
            </w:r>
            <w:r>
              <w:t>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Lead stylets and anchoring sleeves</w:t>
            </w:r>
            <w:r>
              <w:t xml:space="preserve"> are also small and countable.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Pneumothorax</w:t>
            </w:r>
            <w:r>
              <w:t xml:space="preserve"> is the classic early complication of subclavian puncture — a chest X-ray follows every implant.</w:t>
            </w:r>
          </w:p>
        </w:tc>
      </w:tr>
    </w:tbl>
    <w:p>
      <w:pPr>
        <w:spacing w:before="0" w:after="140" w:line="240" w:lineRule="auto"/>
      </w:pPr>
    </w:p>
    <w:p>
      <w:pPr>
        <w:pStyle w:val="Heading3"/>
        <w:keepLines/>
        <w:keepNext/>
      </w:pPr>
      <w:r>
        <w:rPr>
          <w:rFonts w:ascii="Calibri" w:hAnsi="Calibri"/>
          <w:b/>
        </w:rPr>
        <w:t>Contents of the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85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Qty</w:t>
            </w:r>
          </w:p>
        </w:tc>
        <w:tc>
          <w:tcPr>
            <w:tcW w:type="dxa" w:w="4082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Instrument</w:t>
            </w:r>
          </w:p>
        </w:tc>
        <w:tc>
          <w:tcPr>
            <w:tcW w:type="dxa" w:w="5868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Notes / rationale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BASE SET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Basic / minor procedures tray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see 1.2 — the pocket is a superficial dissection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VENOUS ACCESS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Introducer needle with syringe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subclavian, axillary or cephalic vein puncture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Guidewires (J-tipped)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Seldinger technique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Peel-away introducer sheaths and dilators, sized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admit the lead, then peel away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Vein pick / cephalic vein cut-down set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for the cephalic vein approach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vascular dissecting forceps and scissors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Heparinised saline flush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THE DEVICE AND LEADS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Pulse generator (single- or dual-chamber)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checked for model, serial number and battery status before opening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Endocardial pacing leads — active (screw-in) or passive (tined) fixation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right atrium and right ventricle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Lead stylets, straight and curved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shape the lead for positioning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Torque wrench / hex screwdriver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tightens the set-screw in the generator header; </w:t>
            </w:r>
            <w:r>
              <w:rPr>
                <w:b/>
              </w:rPr>
              <w:t>it is tiny and must be counted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Lead anchoring sleeves and non-absorbable ties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secure the lead to the pectoral fascia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Pacing system analyser (PSA) with cables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measures threshold, impedance and R-wave amplitude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Programmer / telemetry wand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interrogates and programmes the device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Epicardial lead set and screw-in electrodes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for the surgical/epicardial route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POCKET FORMATION AND CLOSURE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Knife handle No.3 with No.15 blade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infraclavicular incision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Metzenbaum scissors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blunt dissection of the pocket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Weitlaner / small self-retaining retractor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Army-Navy or Langenbeck retractors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8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mosquito and Crile forceps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haemostasis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Diathermy pencil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used with caution</w:t>
            </w:r>
            <w:r>
              <w:t xml:space="preserve"> — interference with the device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Needle holders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absorbable to fascia and subcutaneous tissue, subcuticular to skin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Antibiotic irrigation / antibacterial envelope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device infection is a serious complication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IMAGING AND RADIATION PROTECTION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Image intensifier (C-arm) with sterile drape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essential</w:t>
            </w:r>
            <w:r>
              <w:t xml:space="preserve"> — lead position is confirmed fluoroscopically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Lead aprons, thyroid shields and dosimeters for all staff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radiation protection is part of tray preparation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Radiolucent operating table and arm-boards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ECG monitor, defibrillator and external pacing capability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must be immediately available</w:t>
            </w:r>
            <w:r>
              <w:t xml:space="preserve"> — lead placement can provoke arrhythmia or asystole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Contrast medium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venography if venous access is difficult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Chest drain and thoracotomy back-up available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for pneumothorax or cardiac perforation/tamponade</w:t>
            </w:r>
          </w:p>
        </w:tc>
      </w:tr>
    </w:tbl>
    <w:p>
      <w:pPr>
        <w:spacing w:before="0" w:after="16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Additional supplies and accessories</w:t>
      </w:r>
    </w:p>
    <w:p>
      <w:pPr>
        <w:pStyle w:val="BoxBody"/>
        <w:ind w:start="170"/>
      </w:pPr>
      <w:r>
        <w:rPr>
          <w:b/>
        </w:rPr>
        <w:t>Position</w:t>
      </w:r>
      <w:r>
        <w:t xml:space="preserve"> — Supine with the arm on the operative side adducted or slightly abducted; the head turned away; left infraclavicular site is usual (favourable lead curve to the right ventricle).</w:t>
      </w:r>
    </w:p>
    <w:p>
      <w:pPr>
        <w:pStyle w:val="BoxBody"/>
        <w:ind w:start="170"/>
      </w:pPr>
      <w:r>
        <w:rPr>
          <w:b/>
        </w:rPr>
        <w:t>Preparation</w:t>
      </w:r>
      <w:r>
        <w:t xml:space="preserve"> — Antibiotic prophylaxis, ECG monitoring, intravenous access, anticoagulation reviewed, skin prepared widely from the neck to the nipple, and the device model confirmed against the plan.</w:t>
      </w:r>
    </w:p>
    <w:p>
      <w:pPr>
        <w:pStyle w:val="BoxBody"/>
        <w:ind w:start="170"/>
      </w:pPr>
      <w:r>
        <w:rPr>
          <w:b/>
        </w:rPr>
        <w:t>Complications</w:t>
      </w:r>
      <w:r>
        <w:t xml:space="preserve"> — </w:t>
      </w:r>
      <w:r>
        <w:rPr>
          <w:b/>
        </w:rPr>
        <w:t>Pneumothorax and haemothorax</w:t>
      </w:r>
      <w:r>
        <w:t xml:space="preserve"> (subclavian puncture), pocket haematoma, lead displacement, cardiac perforation with tamponade, arrhythmia during lead placement, diaphragmatic pacing, device infection and erosion, and Twiddler's syndrome.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F0F0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Examination pointers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This is a </w:t>
            </w:r>
            <w:r>
              <w:rPr>
                <w:b/>
              </w:rPr>
              <w:t>minor tray</w:t>
            </w:r>
            <w:r>
              <w:t xml:space="preserve"> procedure — say so, then list the additions.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Name the </w:t>
            </w:r>
            <w:r>
              <w:rPr>
                <w:b/>
              </w:rPr>
              <w:t>peel-away introducer sheath</w:t>
            </w:r>
            <w:r>
              <w:t xml:space="preserve"> and the </w:t>
            </w:r>
            <w:r>
              <w:rPr>
                <w:b/>
              </w:rPr>
              <w:t>torque wrench</w:t>
            </w:r>
            <w:r>
              <w:t>; both are unique to this tray.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Fluoroscopy with an image intensifier and lead aprons for all staff</w:t>
            </w:r>
            <w:r>
              <w:t xml:space="preserve"> is part of tray preparation.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A </w:t>
            </w:r>
            <w:r>
              <w:rPr>
                <w:b/>
              </w:rPr>
              <w:t>defibrillator with external pacing must be immediately available</w:t>
            </w:r>
            <w:r>
              <w:t>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Pneumothorax</w:t>
            </w:r>
            <w:r>
              <w:t xml:space="preserve"> is the complication to quote, with a post-procedure chest X-ray.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</w:t>
            </w:r>
            <w:r>
              <w:rPr>
                <w:b/>
              </w:rPr>
              <w:t>pacing system analyser</w:t>
            </w:r>
            <w:r>
              <w:t xml:space="preserve"> confirms thresholds before closure — a detail that distinguishes a good answer.</w:t>
            </w:r>
          </w:p>
        </w:tc>
      </w:tr>
    </w:tbl>
    <w:p>
      <w:pPr>
        <w:spacing w:before="0" w:after="14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Likely examination questions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Q1.  </w:t>
      </w:r>
      <w:r>
        <w:rPr>
          <w:b/>
          <w:sz w:val="19"/>
        </w:rPr>
        <w:t>List the requirements of a pacemaker insertion tray.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A minor tray plus: venous access equipment — introducer needle, guidewires, peel-away introducer sheaths and dilators, cephalic cut-down set and heparinised flush; the device — pulse generator, endocardial leads with active or passive fixation, stylets, torque wrench, anchoring sleeves, pacing system analyser and programmer; pocket instruments — No.15 blade, Metzenbaum scissors, self-retaining and hand-held retractors, fine haemostats, diathermy, needle holders and antibiotic irrigation; and imaging and safety — a draped image intensifier, lead aprons and thyroid shields, ECG monitor with defibrillator and external pacing, contrast medium, and chest drain back-up.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Q2.  </w:t>
      </w:r>
      <w:r>
        <w:rPr>
          <w:b/>
          <w:sz w:val="19"/>
        </w:rPr>
        <w:t>What is the commonest early complication of transvenous pacemaker insertion?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Pneumothorax from subclavian vein puncture, which is why a chest radiograph is obtained after every implantation and a chest drain is kept available.</w:t>
      </w:r>
    </w:p>
    <w:sectPr w:rsidR="00FC693F" w:rsidRPr="0006063C" w:rsidSect="00034616">
      <w:headerReference w:type="default" r:id="rId9"/>
      <w:footerReference w:type="default" r:id="rId10"/>
      <w:pgSz w:w="12240" w:h="20160"/>
      <w:pgMar w:top="720" w:right="720" w:bottom="720" w:left="7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2" w:color="AAAAAA"/>
      </w:pBdr>
      <w:spacing w:before="60"/>
    </w:pPr>
    <w:r/>
    <w:r>
      <w:rPr>
        <w:rFonts w:ascii="Calibri" w:hAnsi="Calibri"/>
        <w:color w:val="555555"/>
        <w:sz w:val="19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rPr>
        <w:rFonts w:ascii="Calibri" w:hAnsi="Calibri"/>
        <w:b/>
        <w:sz w:val="19"/>
      </w:rPr>
      <w:t>1</w:t>
    </w:r>
    <w:r>
      <w:fldChar w:fldCharType="end"/>
    </w:r>
    <w:r>
      <w:rPr>
        <w:rFonts w:ascii="Calibri" w:hAnsi="Calibri"/>
        <w:color w:val="555555"/>
        <w:sz w:val="19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800" w:val="right"/>
      </w:tabs>
      <w:pBdr>
        <w:bottom w:val="single" w:sz="6" w:space="2" w:color="AAAAAA"/>
      </w:pBdr>
      <w:spacing w:after="80"/>
    </w:pPr>
    <w:r/>
    <w:r>
      <w:rPr>
        <w:rFonts w:ascii="Calibri" w:hAnsi="Calibri"/>
        <w:b/>
        <w:caps/>
        <w:color w:val="444444"/>
        <w:sz w:val="16"/>
      </w:rPr>
      <w:t>Preparation of Instrument Trays</w:t>
    </w:r>
    <w:r>
      <w:rPr>
        <w:rFonts w:ascii="Calibri" w:hAnsi="Calibri"/>
        <w:i/>
        <w:color w:val="666666"/>
        <w:sz w:val="16"/>
      </w:rPr>
      <w:tab/>
      <w:t>Complete Examination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Georgia" w:hAnsi="Georgia"/>
      <w:sz w:val="21"/>
      <w:rFonts w:ascii="Georgia" w:hAnsi="Georgia" w:cs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aps/>
      <w:color w:val="FFFFF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yLead">
    <w:name w:val="TrayLead"/>
    <w:pPr>
      <w:spacing w:before="0" w:after="80" w:line="274" w:lineRule="auto"/>
    </w:pPr>
    <w:rPr>
      <w:rFonts w:ascii="Georgia" w:hAnsi="Georgia" w:cs="Georgia" w:eastAsia="Georgia"/>
      <w:b w:val="0"/>
      <w:i w:val="0"/>
      <w:color w:val="000000"/>
      <w:sz w:val="21"/>
    </w:rPr>
  </w:style>
  <w:style w:type="paragraph" w:customStyle="1" w:styleId="TinyLabel">
    <w:name w:val="TinyLabel"/>
    <w:pPr>
      <w:spacing w:before="0" w:after="20" w:line="269" w:lineRule="auto"/>
      <w:keepNext/>
      <w:keepLines/>
    </w:pPr>
    <w:rPr>
      <w:rFonts w:ascii="Calibri" w:hAnsi="Calibri" w:cs="Calibri" w:eastAsia="Calibri"/>
      <w:b/>
      <w:i w:val="0"/>
      <w:caps/>
      <w:color w:val="333333"/>
      <w:sz w:val="16"/>
      <w:spacing w:val="12"/>
    </w:rPr>
  </w:style>
  <w:style w:type="paragraph" w:customStyle="1" w:styleId="Bullet">
    <w:name w:val="Bullet"/>
    <w:pPr>
      <w:spacing w:before="0" w:after="40" w:line="264" w:lineRule="auto"/>
    </w:pPr>
    <w:rPr>
      <w:rFonts w:ascii="Georgia" w:hAnsi="Georgia" w:cs="Georgia" w:eastAsia="Georgia"/>
      <w:b w:val="0"/>
      <w:i w:val="0"/>
      <w:color w:val="000000"/>
      <w:sz w:val="20"/>
    </w:rPr>
  </w:style>
  <w:style w:type="paragraph" w:customStyle="1" w:styleId="SubBullet">
    <w:name w:val="SubBullet"/>
    <w:pPr>
      <w:spacing w:before="0" w:after="20" w:line="259" w:lineRule="auto"/>
    </w:pPr>
    <w:rPr>
      <w:rFonts w:ascii="Georgia" w:hAnsi="Georgia" w:cs="Georgia" w:eastAsia="Georgia"/>
      <w:b w:val="0"/>
      <w:i w:val="0"/>
      <w:color w:val="000000"/>
      <w:sz w:val="19"/>
    </w:rPr>
  </w:style>
  <w:style w:type="paragraph" w:customStyle="1" w:styleId="BoxHead">
    <w:name w:val="BoxHead"/>
    <w:pPr>
      <w:spacing w:before="0" w:after="40" w:line="269" w:lineRule="auto"/>
      <w:keepNext/>
      <w:keepLines/>
    </w:pPr>
    <w:rPr>
      <w:rFonts w:ascii="Calibri" w:hAnsi="Calibri" w:cs="Calibri" w:eastAsia="Calibri"/>
      <w:b/>
      <w:i w:val="0"/>
      <w:caps/>
      <w:color w:val="000000"/>
      <w:sz w:val="19"/>
      <w:spacing w:val="10"/>
    </w:rPr>
  </w:style>
  <w:style w:type="paragraph" w:customStyle="1" w:styleId="BoxBody">
    <w:name w:val="BoxBody"/>
    <w:pPr>
      <w:spacing w:before="0" w:after="40" w:line="264" w:lineRule="auto"/>
    </w:pPr>
    <w:rPr>
      <w:rFonts w:ascii="Georgia" w:hAnsi="Georgia" w:cs="Georgia" w:eastAsia="Georgia"/>
      <w:b w:val="0"/>
      <w:i w:val="0"/>
      <w:color w:val="000000"/>
      <w:sz w:val="19"/>
    </w:rPr>
  </w:style>
  <w:style w:type="paragraph" w:customStyle="1" w:styleId="TabHead">
    <w:name w:val="TabHead"/>
    <w:pPr>
      <w:spacing w:before="20" w:after="20" w:line="252" w:lineRule="auto"/>
      <w:keepNext/>
      <w:keepLines/>
    </w:pPr>
    <w:rPr>
      <w:rFonts w:ascii="Calibri" w:hAnsi="Calibri" w:cs="Calibri" w:eastAsia="Calibri"/>
      <w:b/>
      <w:i w:val="0"/>
      <w:color w:val="000000"/>
      <w:sz w:val="18"/>
    </w:rPr>
  </w:style>
  <w:style w:type="paragraph" w:customStyle="1" w:styleId="TabCell">
    <w:name w:val="TabCell"/>
    <w:pPr>
      <w:spacing w:before="20" w:after="20" w:line="254" w:lineRule="auto"/>
    </w:pPr>
    <w:rPr>
      <w:rFonts w:ascii="Georgia" w:hAnsi="Georgia" w:cs="Georgia" w:eastAsia="Georgia"/>
      <w:b w:val="0"/>
      <w:i w:val="0"/>
      <w:color w:val="000000"/>
      <w:sz w:val="18"/>
    </w:rPr>
  </w:style>
  <w:style w:type="paragraph" w:customStyle="1" w:styleId="TabCellSm">
    <w:name w:val="TabCellSm"/>
    <w:pPr>
      <w:spacing w:before="20" w:after="20" w:line="252" w:lineRule="auto"/>
    </w:pPr>
    <w:rPr>
      <w:rFonts w:ascii="Georgia" w:hAnsi="Georgia" w:cs="Georgia" w:eastAsia="Georgia"/>
      <w:b w:val="0"/>
      <w:i w:val="0"/>
      <w:color w:val="000000"/>
      <w:sz w:val="17"/>
    </w:rPr>
  </w:style>
  <w:style w:type="paragraph" w:customStyle="1" w:styleId="FigCaption">
    <w:name w:val="FigCaption"/>
    <w:pPr>
      <w:spacing w:before="40" w:after="120" w:line="252" w:lineRule="auto"/>
      <w:jc w:val="center"/>
    </w:pPr>
    <w:rPr>
      <w:rFonts w:ascii="Calibri" w:hAnsi="Calibri" w:cs="Calibri" w:eastAsia="Calibri"/>
      <w:b w:val="0"/>
      <w:i/>
      <w:color w:val="333333"/>
      <w:sz w:val="16"/>
    </w:rPr>
  </w:style>
  <w:style w:type="paragraph" w:customStyle="1" w:styleId="TOCHead">
    <w:name w:val="TOCHead"/>
    <w:pPr>
      <w:spacing w:before="0" w:after="80" w:line="269" w:lineRule="auto"/>
      <w:jc w:val="center"/>
    </w:pPr>
    <w:rPr>
      <w:rFonts w:ascii="Calibri" w:hAnsi="Calibri" w:cs="Calibri" w:eastAsia="Calibri"/>
      <w:b/>
      <w:i w:val="0"/>
      <w:caps/>
      <w:color w:val="000000"/>
      <w:sz w:val="40"/>
      <w:spacing w:val="24"/>
    </w:rPr>
  </w:style>
  <w:style w:type="paragraph" w:customStyle="1" w:styleId="CoverTitle">
    <w:name w:val="CoverTitle"/>
    <w:pPr>
      <w:spacing w:before="0" w:after="0" w:line="240" w:lineRule="auto"/>
      <w:jc w:val="center"/>
    </w:pPr>
    <w:rPr>
      <w:rFonts w:ascii="Calibri" w:hAnsi="Calibri" w:cs="Calibri" w:eastAsia="Calibri"/>
      <w:b/>
      <w:i w:val="0"/>
      <w:color w:val="000000"/>
      <w:sz w:val="68"/>
    </w:rPr>
  </w:style>
  <w:style w:type="paragraph" w:customStyle="1" w:styleId="CoverSub">
    <w:name w:val="CoverSub"/>
    <w:pPr>
      <w:spacing w:before="0" w:after="0" w:line="269" w:lineRule="auto"/>
      <w:jc w:val="center"/>
    </w:pPr>
    <w:rPr>
      <w:rFonts w:ascii="Calibri" w:hAnsi="Calibri" w:cs="Calibri" w:eastAsia="Calibri"/>
      <w:b w:val="0"/>
      <w:i w:val="0"/>
      <w:color w:val="333333"/>
      <w:sz w:val="26"/>
    </w:rPr>
  </w:style>
  <w:style w:type="paragraph" w:customStyle="1" w:styleId="Mnemonic">
    <w:name w:val="Mnemonic"/>
    <w:pPr>
      <w:spacing w:before="0" w:after="40" w:line="264" w:lineRule="auto"/>
    </w:pPr>
    <w:rPr>
      <w:rFonts w:ascii="Consolas" w:hAnsi="Consolas" w:cs="Consolas" w:eastAsia="Consolas"/>
      <w:b/>
      <w:i w:val="0"/>
      <w:color w:val="000000"/>
      <w:sz w:val="19"/>
    </w:rPr>
  </w:style>
  <w:style w:type="paragraph" w:customStyle="1" w:styleId="QBank">
    <w:name w:val="QBank"/>
    <w:pPr>
      <w:spacing w:before="0" w:after="60" w:line="264" w:lineRule="auto"/>
    </w:pPr>
    <w:rPr>
      <w:rFonts w:ascii="Georgia" w:hAnsi="Georgia" w:cs="Georgia" w:eastAsia="Georgia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