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6" w:space="0" w:color="000000"/>
          <w:left w:val="single" w:sz="8" w:space="0" w:color="000000"/>
          <w:bottom w:val="single" w:sz="36" w:space="0" w:color="000000"/>
          <w:right w:val="single" w:sz="8" w:space="0" w:color="000000"/>
        </w:tblBorders>
      </w:tblPr>
      <w:tblGrid>
        <w:gridCol w:w="10800"/>
      </w:tblGrid>
      <w:tr>
        <w:tc>
          <w:tcPr>
            <w:tcW w:type="dxa" w:w="10800"/>
            <w:tcMar>
              <w:top w:w="420" w:type="dxa"/>
              <w:start w:w="260" w:type="dxa"/>
              <w:bottom w:w="420" w:type="dxa"/>
              <w:end w:w="260" w:type="dxa"/>
            </w:tcMar>
          </w:tcPr>
          <w:p>
            <w:pPr>
              <w:pStyle w:val="CoverSub"/>
              <w:spacing w:after="120"/>
            </w:pPr>
            <w:r>
              <w:rPr>
                <w:b/>
                <w:sz w:val="22"/>
                <w:spacing w:val="60"/>
              </w:rPr>
              <w:t>PART X — INSTRUMENT TRAYS</w:t>
            </w:r>
          </w:p>
          <w:p>
            <w:pPr>
              <w:pStyle w:val="CoverTitle"/>
              <w:spacing w:before="40" w:after="160"/>
            </w:pPr>
            <w:r>
              <w:t>PAEDIATRIC TRAYS</w:t>
            </w:r>
          </w:p>
          <w:p>
            <w:pPr>
              <w:jc w:val="center"/>
              <w:spacing w:before="0" w:after="200" w:line="240" w:lineRule="auto"/>
              <w:pBdr>
                <w:bottom w:val="single" w:sz="12" w:space="1" w:color="000000"/>
              </w:pBdr>
            </w:pPr>
          </w:p>
          <w:p>
            <w:pPr>
              <w:pStyle w:val="CoverSub"/>
              <w:spacing w:before="20" w:after="20"/>
            </w:pPr>
            <w:r>
              <w:rPr>
                <w:sz w:val="21"/>
              </w:rPr>
              <w:t>Complete, illustrated examination notes</w:t>
            </w:r>
          </w:p>
          <w:p>
            <w:pPr>
              <w:pStyle w:val="CoverSub"/>
              <w:spacing w:before="20" w:after="20"/>
            </w:pPr>
            <w:r>
              <w:rPr>
                <w:sz w:val="21"/>
              </w:rPr>
              <w:t>General · Gynaecologic &amp; Obstetric · Genitourinary · Thoracic</w:t>
            </w:r>
          </w:p>
          <w:p>
            <w:pPr>
              <w:pStyle w:val="CoverSub"/>
              <w:spacing w:before="20" w:after="20"/>
            </w:pPr>
            <w:r>
              <w:rPr>
                <w:sz w:val="21"/>
              </w:rPr>
              <w:t>Cardiovascular · Orthopaedic · Neurologic · ENT · Ophthalmic · Paediatric</w:t>
            </w:r>
          </w:p>
          <w:p>
            <w:pPr>
              <w:jc w:val="center"/>
              <w:spacing w:before="280" w:after="40" w:line="240" w:lineRule="auto"/>
              <w:pBdr>
                <w:top w:val="single" w:sz="6" w:space="4" w:color="999999"/>
              </w:pBdr>
            </w:pPr>
          </w:p>
          <w:p>
            <w:pPr>
              <w:pStyle w:val="CoverSub"/>
              <w:spacing w:before="20" w:after="20"/>
            </w:pPr>
            <w:r>
              <w:rPr>
                <w:i/>
                <w:color w:val="555555"/>
                <w:sz w:val="18"/>
              </w:rPr>
              <w:t>Legal (8.5 × 14 in) · 1.27 cm margins · monochrome print-ready</w:t>
            </w:r>
          </w:p>
          <w:p>
            <w:pPr>
              <w:pStyle w:val="CoverSub"/>
              <w:spacing w:before="20" w:after="20"/>
            </w:pPr>
            <w:r>
              <w:rPr>
                <w:i/>
                <w:color w:val="555555"/>
                <w:sz w:val="18"/>
              </w:rPr>
              <w:t>Every figure is an original line diagram, drawn for clarity in black and white</w:t>
            </w:r>
          </w:p>
        </w:tc>
      </w:tr>
    </w:tbl>
    <w:p>
      <w:r>
        <w:br w:type="page"/>
      </w:r>
    </w:p>
    <w:p>
      <w:pPr>
        <w:pStyle w:val="TOCHead"/>
        <w:spacing w:before="80" w:after="40"/>
      </w:pPr>
      <w:bookmarkStart w:id="1086" w:name="toc"/>
      <w:r>
        <w:t>Table of Contents</w:t>
      </w:r>
      <w:bookmarkEnd w:id="1086"/>
    </w:p>
    <w:p>
      <w:pPr>
        <w:jc w:val="center"/>
        <w:spacing w:before="0" w:after="80" w:line="240" w:lineRule="auto"/>
        <w:pBdr>
          <w:bottom w:val="single" w:sz="18" w:space="1" w:color="000000"/>
        </w:pBdr>
      </w:pPr>
    </w:p>
    <w:p>
      <w:pPr>
        <w:jc w:val="center"/>
        <w:spacing w:before="0" w:after="180"/>
      </w:pPr>
      <w:r>
        <w:rPr>
          <w:rFonts w:ascii="Calibri" w:hAnsi="Calibri"/>
          <w:i/>
          <w:color w:val="444444"/>
          <w:sz w:val="17"/>
        </w:rPr>
        <w:t>The page numbers are live fields, shown as “—” until they are filled in.  **To update them: press Ctrl+A then F9** (on a Mac, Cmd+A then Fn+F9) — or right-click any number and choose “Update Field”. Word normally offers to do this when the file opens. Once updated, each number is also a link: Ctrl+click it to jump to that tray.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6" w:space="0" w:color="000000"/>
        </w:tblBorders>
      </w:tblPr>
      <w:tblGrid>
        <w:gridCol w:w="5400"/>
        <w:gridCol w:w="5400"/>
      </w:tblGrid>
      <w:tr>
        <w:trPr>
          <w:tblHeader/>
          <w:cantSplit/>
        </w:trPr>
        <w:tc>
          <w:tcPr>
            <w:tcW w:type="dxa" w:w="9666"/>
            <w:shd w:val="clear" w:color="auto" w:fill="D9D9D9"/>
            <w:tcMar>
              <w:top w:w="60" w:type="dxa"/>
              <w:start w:w="90" w:type="dxa"/>
              <w:bottom w:w="60" w:type="dxa"/>
              <w:end w:w="9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Tray / Chapter</w:t>
            </w:r>
          </w:p>
        </w:tc>
        <w:tc>
          <w:tcPr>
            <w:tcW w:type="dxa" w:w="1134"/>
            <w:shd w:val="clear" w:color="auto" w:fill="D9D9D9"/>
            <w:tcMar>
              <w:top w:w="60" w:type="dxa"/>
              <w:start w:w="90" w:type="dxa"/>
              <w:bottom w:w="60" w:type="dxa"/>
              <w:end w:w="9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Page</w:t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  <w:shd w:val="clear" w:color="auto" w:fill="E4E4E4"/>
          </w:tcPr>
          <w:p>
            <w:pPr>
              <w:pStyle w:val="TabCell"/>
            </w:pPr>
            <w:r>
              <w:rPr>
                <w:rFonts w:ascii="Calibri" w:hAnsi="Calibri"/>
                <w:b/>
                <w:sz w:val="18"/>
                <w:spacing w:val="12"/>
              </w:rPr>
              <w:t>PAEDIATRIC TRAYS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  <w:shd w:val="clear" w:color="auto" w:fill="E4E4E4"/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part_X \h </w:instrText>
            </w:r>
            <w:r>
              <w:fldChar w:fldCharType="separate"/>
            </w:r>
            <w:r>
              <w:rPr>
                <w:rFonts w:ascii="Calibri" w:hAnsi="Calibri"/>
                <w:b/>
                <w:sz w:val="19"/>
              </w:rPr>
              <w:t>—</w:t>
            </w:r>
            <w:r>
              <w:fldChar w:fldCharType="end"/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ind w:start="238"/>
            </w:pPr>
            <w:r>
              <w:rPr>
                <w:sz w:val="19"/>
              </w:rPr>
              <w:t>10.1   Paediatric Major Procedures Tray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tray_10_1 \h </w:instrText>
            </w:r>
            <w:r>
              <w:fldChar w:fldCharType="separate"/>
            </w:r>
            <w:r>
              <w:rPr>
                <w:rFonts w:ascii="Calibri" w:hAnsi="Calibri"/>
                <w:sz w:val="19"/>
              </w:rPr>
              <w:t>—</w:t>
            </w:r>
            <w:r>
              <w:fldChar w:fldCharType="end"/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ind w:start="238"/>
            </w:pPr>
            <w:r>
              <w:rPr>
                <w:sz w:val="19"/>
              </w:rPr>
              <w:t>10.2   Paediatric Minor Procedures Tray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tray_10_2 \h </w:instrText>
            </w:r>
            <w:r>
              <w:fldChar w:fldCharType="separate"/>
            </w:r>
            <w:r>
              <w:rPr>
                <w:rFonts w:ascii="Calibri" w:hAnsi="Calibri"/>
                <w:sz w:val="19"/>
              </w:rPr>
              <w:t>—</w:t>
            </w:r>
            <w:r>
              <w:fldChar w:fldCharType="end"/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ind w:start="238"/>
            </w:pPr>
            <w:r>
              <w:rPr>
                <w:sz w:val="19"/>
              </w:rPr>
              <w:t>10.3   Paediatric Gastrointestinal Procedures Tray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tray_10_3 \h </w:instrText>
            </w:r>
            <w:r>
              <w:fldChar w:fldCharType="separate"/>
            </w:r>
            <w:r>
              <w:rPr>
                <w:rFonts w:ascii="Calibri" w:hAnsi="Calibri"/>
                <w:sz w:val="19"/>
              </w:rPr>
              <w:t>—</w:t>
            </w:r>
            <w:r>
              <w:fldChar w:fldCharType="end"/>
            </w:r>
          </w:p>
        </w:tc>
      </w:tr>
    </w:tbl>
    <w:p>
      <w:pPr>
        <w:spacing w:before="0" w:after="120" w:line="240" w:lineRule="auto"/>
      </w:pPr>
    </w:p>
    <w:p>
      <w:r>
        <w:br w:type="page"/>
      </w:r>
    </w:p>
    <w:p>
      <w:pPr>
        <w:pStyle w:val="TOCHead"/>
        <w:spacing w:before="80" w:after="40"/>
      </w:pPr>
      <w:bookmarkStart w:id="1087" w:name="how_to_read"/>
      <w:r>
        <w:t>How to Read These Notes</w:t>
      </w:r>
      <w:bookmarkEnd w:id="1087"/>
    </w:p>
    <w:p>
      <w:pPr>
        <w:jc w:val="center"/>
        <w:spacing w:before="0" w:after="160" w:line="240" w:lineRule="auto"/>
        <w:pBdr>
          <w:bottom w:val="single" w:sz="18" w:space="1" w:color="000000"/>
        </w:pBdr>
      </w:pPr>
    </w:p>
    <w:p>
      <w:pPr>
        <w:pStyle w:val="TrayLead"/>
        <w:spacing w:before="0" w:after="160"/>
      </w:pPr>
      <w:r>
        <w:t xml:space="preserve">Every tray chapter is built to the same pattern, so you can find the same kind of information in the same place each time. Read the </w:t>
      </w:r>
      <w:r>
        <w:rPr>
          <w:i/>
        </w:rPr>
        <w:t>lead paragraph</w:t>
      </w:r>
      <w:r>
        <w:t xml:space="preserve"> and the </w:t>
      </w:r>
      <w:r>
        <w:rPr>
          <w:i/>
        </w:rPr>
        <w:t>figure</w:t>
      </w:r>
      <w:r>
        <w:t xml:space="preserve"> first to fix the idea, then work through the contents table.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bottom w:val="single" w:sz="12" w:space="0" w:color="000000"/>
          <w:insideH w:val="single" w:sz="4" w:space="0" w:color="BBBBBB"/>
        </w:tblBorders>
      </w:tblPr>
      <w:tblGrid>
        <w:gridCol w:w="5400"/>
        <w:gridCol w:w="5400"/>
      </w:tblGrid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Lead paragraph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What the tray is for and the single idea that shapes it. If you remember nothing else from a chapter, remember this.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Used for / includes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The procedures the tray serves — useful for 'name three indications' questions.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Figure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 xml:space="preserve">An original line diagram of the tray's </w:t>
            </w:r>
            <w:r>
              <w:rPr>
                <w:b/>
                <w:sz w:val="19"/>
              </w:rPr>
              <w:t>signature instruments</w:t>
            </w:r>
            <w:r>
              <w:rPr>
                <w:sz w:val="19"/>
              </w:rPr>
              <w:t xml:space="preserve"> — the items that identify it. Diagrams are schematic: they show the identifying feature (jaw pattern, bevel direction, footplate, curve) rather than a photographic likeness.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Callout box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The one concept, distinction or safety rule that examiners return to for that tray.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Contents of the tray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 xml:space="preserve">The full instrument list, grouped by </w:t>
            </w:r>
            <w:r>
              <w:rPr>
                <w:b/>
                <w:sz w:val="19"/>
              </w:rPr>
              <w:t>function</w:t>
            </w:r>
            <w:r>
              <w:rPr>
                <w:sz w:val="19"/>
              </w:rPr>
              <w:t xml:space="preserve"> — cutting, grasping, clamping, retracting, suturing, suctioning — with quantities and the reason each item is present. Answer 'enumerate the contents' questions using these groups as headings.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Additional supplies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Position, draping, structures at risk and procedure-specific notes.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Comparison table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Where two trays or two instruments are easily confused, they are set side by side.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Examination pointers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The single most useful section for an MCQ paper: the specific, testable facts — named instruments, numbers, temperatures, sizes and the distinctions between similar items. Revise from these.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Common mistakes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Errors that lose marks, marked with ✗ — most of them are the distractors an MCQ will offer you.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A note on quantities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 xml:space="preserve">Instrument </w:t>
            </w:r>
            <w:r>
              <w:rPr>
                <w:b/>
                <w:sz w:val="19"/>
              </w:rPr>
              <w:t>names, functions and groupings</w:t>
            </w:r>
            <w:r>
              <w:rPr>
                <w:sz w:val="19"/>
              </w:rPr>
              <w:t xml:space="preserve"> are standard. The </w:t>
            </w:r>
            <w:r>
              <w:rPr>
                <w:b/>
                <w:sz w:val="19"/>
              </w:rPr>
              <w:t>numbers</w:t>
            </w:r>
            <w:r>
              <w:rPr>
                <w:sz w:val="19"/>
              </w:rPr>
              <w:t xml:space="preserve"> ("6 Allis clamps") vary between institutions — please cross-check them against your prescribed textbook.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Printing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Legal paper (8.5 × 14 in), 1.27 cm margins, monochrome throughout. No information depends on colour, so a black-and-white printer loses nothing.</w:t>
            </w:r>
          </w:p>
        </w:tc>
      </w:tr>
    </w:tbl>
    <w:p>
      <w:pPr>
        <w:spacing w:before="0" w:after="120" w:line="240" w:lineRule="auto"/>
      </w:pP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</w:tblPr>
      <w:tblGrid>
        <w:gridCol w:w="10800"/>
      </w:tblGrid>
      <w:tr>
        <w:tc>
          <w:tcPr>
            <w:tcW w:type="dxa" w:w="10800"/>
            <w:shd w:val="clear" w:color="auto" w:fill="1A1A1A"/>
            <w:tcMar>
              <w:top w:w="150" w:type="dxa"/>
              <w:start w:w="220" w:type="dxa"/>
              <w:bottom w:w="150" w:type="dxa"/>
              <w:end w:w="220" w:type="dxa"/>
            </w:tcMar>
          </w:tcPr>
          <w:p>
            <w:pPr>
              <w:jc w:val="left"/>
              <w:spacing w:before="0" w:after="40" w:line="240" w:lineRule="auto"/>
              <w:keepLines/>
              <w:keepNext/>
            </w:pPr>
            <w:r>
              <w:rPr>
                <w:rFonts w:ascii="Calibri" w:hAnsi="Calibri"/>
                <w:b/>
                <w:caps/>
                <w:color w:val="CCCCCC"/>
                <w:sz w:val="19"/>
                <w:spacing w:val="50"/>
              </w:rPr>
              <w:t>PART X</w:t>
            </w:r>
          </w:p>
          <w:p>
            <w:pPr>
              <w:pStyle w:val="Heading1"/>
              <w:jc w:val="left"/>
              <w:spacing w:before="0" w:after="0"/>
            </w:pPr>
            <w:bookmarkStart w:id="1088" w:name="part_X"/>
            <w:r>
              <w:rPr>
                <w:rFonts w:ascii="Calibri" w:hAnsi="Calibri"/>
                <w:b/>
                <w:color w:val="FFFFFF"/>
                <w:sz w:val="38"/>
              </w:rPr>
              <w:t>Paediatric Trays</w:t>
            </w:r>
            <w:bookmarkEnd w:id="1088"/>
          </w:p>
          <w:p>
            <w:pPr>
              <w:spacing w:before="80" w:after="0"/>
            </w:pPr>
            <w:r>
              <w:rPr>
                <w:rFonts w:ascii="Calibri" w:hAnsi="Calibri"/>
                <w:i/>
                <w:color w:val="D6D6D6"/>
                <w:sz w:val="19"/>
              </w:rPr>
              <w:t>Paediatric major · Paediatric minor · Paediatric gastrointestinal</w:t>
            </w:r>
          </w:p>
        </w:tc>
      </w:tr>
    </w:tbl>
    <w:p>
      <w:pPr>
        <w:spacing w:before="0" w:after="160" w:line="240" w:lineRule="auto"/>
      </w:pPr>
    </w:p>
    <w:p>
      <w:pPr>
        <w:pStyle w:val="TrayLead"/>
        <w:spacing w:before="40" w:after="160"/>
      </w:pPr>
      <w:r>
        <w:t xml:space="preserve">A child is </w:t>
      </w:r>
      <w:r>
        <w:rPr>
          <w:b/>
        </w:rPr>
        <w:t>not a small adult</w:t>
      </w:r>
      <w:r>
        <w:t xml:space="preserve">, and a paediatric tray is not merely a smaller tray. Four differences shape every set in this Part. </w:t>
      </w:r>
      <w:r>
        <w:rPr>
          <w:b/>
        </w:rPr>
        <w:t>Scale</w:t>
      </w:r>
      <w:r>
        <w:t xml:space="preserve"> — instruments are shorter, finer and lighter, and quantities are reduced. </w:t>
      </w:r>
      <w:r>
        <w:rPr>
          <w:b/>
        </w:rPr>
        <w:t>Physiology</w:t>
      </w:r>
      <w:r>
        <w:t xml:space="preserve"> — a neonate's total blood volume is about </w:t>
      </w:r>
      <w:r>
        <w:rPr>
          <w:b/>
        </w:rPr>
        <w:t>80 mL/kg</w:t>
      </w:r>
      <w:r>
        <w:t xml:space="preserve">, so a loss that would be trivial in an adult is life-threatening; blood loss is measured by weighing swabs. </w:t>
      </w:r>
      <w:r>
        <w:rPr>
          <w:b/>
        </w:rPr>
        <w:t>Thermoregulation</w:t>
      </w:r>
      <w:r>
        <w:t xml:space="preserve"> — a large surface-area to weight ratio means hypothermia develops within minutes, so warming is part of tray preparation. </w:t>
      </w:r>
      <w:r>
        <w:rPr>
          <w:b/>
        </w:rPr>
        <w:t>Tissue delicacy</w:t>
      </w:r>
      <w:r>
        <w:t xml:space="preserve"> — structures are millimetres wide, so magnification and fine atraumatic instruments are the rule.</w:t>
      </w:r>
    </w:p>
    <w:p>
      <w:pPr>
        <w:pStyle w:val="Heading2"/>
        <w:spacing w:before="320" w:after="40"/>
        <w:keepLines/>
        <w:keepNext/>
        <w:pBdr>
          <w:bottom w:val="single" w:sz="12" w:space="3" w:color="000000"/>
        </w:pBdr>
      </w:pPr>
      <w:bookmarkStart w:id="1089" w:name="tray_10_1"/>
      <w:r>
        <w:rPr>
          <w:rFonts w:ascii="Calibri" w:hAnsi="Calibri"/>
          <w:b/>
          <w:color w:val="666666"/>
          <w:sz w:val="29"/>
        </w:rPr>
        <w:t xml:space="preserve">10.1   </w:t>
      </w:r>
      <w:r>
        <w:rPr>
          <w:rFonts w:ascii="Calibri" w:hAnsi="Calibri"/>
          <w:b/>
          <w:sz w:val="29"/>
        </w:rPr>
        <w:t>Paediatric Major Procedures Tray</w:t>
      </w:r>
      <w:bookmarkEnd w:id="1089"/>
    </w:p>
    <w:p>
      <w:pPr>
        <w:spacing w:before="60" w:after="100"/>
      </w:pPr>
      <w:r>
        <w:rPr>
          <w:rFonts w:ascii="Calibri" w:hAnsi="Calibri"/>
          <w:b/>
          <w:caps/>
          <w:color w:val="555555"/>
          <w:sz w:val="17"/>
        </w:rPr>
        <w:t xml:space="preserve">Also called:  </w:t>
      </w:r>
      <w:r>
        <w:rPr>
          <w:i/>
          <w:color w:val="333333"/>
          <w:sz w:val="18"/>
        </w:rPr>
        <w:t>Paediatric laparotomy tray · neonatal major set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  <w:tblLayout w:type="fixed"/>
      </w:tblPr>
      <w:tblGrid>
        <w:gridCol w:w="3600"/>
        <w:gridCol w:w="3600"/>
        <w:gridCol w:w="3600"/>
      </w:tblGrid>
      <w:tr>
        <w:tc>
          <w:tcPr>
            <w:tcW w:type="dxa" w:w="691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rayLead"/>
            </w:pPr>
            <w:r>
              <w:t xml:space="preserve">The </w:t>
            </w:r>
            <w:r>
              <w:rPr>
                <w:b/>
              </w:rPr>
              <w:t>paediatric major tray</w:t>
            </w:r>
            <w:r>
              <w:t xml:space="preserve"> is the child's equivalent of the adult major tray (1.1): a complete set covering all six functional groups for entry into a body cavity, but in </w:t>
            </w:r>
            <w:r>
              <w:rPr>
                <w:b/>
              </w:rPr>
              <w:t>short, fine, light patterns</w:t>
            </w:r>
            <w:r>
              <w:t xml:space="preserve"> and in </w:t>
            </w:r>
            <w:r>
              <w:rPr>
                <w:b/>
              </w:rPr>
              <w:t>smaller numbers</w:t>
            </w:r>
            <w:r>
              <w:t xml:space="preserve">. Its preparation is dominated less by the instruments themselves than by the </w:t>
            </w:r>
            <w:r>
              <w:rPr>
                <w:b/>
              </w:rPr>
              <w:t>physiological support</w:t>
            </w:r>
            <w:r>
              <w:t xml:space="preserve"> — warming, meticulous blood-loss measurement and precise fluid management — that must accompany them.</w:t>
            </w:r>
          </w:p>
          <w:p>
            <w:pPr>
              <w:pStyle w:val="TinyLabel"/>
            </w:pPr>
            <w:r>
              <w:t>Used for / includes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Neonatal laparotomy — necrotising enterocolitis, malrotation, atresia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Repair of congenital diaphragmatic hernia; oesophageal atresia with tracheo-oesophageal fistula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Excision of Wilms' tumour, neuroblastoma and other solid tumours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Splenectomy, nephrectomy and major hepatobiliary surgery in children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Pull-through procedures for Hirschsprung's disease and anorectal malformation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Repair of exomphalos and gastroschisis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Major thoracic surgery in children</w:t>
            </w:r>
          </w:p>
        </w:tc>
        <w:tc>
          <w:tcPr>
            <w:tcW w:type="dxa" w:w="198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3685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jc w:val="center"/>
              <w:spacing w:before="40" w:after="20" w:line="240" w:lineRule="auto"/>
              <w:pBdr>
                <w:top w:val="single" w:sz="4" w:space="2" w:color="999999"/>
                <w:left w:val="single" w:sz="4" w:space="3" w:color="999999"/>
                <w:bottom w:val="single" w:sz="4" w:space="2" w:color="999999"/>
                <w:right w:val="single" w:sz="4" w:space="3" w:color="999999"/>
              </w:pBdr>
            </w:pPr>
            <w:r>
              <w:drawing>
                <wp:inline xmlns:a="http://schemas.openxmlformats.org/drawingml/2006/main" xmlns:pic="http://schemas.openxmlformats.org/drawingml/2006/picture">
                  <wp:extent cx="2286000" cy="180136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te_10_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8013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FigCaption"/>
              <w:jc w:val="center"/>
              <w:spacing w:before="40" w:after="120"/>
            </w:pPr>
            <w:r>
              <w:t>Fig 10.1 — Adult range, paediatric scale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The three paediatric constants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Warm</w:t>
            </w:r>
            <w:r>
              <w:t xml:space="preserve"> — warming mattress, overhead heater, warmed fluids, theatre at 24–26 °C.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Measure</w:t>
            </w:r>
            <w:r>
              <w:t xml:space="preserve"> — weigh the swabs; blood volume is only about </w:t>
            </w:r>
            <w:r>
              <w:rPr>
                <w:b/>
              </w:rPr>
              <w:t>80 mL/kg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Miniaturise</w:t>
            </w:r>
            <w:r>
              <w:t xml:space="preserve"> — short fine instruments, mosquito forceps as the workhorse, 4-0 to 7-0 suture, fine vented suction.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Quote these three in any paediatric tray answer.</w:t>
            </w:r>
          </w:p>
        </w:tc>
      </w:tr>
    </w:tbl>
    <w:p>
      <w:pPr>
        <w:spacing w:before="0" w:after="140" w:line="240" w:lineRule="auto"/>
      </w:pPr>
    </w:p>
    <w:p>
      <w:pPr>
        <w:pStyle w:val="Heading3"/>
        <w:keepLines/>
        <w:keepNext/>
      </w:pPr>
      <w:r>
        <w:rPr>
          <w:rFonts w:ascii="Calibri" w:hAnsi="Calibri"/>
          <w:b/>
        </w:rPr>
        <w:t>Contents of the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85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Qty</w:t>
            </w:r>
          </w:p>
        </w:tc>
        <w:tc>
          <w:tcPr>
            <w:tcW w:type="dxa" w:w="4082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Instrument</w:t>
            </w:r>
          </w:p>
        </w:tc>
        <w:tc>
          <w:tcPr>
            <w:tcW w:type="dxa" w:w="5868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Key feature / rationale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CUTTING AND DISSECTING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 xml:space="preserve">Knife handle No.3 with </w:t>
            </w:r>
            <w:r>
              <w:rPr>
                <w:b/>
              </w:rPr>
              <w:t>No.15</w:t>
            </w:r>
            <w:r>
              <w:rPr>
                <w:b/>
              </w:rPr>
              <w:t xml:space="preserve"> blade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No.15, not No.20</w:t>
            </w:r>
            <w:r>
              <w:t xml:space="preserve"> — the incision is short and precise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Knife handle No.7, fine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deep dissection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Metzenbaum scissors, fine 11–14 cm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the principal dissecting instrument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Mayo scissors, small curved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tougher tissue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Iris / tenotomy scissors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very fine work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Suture scissors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kept separate so tissue scissors are never blunted on suture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Potts-Smith angled scissors, fine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vessels and duct anastomoses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GRASPING AND HOLDING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Adson / fine toothed forceps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skin and fascia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DeBakey forceps, fine 13–16 cm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atraumatic — bowel, vessels, ureter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Dressing forceps, fine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serrated non-toothed jaws; handles tissue without puncturing it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Non-toothed fine forceps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atraumatic handling of bowel, vessel and ureter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Babcock forceps, small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atraumatic bowel handling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Allis forceps, small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grips tissue to be excised, on a reduced scale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Towel clips, small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light clips that will not tear thin neonatal drapes or skin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Sponge-holding forceps, small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skin preparation over a small surface area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CLAMPING AND OCCLUDING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Mosquito (Halsted) forceps, curved — the workhorse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point</w:t>
            </w:r>
            <w:r>
              <w:t xml:space="preserve"> — in paediatric surgery the mosquito replaces the Crile as the standard haemostat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6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Crile forceps, small 12–14 cm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secondary haemostat; the mosquito is the workhorse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Right-angled (Mixter) forceps, fine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encircling small pedicles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Bulldog clamps, small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vascular occlusion in vessels 2–3 mm wide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Non-crushing (Doyen-type) intestinal clamps, small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bowel that must survive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Kocher clamps, small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crushing, specimen side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Ligating clips, small and micro, with appliers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often safer and faster than ties on tiny vessels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EXPOSING AND RETRACTING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Senn and small Langenbeck retractors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shallow-field retraction sized to a neonatal wound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Army-Navy retractors, small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double-ended, giving two blade depths in one instrument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Malleable retractors, narrow (1–2 cm)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protects viscera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self-retaining retractor — Weitlaner, Denis Browne ring or a small Balfour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the Denis Browne ring retractor with assorted small blades is the classic paediatric self-retainer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Skin hooks, fine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atraumatic retraction of thin skin edges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Deaver retractors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narrow curved blade for a small deep cavity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Head-light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directs light into the depth of the wound; theatre lights do not reach the bottom of a deep cavity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Magnifying loupes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routinely used in neonates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SUTURING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Needle holders, fine 13–15 cm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sized to 4-0 to 7-0 needles; a heavy holder crushes fine needles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Castroviejo / micro needle holder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vascular and duct anastomoses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suture — 4-0 to 7-0 absorbable; 5-0 to 7-0 monofilament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heavier suture cuts through neonatal tissue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vascular suture 6-0 to 8-0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non-absorbable monofilament for millimetre-wide vessels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Absorbable subcuticular skin suture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avoids the distress of suture removal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SUCTION AND ACCESSORY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suction tips (Frazier) with a thumb vent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the vent limits the force applied to friable neonatal tissue; </w:t>
            </w:r>
            <w:r>
              <w:rPr>
                <w:b/>
              </w:rPr>
              <w:t>a Poole tip is too large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Yankauer tip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larger-volume suction, used with the finer vented Frazier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Low-suction, small-volume reservoir with graduated measurement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every millilitre of loss is measured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Bipolar diathermy with fine tips, low power settings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bipolar preferred; monopolar spreads through a small body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Paediatric electrosurgical return electrode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correctly sized for the child's weight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radio-opaque swabs and gauze, counted, and a weighing scale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requirement</w:t>
            </w:r>
            <w:r>
              <w:t xml:space="preserve"> — swabs are </w:t>
            </w:r>
            <w:r>
              <w:rPr>
                <w:b/>
              </w:rPr>
              <w:t>weighed</w:t>
            </w:r>
            <w:r>
              <w:t xml:space="preserve"> to quantify blood loss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kidney dish, gallipots and specimen containers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small volumes; specimens are often tiny and must not be lost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feeding tubes, infant catheters and small drains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sized in French gauge to the child; adult sizes will not pass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PHYSIOLOGICAL SUPPORT — INSEPARABLE FROM THE TRAY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Forced-air or radiant warmer, warming mattress and overhead heater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requirement</w:t>
            </w:r>
            <w:r>
              <w:t xml:space="preserve"> — hypothermia occurs within minutes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Warmed irrigation fluid, warmed intravenous fluids and a fluid warmer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cold fluid poured into a body cavity causes rapid core cooling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Raised theatre ambient temperature (24–26 °C for neonates)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the single most effective measure against intraoperative hypothermia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Temperature probe and continuous core temperature monitoring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hypothermia develops within minutes and must be detected early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Cross-matched blood in paediatric aliquots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neonatal blood volume ≈ 80 mL/kg — a 30 mL loss in a 2 kg baby is nearly 20 % of the circulating volume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Volumetric infusion pumps and syringe drivers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fluids are given in millilitres per kilogram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Padding, gel supports and eye protection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pressure injury occurs quickly in a small body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Glucose monitoring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neonates have limited glycogen reserve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Neonatal resuscitation equipment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sized airway, bag and drugs, checked before the incision</w:t>
            </w:r>
          </w:p>
        </w:tc>
      </w:tr>
    </w:tbl>
    <w:p>
      <w:pPr>
        <w:spacing w:before="0" w:after="16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Additional supplies and accessories</w:t>
      </w:r>
    </w:p>
    <w:p>
      <w:pPr>
        <w:pStyle w:val="BoxBody"/>
        <w:ind w:start="170"/>
      </w:pPr>
      <w:r>
        <w:rPr>
          <w:b/>
        </w:rPr>
        <w:t>Position</w:t>
      </w:r>
      <w:r>
        <w:t xml:space="preserve"> — Supine on a warming mattress with the limbs padded and secured; small rolls rather than sandbags. The child is positioned to give access while </w:t>
      </w:r>
      <w:r>
        <w:rPr>
          <w:b/>
        </w:rPr>
        <w:t>preserving temperature</w:t>
      </w:r>
      <w:r>
        <w:t xml:space="preserve"> — exposure is kept to the minimum area and duration.</w:t>
      </w:r>
    </w:p>
    <w:p>
      <w:pPr>
        <w:pStyle w:val="BoxBody"/>
        <w:ind w:start="170"/>
      </w:pPr>
      <w:r>
        <w:rPr>
          <w:b/>
        </w:rPr>
        <w:t>Consent and identification</w:t>
      </w:r>
      <w:r>
        <w:t xml:space="preserve"> — Consent is by the parent or legal guardian; identity, weight and the operative side are confirmed at the WHO checklist. </w:t>
      </w:r>
      <w:r>
        <w:rPr>
          <w:b/>
        </w:rPr>
        <w:t>The weight is documented because every drug, fluid and blood volume is calculated from it.</w:t>
      </w:r>
    </w:p>
    <w:p>
      <w:pPr>
        <w:pStyle w:val="BoxBody"/>
        <w:ind w:start="170"/>
      </w:pPr>
      <w:r>
        <w:rPr>
          <w:b/>
        </w:rPr>
        <w:t>Complications</w:t>
      </w:r>
      <w:r>
        <w:t xml:space="preserve"> — </w:t>
      </w:r>
      <w:r>
        <w:rPr>
          <w:b/>
        </w:rPr>
        <w:t>Hypothermia</w:t>
      </w:r>
      <w:r>
        <w:t xml:space="preserve">, hypoglycaemia, fluid overload or depletion, </w:t>
      </w:r>
      <w:r>
        <w:rPr>
          <w:b/>
        </w:rPr>
        <w:t>relatively rapid haemorrhagic shock</w:t>
      </w:r>
      <w:r>
        <w:t>, anastomotic leak, pressure injury, and — with monopolar diathermy — disproportionate thermal spread.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360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</w:pPr>
            <w:r>
              <w:t>Feature</w:t>
            </w:r>
          </w:p>
        </w:tc>
        <w:tc>
          <w:tcPr>
            <w:tcW w:type="dxa" w:w="360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</w:pPr>
            <w:r>
              <w:t>Adult major tray</w:t>
            </w:r>
          </w:p>
        </w:tc>
        <w:tc>
          <w:tcPr>
            <w:tcW w:type="dxa" w:w="360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</w:pPr>
            <w:r>
              <w:t>Paediatric major tray</w:t>
            </w:r>
          </w:p>
        </w:tc>
      </w:tr>
      <w:tr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Skin blade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No.20 on a No.4 handle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No.15 on a No.3 handle</w:t>
            </w:r>
          </w:p>
        </w:tc>
      </w:tr>
      <w:tr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Standard haemostat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Crile / Kelly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Mosquito (Halsted)</w:t>
            </w:r>
          </w:p>
        </w:tc>
      </w:tr>
      <w:tr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Suture calibre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0 to 3-0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4-0 to 7-0</w:t>
            </w:r>
          </w:p>
        </w:tc>
      </w:tr>
      <w:tr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Suction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Poole + Yankauer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Fine vented Frazier</w:t>
            </w:r>
            <w:r>
              <w:t>, small graduated reservoir</w:t>
            </w:r>
          </w:p>
        </w:tc>
      </w:tr>
      <w:tr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Self-retainer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Balfour with bladder blade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Denis Browne ring retractor</w:t>
            </w:r>
            <w:r>
              <w:t xml:space="preserve"> / small Weitlaner</w:t>
            </w:r>
          </w:p>
        </w:tc>
      </w:tr>
      <w:tr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Blood-loss assessment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Estimated volume in the reservoir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Swabs weighed; loss calculated against 80 mL/kg</w:t>
            </w:r>
          </w:p>
        </w:tc>
      </w:tr>
      <w:tr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Temperature control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Routine warming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Active warming is essential and continuous</w:t>
            </w:r>
          </w:p>
        </w:tc>
      </w:tr>
    </w:tbl>
    <w:p>
      <w:pPr>
        <w:spacing w:before="0" w:after="160" w:line="240" w:lineRule="auto"/>
      </w:pPr>
    </w:p>
    <w:p>
      <w:pPr>
        <w:pStyle w:val="FigCaption"/>
        <w:jc w:val="center"/>
      </w:pPr>
      <w:r>
        <w:t>Table 10.1 — Adult versus paediatric major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F0F0F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Examination pointers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Open with the principle: </w:t>
            </w:r>
            <w:r>
              <w:rPr>
                <w:b/>
              </w:rPr>
              <w:t>a child is not a small adult</w:t>
            </w:r>
            <w:r>
              <w:t xml:space="preserve"> — then give scale, physiology, thermoregulation and tissue delicacy.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No.15 blade, mosquito forceps as the workhorse, 4-0 to 7-0 suture, fine vented Frazier suction</w:t>
            </w:r>
            <w:r>
              <w:t xml:space="preserve"> are the concrete substitutions.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Denis Browne ring retractor</w:t>
            </w:r>
            <w:r>
              <w:t xml:space="preserve"> is the classic paediatric self-retaining retractor.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Weigh the swabs</w:t>
            </w:r>
            <w:r>
              <w:t xml:space="preserve"> and quote </w:t>
            </w:r>
            <w:r>
              <w:rPr>
                <w:b/>
              </w:rPr>
              <w:t>blood volume ≈ 80 mL/kg</w:t>
            </w:r>
            <w:r>
              <w:t xml:space="preserve"> — the most reliably rewarded facts in this Part.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Active warming (mattress, overhead heater, warmed fluids, theatre 24–26 °C) is part of tray preparation.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Bipolar diathermy at low settings with a correctly sized return electrode.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Loupes are routine</w:t>
            </w:r>
            <w:r>
              <w:t xml:space="preserve"> in neonatal work.</w:t>
            </w:r>
          </w:p>
        </w:tc>
      </w:tr>
    </w:tbl>
    <w:p>
      <w:pPr>
        <w:spacing w:before="0" w:after="140" w:line="240" w:lineRule="auto"/>
      </w:pPr>
    </w:p>
    <w:p>
      <w:pPr>
        <w:spacing w:before="300" w:after="60" w:line="240" w:lineRule="auto"/>
        <w:keepLines/>
        <w:keepNext/>
        <w:pBdr>
          <w:bottom w:val="single" w:sz="18" w:space="1" w:color="000000"/>
        </w:pBdr>
      </w:pPr>
    </w:p>
    <w:p>
      <w:pPr>
        <w:pStyle w:val="Heading2"/>
        <w:spacing w:before="320" w:after="40"/>
        <w:keepLines/>
        <w:keepNext/>
        <w:pBdr>
          <w:bottom w:val="single" w:sz="12" w:space="3" w:color="000000"/>
        </w:pBdr>
      </w:pPr>
      <w:bookmarkStart w:id="1090" w:name="tray_10_2"/>
      <w:r>
        <w:rPr>
          <w:rFonts w:ascii="Calibri" w:hAnsi="Calibri"/>
          <w:b/>
          <w:color w:val="666666"/>
          <w:sz w:val="29"/>
        </w:rPr>
        <w:t xml:space="preserve">10.2   </w:t>
      </w:r>
      <w:r>
        <w:rPr>
          <w:rFonts w:ascii="Calibri" w:hAnsi="Calibri"/>
          <w:b/>
          <w:sz w:val="29"/>
        </w:rPr>
        <w:t>Paediatric Minor Procedures Tray</w:t>
      </w:r>
      <w:bookmarkEnd w:id="1090"/>
    </w:p>
    <w:p>
      <w:pPr>
        <w:spacing w:before="60" w:after="100"/>
      </w:pPr>
      <w:r>
        <w:rPr>
          <w:rFonts w:ascii="Calibri" w:hAnsi="Calibri"/>
          <w:b/>
          <w:caps/>
          <w:color w:val="555555"/>
          <w:sz w:val="17"/>
        </w:rPr>
        <w:t xml:space="preserve">Also called:  </w:t>
      </w:r>
      <w:r>
        <w:rPr>
          <w:i/>
          <w:color w:val="333333"/>
          <w:sz w:val="18"/>
        </w:rPr>
        <w:t>Paediatric minor set · children's day-case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  <w:tblLayout w:type="fixed"/>
      </w:tblPr>
      <w:tblGrid>
        <w:gridCol w:w="3600"/>
        <w:gridCol w:w="3600"/>
        <w:gridCol w:w="3600"/>
      </w:tblGrid>
      <w:tr>
        <w:tc>
          <w:tcPr>
            <w:tcW w:type="dxa" w:w="691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rayLead"/>
            </w:pPr>
            <w:r>
              <w:t xml:space="preserve">The </w:t>
            </w:r>
            <w:r>
              <w:rPr>
                <w:b/>
              </w:rPr>
              <w:t>paediatric minor tray</w:t>
            </w:r>
            <w:r>
              <w:t xml:space="preserve"> is the commonest tray in a children's theatre. It is the adult basic/minor tray (1.2) in </w:t>
            </w:r>
            <w:r>
              <w:rPr>
                <w:b/>
              </w:rPr>
              <w:t>fine short patterns</w:t>
            </w:r>
            <w:r>
              <w:t xml:space="preserve">, used for the high-volume day-case operations of childhood — hernia, hydrocele, circumcision, undescended testis and minor lumps. Its instruments are simple; what distinguishes it is </w:t>
            </w:r>
            <w:r>
              <w:rPr>
                <w:b/>
              </w:rPr>
              <w:t>delicacy of handling</w:t>
            </w:r>
            <w:r>
              <w:t xml:space="preserve"> and the same warming and blood-loss discipline as the major tray.</w:t>
            </w:r>
          </w:p>
          <w:p>
            <w:pPr>
              <w:pStyle w:val="TinyLabel"/>
            </w:pPr>
            <w:r>
              <w:t>Used for / includes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Inguinal herniotomy — the commonest paediatric operation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Hydrocele repair; ligation of a patent processus vaginalis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Orchidopexy for undescended testis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Circumcision; release of preputial adhesions; meatotomy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Excision of a lymph node, dermoid, thyroglossal or branchial remnant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Incision and drainage of an abscess; wound debridement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Insertion of a central venous line or port; muscle biopsy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Tongue-tie division (frenotomy)</w:t>
            </w:r>
          </w:p>
        </w:tc>
        <w:tc>
          <w:tcPr>
            <w:tcW w:type="dxa" w:w="198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3685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jc w:val="center"/>
              <w:spacing w:before="40" w:after="20" w:line="240" w:lineRule="auto"/>
              <w:pBdr>
                <w:top w:val="single" w:sz="4" w:space="2" w:color="999999"/>
                <w:left w:val="single" w:sz="4" w:space="3" w:color="999999"/>
                <w:bottom w:val="single" w:sz="4" w:space="2" w:color="999999"/>
                <w:right w:val="single" w:sz="4" w:space="3" w:color="999999"/>
              </w:pBdr>
            </w:pPr>
            <w:r>
              <w:drawing>
                <wp:inline xmlns:a="http://schemas.openxmlformats.org/drawingml/2006/main" xmlns:pic="http://schemas.openxmlformats.org/drawingml/2006/picture">
                  <wp:extent cx="2286000" cy="184251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te_10_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8425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FigCaption"/>
              <w:jc w:val="center"/>
              <w:spacing w:before="40" w:after="120"/>
            </w:pPr>
            <w:r>
              <w:t>Fig 10.2 — Small, simple and used in large numbers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Herniotomy, not hernioplasty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In a child the hernia is a </w:t>
            </w:r>
            <w:r>
              <w:rPr>
                <w:b/>
              </w:rPr>
              <w:t>patent processus vaginalis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Treatment is </w:t>
            </w:r>
            <w:r>
              <w:rPr>
                <w:b/>
              </w:rPr>
              <w:t>high ligation of the sac alone — herniotomy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No mesh, no canal repair</w:t>
            </w:r>
            <w:r>
              <w:t xml:space="preserve"> — the adult operation is quite different.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Hence the tray needs only fine dissecting instruments and transfixion suture.</w:t>
            </w:r>
          </w:p>
        </w:tc>
      </w:tr>
    </w:tbl>
    <w:p>
      <w:pPr>
        <w:spacing w:before="0" w:after="140" w:line="240" w:lineRule="auto"/>
      </w:pPr>
    </w:p>
    <w:p>
      <w:pPr>
        <w:pStyle w:val="Heading3"/>
        <w:keepLines/>
        <w:keepNext/>
      </w:pPr>
      <w:r>
        <w:rPr>
          <w:rFonts w:ascii="Calibri" w:hAnsi="Calibri"/>
          <w:b/>
        </w:rPr>
        <w:t>Contents of the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85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Qty</w:t>
            </w:r>
          </w:p>
        </w:tc>
        <w:tc>
          <w:tcPr>
            <w:tcW w:type="dxa" w:w="4082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Instrument</w:t>
            </w:r>
          </w:p>
        </w:tc>
        <w:tc>
          <w:tcPr>
            <w:tcW w:type="dxa" w:w="5868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Key feature / rationale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CUTTING AND DISSECTING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 xml:space="preserve">Knife handle No.3 with </w:t>
            </w:r>
            <w:r>
              <w:rPr>
                <w:b/>
              </w:rPr>
              <w:t>No.15</w:t>
            </w:r>
            <w:r>
              <w:rPr>
                <w:b/>
              </w:rPr>
              <w:t xml:space="preserve"> blade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small curved blade for a short precise incision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Metzenbaum scissors, 11–13 cm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opening the inguinal canal, dissecting the sac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Iris / tenotomy scissors, fine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very fine trimming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Mayo scissors, curved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divides tougher tissue such as the external oblique aponeurosis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Suture scissors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kept separate so tissue scissors are never blunted on suture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artery-forceps-mounted swab (peanut)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blunt dissection of the sac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GRASPING AND HOLDING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Adson forceps, 1×2 teeth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skin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non-toothed / DeBakey forceps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atraumatic — the vas and vessels are handled with these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dressing forceps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non-toothed handling of the sac and cord structures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Allis forceps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the hernial sac and wound edges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towel clips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secure a small drape without tearing infant skin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sponge-holding forceps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skin preparation of a small field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CLAMPING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10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Mosquito forceps, curved — the principal haemostat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fine tip suits vessels under a millimetre across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Crile forceps, small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slightly larger vessels in the inguinal canal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Kocher clamps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crushing grip on aponeurosis during closure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RETRACTING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Senn (double-ended) retractors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the standard paediatric small retractor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Langenbeck retractors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hand-held right-angled blade for a short superficial incision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Army-Navy retractors, small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double-ended, giving two blade depths in one instrument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Skin hooks, fine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atraumatic retraction of thin skin edges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Weitlaner self-retaining retractor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holds the canal open, freeing the assistant's hands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Magnifying loupes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the vas deferens in an infant is about 1 mm across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SUTURING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Needle holders, fine 13 cm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matched to 4-0 to 6-0 needles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4-0 to 6-0 absorbable suture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sac transfixion, muscle and subcutaneous layers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5-0 / 6-0 absorbable subcuticular for skin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avoids the distress of suture removal in a child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Tissue adhesive / adhesive strips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atraumatic skin closure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PROCEDURE-SPECIFIC ADDITIONS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Circumcision instruments — Mogen or Gomco clamp, Plastibell in assorted sizes, or a dorsal-slit set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for circumcision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probe / sinus forceps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separating preputial adhesions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Orchidopexy items — fine non-toothed forceps, small Langenbeck retractors and a Dartos-pouch dissector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creates a sub-Dartos pouch and handles the 1 mm vas atraumatically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Nerve stimulator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identifies nerves in neck and limb procedures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grooved director and probe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sinus and fistula tracts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drains, infant feeding tubes and catheters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sized to the child; used for drainage and bladder emptying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Frenotomy scissors and grooved retractor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tongue-tie division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ACCESSORY AND PHYSIOLOGICAL SUPPORT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vented suction (Frazier)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the thumb vent limits force near the vas and testicular vessels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Bipolar diathermy, fine tips, low power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essential near the vas, testicular vessels and in a circumcision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Correctly sized paediatric return electrode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an adult pad on a small child gives inadequate contact area and risks a burn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radio-opaque swabs, counted, with a weighing scale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swabs are weighed because blood volume is only about 80 mL/kg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Warming mattress, overhead heater and warmed fluids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even a short day-case procedure cools an infant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Local anaesthetic for infiltration or a caudal / ilioinguinal block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 xml:space="preserve">weight-calculated dose; </w:t>
            </w:r>
            <w:r>
              <w:rPr>
                <w:b/>
              </w:rPr>
              <w:t>reduces opioid requirement and speeds discharge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kidney dish, gallipot and specimen containers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small volumes matched to a small field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Non-adherent dressings and hypoallergenic tape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adhesive dressings damage neonatal skin</w:t>
            </w:r>
          </w:p>
        </w:tc>
      </w:tr>
    </w:tbl>
    <w:p>
      <w:pPr>
        <w:spacing w:before="0" w:after="16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Additional supplies and accessories</w:t>
      </w:r>
    </w:p>
    <w:p>
      <w:pPr>
        <w:pStyle w:val="BoxBody"/>
        <w:ind w:start="170"/>
      </w:pPr>
      <w:r>
        <w:rPr>
          <w:b/>
        </w:rPr>
        <w:t>Position</w:t>
      </w:r>
      <w:r>
        <w:t xml:space="preserve"> — Supine on a warming mattress; a small roll under the hips for inguinal and genital surgery. Limbs padded and gently secured; minimal exposure to preserve temperature.</w:t>
      </w:r>
    </w:p>
    <w:p>
      <w:pPr>
        <w:pStyle w:val="BoxBody"/>
        <w:ind w:start="170"/>
      </w:pPr>
      <w:r>
        <w:rPr>
          <w:b/>
        </w:rPr>
        <w:t>Herniotomy in a child</w:t>
      </w:r>
      <w:r>
        <w:t xml:space="preserve"> — A child's inguinal hernia is a </w:t>
      </w:r>
      <w:r>
        <w:rPr>
          <w:b/>
        </w:rPr>
        <w:t>patent processus vaginalis</w:t>
      </w:r>
      <w:r>
        <w:t xml:space="preserve"> and is treated by </w:t>
      </w:r>
      <w:r>
        <w:rPr>
          <w:b/>
        </w:rPr>
        <w:t>simple high ligation of the sac (herniotomy)</w:t>
      </w:r>
      <w:r>
        <w:t xml:space="preserve"> — </w:t>
      </w:r>
      <w:r>
        <w:rPr>
          <w:b/>
        </w:rPr>
        <w:t>no mesh and no repair of the canal</w:t>
      </w:r>
      <w:r>
        <w:t>, unlike the adult operation. This distinction is very commonly examined alongside the tray.</w:t>
      </w:r>
    </w:p>
    <w:p>
      <w:pPr>
        <w:pStyle w:val="BoxBody"/>
        <w:ind w:start="170"/>
      </w:pPr>
      <w:r>
        <w:rPr>
          <w:b/>
        </w:rPr>
        <w:t>Local anaesthetic doses</w:t>
      </w:r>
      <w:r>
        <w:t xml:space="preserve"> — All doses are </w:t>
      </w:r>
      <w:r>
        <w:rPr>
          <w:b/>
        </w:rPr>
        <w:t>weight-based</w:t>
      </w:r>
      <w:r>
        <w:t xml:space="preserve"> and the maximum is calculated and stated before injection (for example lignocaine 3 mg/kg, or 7 mg/kg with adrenaline; bupivacaine 2 mg/kg).</w:t>
      </w:r>
    </w:p>
    <w:p>
      <w:pPr>
        <w:pStyle w:val="BoxBody"/>
        <w:ind w:start="170"/>
      </w:pPr>
      <w:r>
        <w:rPr>
          <w:b/>
        </w:rPr>
        <w:t>Complications</w:t>
      </w:r>
      <w:r>
        <w:t xml:space="preserve"> — Recurrence, injury to the </w:t>
      </w:r>
      <w:r>
        <w:rPr>
          <w:b/>
        </w:rPr>
        <w:t>vas deferens or testicular vessels</w:t>
      </w:r>
      <w:r>
        <w:t xml:space="preserve"> with testicular atrophy, iatrogenic ascent of the testis, haematoma, infection, hypothermia, and — in circumcision — bleeding, meatal stenosis and excessive or insufficient skin removal.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F0F0F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Examination pointers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Define it as the </w:t>
            </w:r>
            <w:r>
              <w:rPr>
                <w:b/>
              </w:rPr>
              <w:t>adult minor tray in fine short patterns</w:t>
            </w:r>
            <w:r>
              <w:t xml:space="preserve"> for high-volume day-case work.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Mosquito forceps and Senn retractors</w:t>
            </w:r>
            <w:r>
              <w:t xml:space="preserve"> dominate; </w:t>
            </w:r>
            <w:r>
              <w:rPr>
                <w:b/>
              </w:rPr>
              <w:t>loupes</w:t>
            </w:r>
            <w:r>
              <w:t xml:space="preserve"> are used because the vas is about </w:t>
            </w:r>
            <w:r>
              <w:rPr>
                <w:b/>
              </w:rPr>
              <w:t>1 mm</w:t>
            </w:r>
            <w:r>
              <w:t xml:space="preserve"> wide.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Absorbable subcuticular skin closure or tissue adhesive</w:t>
            </w:r>
            <w:r>
              <w:t xml:space="preserve"> — no suture removal in a child.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Herniotomy = high ligation of the sac only</w:t>
            </w:r>
            <w:r>
              <w:t>; no mesh — state this contrast explicitly.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Name the </w:t>
            </w:r>
            <w:r>
              <w:rPr>
                <w:b/>
              </w:rPr>
              <w:t>circumcision devices (Mogen, Gomco, Plastibell)</w:t>
            </w:r>
            <w:r>
              <w:t xml:space="preserve"> as procedure-specific additions.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Bipolar at low power</w:t>
            </w:r>
            <w:r>
              <w:t xml:space="preserve"> near the vas and vessels.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Warming and swab weighing apply even to short day cases.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Weight-based local anaesthetic dose</w:t>
            </w:r>
            <w:r>
              <w:t xml:space="preserve"> and regional blocks.</w:t>
            </w:r>
          </w:p>
        </w:tc>
      </w:tr>
    </w:tbl>
    <w:p>
      <w:pPr>
        <w:spacing w:before="0" w:after="140" w:line="240" w:lineRule="auto"/>
      </w:pPr>
    </w:p>
    <w:p>
      <w:pPr>
        <w:spacing w:before="300" w:after="60" w:line="240" w:lineRule="auto"/>
        <w:keepLines/>
        <w:keepNext/>
        <w:pBdr>
          <w:bottom w:val="single" w:sz="18" w:space="1" w:color="000000"/>
        </w:pBdr>
      </w:pPr>
    </w:p>
    <w:p>
      <w:pPr>
        <w:pStyle w:val="Heading2"/>
        <w:spacing w:before="320" w:after="40"/>
        <w:keepLines/>
        <w:keepNext/>
        <w:pBdr>
          <w:bottom w:val="single" w:sz="12" w:space="3" w:color="000000"/>
        </w:pBdr>
      </w:pPr>
      <w:bookmarkStart w:id="1091" w:name="tray_10_3"/>
      <w:r>
        <w:rPr>
          <w:rFonts w:ascii="Calibri" w:hAnsi="Calibri"/>
          <w:b/>
          <w:color w:val="666666"/>
          <w:sz w:val="29"/>
        </w:rPr>
        <w:t xml:space="preserve">10.3   </w:t>
      </w:r>
      <w:r>
        <w:rPr>
          <w:rFonts w:ascii="Calibri" w:hAnsi="Calibri"/>
          <w:b/>
          <w:sz w:val="29"/>
        </w:rPr>
        <w:t>Paediatric Gastrointestinal Procedures Tray</w:t>
      </w:r>
      <w:bookmarkEnd w:id="1091"/>
    </w:p>
    <w:p>
      <w:pPr>
        <w:spacing w:before="60" w:after="100"/>
      </w:pPr>
      <w:r>
        <w:rPr>
          <w:rFonts w:ascii="Calibri" w:hAnsi="Calibri"/>
          <w:b/>
          <w:caps/>
          <w:color w:val="555555"/>
          <w:sz w:val="17"/>
        </w:rPr>
        <w:t xml:space="preserve">Also called:  </w:t>
      </w:r>
      <w:r>
        <w:rPr>
          <w:i/>
          <w:color w:val="333333"/>
          <w:sz w:val="18"/>
        </w:rPr>
        <w:t>Paediatric bowel tray · neonatal GI anastomosis set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  <w:tblLayout w:type="fixed"/>
      </w:tblPr>
      <w:tblGrid>
        <w:gridCol w:w="3600"/>
        <w:gridCol w:w="3600"/>
        <w:gridCol w:w="3600"/>
      </w:tblGrid>
      <w:tr>
        <w:tc>
          <w:tcPr>
            <w:tcW w:type="dxa" w:w="691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rayLead"/>
            </w:pPr>
            <w:r>
              <w:t xml:space="preserve">The </w:t>
            </w:r>
            <w:r>
              <w:rPr>
                <w:b/>
              </w:rPr>
              <w:t>paediatric GI tray</w:t>
            </w:r>
            <w:r>
              <w:t xml:space="preserve"> applies the adult rule — </w:t>
            </w:r>
            <w:r>
              <w:rPr>
                <w:b/>
              </w:rPr>
              <w:t>crushing clamps only on the specimen side, non-crushing on bowel that must survive</w:t>
            </w:r>
            <w:r>
              <w:t xml:space="preserve"> — to a bowel that may be </w:t>
            </w:r>
            <w:r>
              <w:rPr>
                <w:b/>
              </w:rPr>
              <w:t>only a few millimetres in diameter and paper-thin</w:t>
            </w:r>
            <w:r>
              <w:t xml:space="preserve">. Because staplers are usually too large for neonatal bowel, anastomoses are </w:t>
            </w:r>
            <w:r>
              <w:rPr>
                <w:b/>
              </w:rPr>
              <w:t>hand-sewn with 5-0 to 7-0 suture under magnification</w:t>
            </w:r>
            <w:r>
              <w:t>, and this, together with contamination control and stoma provision, defines the tray.</w:t>
            </w:r>
          </w:p>
          <w:p>
            <w:pPr>
              <w:pStyle w:val="TinyLabel"/>
            </w:pPr>
            <w:r>
              <w:t>Used for / includes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Bowel resection and anastomosis for atresia, stenosis or malrotation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Necrotising enterocolitis — resection, stoma or drainage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Hirschsprung's disease — biopsy, levelling biopsies and pull-through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Anorectal malformation — colostomy and definitive repair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Pyloromyotomy (Ramstedt) for infantile hypertrophic pyloric stenosis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Repair of gastroschisis and exomphalos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Meconium ileus; intussusception requiring operation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Formation, revision and closure of an ileostomy or colostomy</w:t>
            </w:r>
          </w:p>
        </w:tc>
        <w:tc>
          <w:tcPr>
            <w:tcW w:type="dxa" w:w="198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3685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jc w:val="center"/>
              <w:spacing w:before="40" w:after="20" w:line="240" w:lineRule="auto"/>
              <w:pBdr>
                <w:top w:val="single" w:sz="4" w:space="2" w:color="999999"/>
                <w:left w:val="single" w:sz="4" w:space="3" w:color="999999"/>
                <w:bottom w:val="single" w:sz="4" w:space="2" w:color="999999"/>
                <w:right w:val="single" w:sz="4" w:space="3" w:color="999999"/>
              </w:pBdr>
            </w:pPr>
            <w:r>
              <w:drawing>
                <wp:inline xmlns:a="http://schemas.openxmlformats.org/drawingml/2006/main" xmlns:pic="http://schemas.openxmlformats.org/drawingml/2006/picture">
                  <wp:extent cx="2286000" cy="165049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te_10_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6504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FigCaption"/>
              <w:jc w:val="center"/>
              <w:spacing w:before="40" w:after="120"/>
            </w:pPr>
            <w:r>
              <w:t>Fig 10.3 — Atraumatic handling of millimetre-wide bowel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Why hand-sewn, not stapled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Neonatal bowel may be </w:t>
            </w:r>
            <w:r>
              <w:rPr>
                <w:b/>
              </w:rPr>
              <w:t>5–10 mm in diameter with a wall under 1 mm thick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Standard staplers are </w:t>
            </w:r>
            <w:r>
              <w:rPr>
                <w:b/>
              </w:rPr>
              <w:t>too large and too traumatic</w:t>
            </w:r>
            <w:r>
              <w:t xml:space="preserve"> and would narrow the lumen.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So anastomoses are </w:t>
            </w:r>
            <w:r>
              <w:rPr>
                <w:b/>
              </w:rPr>
              <w:t>hand-sewn, single-layer interrupted extramucosal, with 5-0 to 7-0 suture under loupes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Stating this explicitly distinguishes a strong answer.</w:t>
            </w:r>
          </w:p>
        </w:tc>
      </w:tr>
    </w:tbl>
    <w:p>
      <w:pPr>
        <w:spacing w:before="0" w:after="140" w:line="240" w:lineRule="auto"/>
      </w:pPr>
    </w:p>
    <w:p>
      <w:pPr>
        <w:pStyle w:val="Heading3"/>
        <w:keepLines/>
        <w:keepNext/>
      </w:pPr>
      <w:r>
        <w:rPr>
          <w:rFonts w:ascii="Calibri" w:hAnsi="Calibri"/>
          <w:b/>
        </w:rPr>
        <w:t>Contents of the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85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Qty</w:t>
            </w:r>
          </w:p>
        </w:tc>
        <w:tc>
          <w:tcPr>
            <w:tcW w:type="dxa" w:w="4082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Instrument</w:t>
            </w:r>
          </w:p>
        </w:tc>
        <w:tc>
          <w:tcPr>
            <w:tcW w:type="dxa" w:w="5868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Key feature / rationale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BASE SET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Complete paediatric major procedures tray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see 10.1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BOWEL CLAMPS — THE DEFINING GROUP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Non-crushing (Doyen-type) intestinal clamps, small and fine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applied only to bowel that will be </w:t>
            </w:r>
            <w:r>
              <w:rPr>
                <w:b/>
              </w:rPr>
              <w:t>retained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Rubber-shod mosquito or Crile forceps / clamp guards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in a neonate even a small Doyen may be too heavy; a rubber-shod fine clamp is gentler still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crushing (Kocher / Payr-type) clamps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specimen side only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Babcock forceps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atraumatic traction on bowel, appendix and tube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DeBakey forceps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the instrument that actually holds the bowel wall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right-angled forceps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mesenteric vessels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Soft slings / umbilical tapes, fine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gentle bowel retraction instead of a clamp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ANASTOMOSIS — HAND-SEWN, UNDER MAGNIFICATION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needle holders 13 cm and a micro (Castroviejo) needle holder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the micro holder drives 6-0 and 7-0 needles for a 5 mm anastomosis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5-0, 6-0 and 7-0 absorbable suture on a fine round-bodied (taper) needle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requirement</w:t>
            </w:r>
            <w:r>
              <w:t xml:space="preserve"> — </w:t>
            </w:r>
            <w:r>
              <w:rPr>
                <w:b/>
              </w:rPr>
              <w:t>single-layer interrupted extramucosal (seromuscular) anastomosis</w:t>
            </w:r>
            <w:r>
              <w:t xml:space="preserve"> is standard in neonates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Stay sutures, fine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hold the ends in apposition and rotate the anastomosis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Magnifying loupes (2.5–4×) or the operating microscope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requirement</w:t>
            </w:r>
            <w:r>
              <w:t xml:space="preserve"> — a neonatal duodenum may be 5 mm wide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curved and Potts-Smith angled scissors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angled blades open a small bowel end or duct accurately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Bougies / sizing catheters, small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calibrates the anastomosis and excludes distal obstruction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stapling devices only if size-appropriate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most neonatal staplers are too large — say so explicitly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Fibrin sealant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reinforces a delicate anastomosis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PROCEDURE-SPECIFIC ADDITIONS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Pyloromyotomy spreader (Benson) and pyloric knife/blade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for Ramstedt pyloromyotomy — the hypertrophied muscle is split and spread </w:t>
            </w:r>
            <w:r>
              <w:rPr>
                <w:b/>
              </w:rPr>
              <w:t>without breaching the mucosa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Rectal / suction biopsy instrument (Noblett)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obtains submucosa for ganglion cells in Hirschsprung's disease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Separate labelled specimen pots for levelling biopsies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each seromuscular biopsy is labelled with its distance from the anal verge</w:t>
            </w:r>
            <w:r>
              <w:t xml:space="preserve"> to locate the transition zone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Anal dilators, graded small; Hegar dilators, small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pull-through and post-operative dilatation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self-retaining anal retractor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exposes the anal canal for a pull-through anastomosis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Silo bag and applicator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staged reduction of gastroschisis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Stoma appliances, paediatric, with a marking pen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sited before incision, away from creases and the costal margin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Contrast medium and image intensifier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on-table contrast study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Frozen-section facility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confirms ganglion cells before the pull-through anastomosis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CONTAMINATION CONTROL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Separate 'dirty' bowel-technique instrument set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used after the bowel is opened, then removed from the field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warm moist packs and drapes to isolate the bowel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warm and moist, because exposed neonatal bowel loses heat and fluid fast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Dedicated fine suction tip for enteric content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kept separate from the clean suction to limit contamination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Antiseptic-soaked small swabs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cleansing the divided ends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Separate specimen and 'dirty' receivers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prevents enteric organisms reaching the clean part of the field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Change of gloves after the enteric stage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removes bowel organisms before the abdomen is closed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Culture swabs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peritoneal fluid in necrotising enterocolitis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PHYSIOLOGICAL SUPPORT — CRITICAL IN THIS GROUP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Nasogastric / orogastric tube, size-appropriate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decompression is essential in obstruction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Warming mattress, overhead heater, warmed irrigation and warmed intravenous fluids; theatre at 24–26 °C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exposed bowel loses heat and fluid extremely rapidly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Continuous core temperature monitoring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an open abdomen cools a neonate within minutes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Volumetric pumps and syringe drivers; fluids in mL/kg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every fluid is weight-calculated; a free-flowing line can overload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Cross-matched blood in paediatric aliquots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 xml:space="preserve">blood volume ≈ </w:t>
            </w:r>
            <w:r>
              <w:rPr>
                <w:b/>
              </w:rPr>
              <w:t>80 mL/kg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counted radio-opaque swabs with a weighing scale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swabs weighed to quantify loss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Glucose monitoring and dextrose infusion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neonates have minimal glycogen reserve and become hypoglycaemic fast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Parenteral nutrition access — central line or PICC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prolonged ileus is expected after neonatal bowel surgery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Neonatal resuscitation equipment and a transport incubator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the child must be moved back to intensive care still warm</w:t>
            </w:r>
          </w:p>
        </w:tc>
      </w:tr>
    </w:tbl>
    <w:p>
      <w:pPr>
        <w:spacing w:before="0" w:after="16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Additional supplies and accessories</w:t>
      </w:r>
    </w:p>
    <w:p>
      <w:pPr>
        <w:pStyle w:val="BoxBody"/>
        <w:ind w:start="170"/>
      </w:pPr>
      <w:r>
        <w:rPr>
          <w:b/>
        </w:rPr>
        <w:t>Position</w:t>
      </w:r>
      <w:r>
        <w:t xml:space="preserve"> — Supine on a warming mattress; lithotomy or prone for anorectal and pull-through procedures. Exposure is kept to the minimum area to preserve temperature.</w:t>
      </w:r>
    </w:p>
    <w:p>
      <w:pPr>
        <w:pStyle w:val="BoxBody"/>
        <w:ind w:start="170"/>
      </w:pPr>
      <w:r>
        <w:rPr>
          <w:b/>
        </w:rPr>
        <w:t>Ramstedt pyloromyotomy</w:t>
      </w:r>
      <w:r>
        <w:t xml:space="preserve"> — The </w:t>
      </w:r>
      <w:r>
        <w:rPr>
          <w:b/>
        </w:rPr>
        <w:t>seromuscular layer of the pylorus is incised and spread with a Benson spreader until the mucosa pouts through, intact</w:t>
      </w:r>
      <w:r>
        <w:t xml:space="preserve">. The tray must therefore include the spreader and a means of </w:t>
      </w:r>
      <w:r>
        <w:rPr>
          <w:b/>
        </w:rPr>
        <w:t>testing mucosal integrity</w:t>
      </w:r>
      <w:r>
        <w:t xml:space="preserve"> (insufflating air through the nasogastric tube). A breached mucosa must be recognised and repaired at once.</w:t>
      </w:r>
    </w:p>
    <w:p>
      <w:pPr>
        <w:pStyle w:val="BoxBody"/>
        <w:ind w:start="170"/>
      </w:pPr>
      <w:r>
        <w:rPr>
          <w:b/>
        </w:rPr>
        <w:t>Hirschsprung's levelling biopsies</w:t>
      </w:r>
      <w:r>
        <w:t xml:space="preserve"> — Seromuscular biopsies are taken at intervals and sent for </w:t>
      </w:r>
      <w:r>
        <w:rPr>
          <w:b/>
        </w:rPr>
        <w:t>frozen section</w:t>
      </w:r>
      <w:r>
        <w:t xml:space="preserve"> to find the level at which ganglion cells appear. </w:t>
      </w:r>
      <w:r>
        <w:rPr>
          <w:b/>
        </w:rPr>
        <w:t>Each pot must be separately labelled with its distance from the anal verge</w:t>
      </w:r>
      <w:r>
        <w:t xml:space="preserve"> — mislabelling leads to resection at the wrong level.</w:t>
      </w:r>
    </w:p>
    <w:p>
      <w:pPr>
        <w:pStyle w:val="BoxBody"/>
        <w:ind w:start="170"/>
      </w:pPr>
      <w:r>
        <w:rPr>
          <w:b/>
        </w:rPr>
        <w:t>Complications</w:t>
      </w:r>
      <w:r>
        <w:t xml:space="preserve"> — Anastomotic leak and stricture, </w:t>
      </w:r>
      <w:r>
        <w:rPr>
          <w:b/>
        </w:rPr>
        <w:t>mucosal perforation in pyloromyotomy</w:t>
      </w:r>
      <w:r>
        <w:t>, adhesive obstruction, short-bowel syndrome, stoma complications, wound dehiscence, sepsis, hypothermia and hypoglycaemia, and prolonged parenteral-nutrition dependence.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F0F0F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Examination pointers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Restate the </w:t>
            </w:r>
            <w:r>
              <w:rPr>
                <w:b/>
              </w:rPr>
              <w:t>crushing versus non-crushing</w:t>
            </w:r>
            <w:r>
              <w:t xml:space="preserve"> rule, then explain that in a neonate even a Doyen may be too heavy — hence </w:t>
            </w:r>
            <w:r>
              <w:rPr>
                <w:b/>
              </w:rPr>
              <w:t>rubber-shod fine clamps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Anastomoses are hand-sewn, single-layer interrupted extramucosal, 5-0 to 7-0, under loupes</w:t>
            </w:r>
            <w:r>
              <w:t xml:space="preserve"> — staplers are usually too large.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Benson pyloromyotomy spreader</w:t>
            </w:r>
            <w:r>
              <w:t xml:space="preserve"> and </w:t>
            </w:r>
            <w:r>
              <w:rPr>
                <w:b/>
              </w:rPr>
              <w:t>testing mucosal integrity</w:t>
            </w:r>
            <w:r>
              <w:t xml:space="preserve"> for Ramstedt's operation.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Noblett suction rectal biopsy</w:t>
            </w:r>
            <w:r>
              <w:t xml:space="preserve"> and </w:t>
            </w:r>
            <w:r>
              <w:rPr>
                <w:b/>
              </w:rPr>
              <w:t>separately labelled levelling biopsies with frozen section</w:t>
            </w:r>
            <w:r>
              <w:t xml:space="preserve"> for Hirschsprung's.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Contamination control with a separate 'dirty' set and glove change.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Warming, swab weighing and 80 mL/kg</w:t>
            </w:r>
            <w:r>
              <w:t xml:space="preserve"> — the paediatric constants apply with even greater force when bowel is exposed.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Nasogastric decompression and central access for parenteral nutrition</w:t>
            </w:r>
            <w:r>
              <w:t xml:space="preserve"> are part of preparation.</w:t>
            </w:r>
          </w:p>
        </w:tc>
      </w:tr>
    </w:tbl>
    <w:p>
      <w:pPr>
        <w:spacing w:before="0" w:after="14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Common mistakes to avoid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Applying a crushing clamp to bowel that will be retained.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Assuming adult staplers can be used in a neonate.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Failing to label levelling biopsies with the distance from the anal verge.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Omitting warming, swab weighing and glucose monitoring.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Forgetting to test mucosal integrity after pyloromyotomy.</w:t>
            </w:r>
          </w:p>
        </w:tc>
      </w:tr>
    </w:tbl>
    <w:p>
      <w:pPr>
        <w:spacing w:before="0" w:after="140" w:line="240" w:lineRule="auto"/>
      </w:pPr>
    </w:p>
    <w:sectPr w:rsidR="00FC693F" w:rsidRPr="0006063C" w:rsidSect="00034616">
      <w:headerReference w:type="default" r:id="rId9"/>
      <w:footerReference w:type="default" r:id="rId10"/>
      <w:pgSz w:w="12240" w:h="20160"/>
      <w:pgMar w:top="720" w:right="720" w:bottom="720" w:left="720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6" w:space="2" w:color="AAAAAA"/>
      </w:pBdr>
      <w:spacing w:before="60"/>
    </w:pPr>
    <w:r/>
    <w:r>
      <w:rPr>
        <w:rFonts w:ascii="Calibri" w:hAnsi="Calibri"/>
        <w:color w:val="555555"/>
        <w:sz w:val="19"/>
      </w:rPr>
      <w:t xml:space="preserve">— </w:t>
    </w:r>
    <w:r>
      <w:fldChar w:fldCharType="begin"/>
    </w:r>
    <w:r>
      <w:instrText xml:space="preserve">PAGE</w:instrText>
    </w:r>
    <w:r>
      <w:fldChar w:fldCharType="separate"/>
    </w:r>
    <w:r>
      <w:rPr>
        <w:rFonts w:ascii="Calibri" w:hAnsi="Calibri"/>
        <w:b/>
        <w:sz w:val="19"/>
      </w:rPr>
      <w:t>1</w:t>
    </w:r>
    <w:r>
      <w:fldChar w:fldCharType="end"/>
    </w:r>
    <w:r>
      <w:rPr>
        <w:rFonts w:ascii="Calibri" w:hAnsi="Calibri"/>
        <w:color w:val="555555"/>
        <w:sz w:val="19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800" w:val="right"/>
      </w:tabs>
      <w:pBdr>
        <w:bottom w:val="single" w:sz="6" w:space="2" w:color="AAAAAA"/>
      </w:pBdr>
      <w:spacing w:after="80"/>
    </w:pPr>
    <w:r/>
    <w:r>
      <w:rPr>
        <w:rFonts w:ascii="Calibri" w:hAnsi="Calibri"/>
        <w:b/>
        <w:caps/>
        <w:color w:val="444444"/>
        <w:sz w:val="16"/>
      </w:rPr>
      <w:t>Preparation of Instrument Trays</w:t>
    </w:r>
    <w:r>
      <w:rPr>
        <w:rFonts w:ascii="Calibri" w:hAnsi="Calibri"/>
        <w:i/>
        <w:color w:val="666666"/>
        <w:sz w:val="16"/>
      </w:rPr>
      <w:tab/>
      <w:t>Complete Examination Notes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9" w:lineRule="auto"/>
    </w:pPr>
    <w:rPr>
      <w:rFonts w:ascii="Georgia" w:hAnsi="Georgia"/>
      <w:sz w:val="21"/>
      <w:rFonts w:ascii="Georgia" w:hAnsi="Georgia" w:cs="Georgia" w:eastAsia="Georgi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00"/>
      <w:outlineLvl w:val="0"/>
    </w:pPr>
    <w:rPr>
      <w:rFonts w:asciiTheme="majorHAnsi" w:eastAsiaTheme="majorEastAsia" w:hAnsiTheme="majorHAnsi" w:cstheme="majorBidi" w:ascii="Calibri" w:hAnsi="Calibri"/>
      <w:b/>
      <w:bCs/>
      <w:caps/>
      <w:color w:val="FFFFFF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A1A1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4F81BD" w:themeColor="accent1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rayLead">
    <w:name w:val="TrayLead"/>
    <w:pPr>
      <w:spacing w:before="0" w:after="80" w:line="274" w:lineRule="auto"/>
    </w:pPr>
    <w:rPr>
      <w:rFonts w:ascii="Georgia" w:hAnsi="Georgia" w:cs="Georgia" w:eastAsia="Georgia"/>
      <w:b w:val="0"/>
      <w:i w:val="0"/>
      <w:color w:val="000000"/>
      <w:sz w:val="21"/>
    </w:rPr>
  </w:style>
  <w:style w:type="paragraph" w:customStyle="1" w:styleId="TinyLabel">
    <w:name w:val="TinyLabel"/>
    <w:pPr>
      <w:spacing w:before="0" w:after="20" w:line="269" w:lineRule="auto"/>
      <w:keepNext/>
      <w:keepLines/>
    </w:pPr>
    <w:rPr>
      <w:rFonts w:ascii="Calibri" w:hAnsi="Calibri" w:cs="Calibri" w:eastAsia="Calibri"/>
      <w:b/>
      <w:i w:val="0"/>
      <w:caps/>
      <w:color w:val="333333"/>
      <w:sz w:val="16"/>
      <w:spacing w:val="12"/>
    </w:rPr>
  </w:style>
  <w:style w:type="paragraph" w:customStyle="1" w:styleId="Bullet">
    <w:name w:val="Bullet"/>
    <w:pPr>
      <w:spacing w:before="0" w:after="40" w:line="264" w:lineRule="auto"/>
    </w:pPr>
    <w:rPr>
      <w:rFonts w:ascii="Georgia" w:hAnsi="Georgia" w:cs="Georgia" w:eastAsia="Georgia"/>
      <w:b w:val="0"/>
      <w:i w:val="0"/>
      <w:color w:val="000000"/>
      <w:sz w:val="20"/>
    </w:rPr>
  </w:style>
  <w:style w:type="paragraph" w:customStyle="1" w:styleId="SubBullet">
    <w:name w:val="SubBullet"/>
    <w:pPr>
      <w:spacing w:before="0" w:after="20" w:line="259" w:lineRule="auto"/>
    </w:pPr>
    <w:rPr>
      <w:rFonts w:ascii="Georgia" w:hAnsi="Georgia" w:cs="Georgia" w:eastAsia="Georgia"/>
      <w:b w:val="0"/>
      <w:i w:val="0"/>
      <w:color w:val="000000"/>
      <w:sz w:val="19"/>
    </w:rPr>
  </w:style>
  <w:style w:type="paragraph" w:customStyle="1" w:styleId="BoxHead">
    <w:name w:val="BoxHead"/>
    <w:pPr>
      <w:spacing w:before="0" w:after="40" w:line="269" w:lineRule="auto"/>
      <w:keepNext/>
      <w:keepLines/>
    </w:pPr>
    <w:rPr>
      <w:rFonts w:ascii="Calibri" w:hAnsi="Calibri" w:cs="Calibri" w:eastAsia="Calibri"/>
      <w:b/>
      <w:i w:val="0"/>
      <w:caps/>
      <w:color w:val="000000"/>
      <w:sz w:val="19"/>
      <w:spacing w:val="10"/>
    </w:rPr>
  </w:style>
  <w:style w:type="paragraph" w:customStyle="1" w:styleId="BoxBody">
    <w:name w:val="BoxBody"/>
    <w:pPr>
      <w:spacing w:before="0" w:after="40" w:line="264" w:lineRule="auto"/>
    </w:pPr>
    <w:rPr>
      <w:rFonts w:ascii="Georgia" w:hAnsi="Georgia" w:cs="Georgia" w:eastAsia="Georgia"/>
      <w:b w:val="0"/>
      <w:i w:val="0"/>
      <w:color w:val="000000"/>
      <w:sz w:val="19"/>
    </w:rPr>
  </w:style>
  <w:style w:type="paragraph" w:customStyle="1" w:styleId="TabHead">
    <w:name w:val="TabHead"/>
    <w:pPr>
      <w:spacing w:before="20" w:after="20" w:line="252" w:lineRule="auto"/>
      <w:keepNext/>
      <w:keepLines/>
    </w:pPr>
    <w:rPr>
      <w:rFonts w:ascii="Calibri" w:hAnsi="Calibri" w:cs="Calibri" w:eastAsia="Calibri"/>
      <w:b/>
      <w:i w:val="0"/>
      <w:color w:val="000000"/>
      <w:sz w:val="18"/>
    </w:rPr>
  </w:style>
  <w:style w:type="paragraph" w:customStyle="1" w:styleId="TabCell">
    <w:name w:val="TabCell"/>
    <w:pPr>
      <w:spacing w:before="20" w:after="20" w:line="254" w:lineRule="auto"/>
    </w:pPr>
    <w:rPr>
      <w:rFonts w:ascii="Georgia" w:hAnsi="Georgia" w:cs="Georgia" w:eastAsia="Georgia"/>
      <w:b w:val="0"/>
      <w:i w:val="0"/>
      <w:color w:val="000000"/>
      <w:sz w:val="18"/>
    </w:rPr>
  </w:style>
  <w:style w:type="paragraph" w:customStyle="1" w:styleId="TabCellSm">
    <w:name w:val="TabCellSm"/>
    <w:pPr>
      <w:spacing w:before="20" w:after="20" w:line="252" w:lineRule="auto"/>
    </w:pPr>
    <w:rPr>
      <w:rFonts w:ascii="Georgia" w:hAnsi="Georgia" w:cs="Georgia" w:eastAsia="Georgia"/>
      <w:b w:val="0"/>
      <w:i w:val="0"/>
      <w:color w:val="000000"/>
      <w:sz w:val="17"/>
    </w:rPr>
  </w:style>
  <w:style w:type="paragraph" w:customStyle="1" w:styleId="FigCaption">
    <w:name w:val="FigCaption"/>
    <w:pPr>
      <w:spacing w:before="40" w:after="120" w:line="252" w:lineRule="auto"/>
      <w:jc w:val="center"/>
    </w:pPr>
    <w:rPr>
      <w:rFonts w:ascii="Calibri" w:hAnsi="Calibri" w:cs="Calibri" w:eastAsia="Calibri"/>
      <w:b w:val="0"/>
      <w:i/>
      <w:color w:val="333333"/>
      <w:sz w:val="16"/>
    </w:rPr>
  </w:style>
  <w:style w:type="paragraph" w:customStyle="1" w:styleId="TOCHead">
    <w:name w:val="TOCHead"/>
    <w:pPr>
      <w:spacing w:before="0" w:after="80" w:line="269" w:lineRule="auto"/>
      <w:jc w:val="center"/>
    </w:pPr>
    <w:rPr>
      <w:rFonts w:ascii="Calibri" w:hAnsi="Calibri" w:cs="Calibri" w:eastAsia="Calibri"/>
      <w:b/>
      <w:i w:val="0"/>
      <w:caps/>
      <w:color w:val="000000"/>
      <w:sz w:val="40"/>
      <w:spacing w:val="24"/>
    </w:rPr>
  </w:style>
  <w:style w:type="paragraph" w:customStyle="1" w:styleId="CoverTitle">
    <w:name w:val="CoverTitle"/>
    <w:pPr>
      <w:spacing w:before="0" w:after="0" w:line="240" w:lineRule="auto"/>
      <w:jc w:val="center"/>
    </w:pPr>
    <w:rPr>
      <w:rFonts w:ascii="Calibri" w:hAnsi="Calibri" w:cs="Calibri" w:eastAsia="Calibri"/>
      <w:b/>
      <w:i w:val="0"/>
      <w:color w:val="000000"/>
      <w:sz w:val="68"/>
    </w:rPr>
  </w:style>
  <w:style w:type="paragraph" w:customStyle="1" w:styleId="CoverSub">
    <w:name w:val="CoverSub"/>
    <w:pPr>
      <w:spacing w:before="0" w:after="0" w:line="269" w:lineRule="auto"/>
      <w:jc w:val="center"/>
    </w:pPr>
    <w:rPr>
      <w:rFonts w:ascii="Calibri" w:hAnsi="Calibri" w:cs="Calibri" w:eastAsia="Calibri"/>
      <w:b w:val="0"/>
      <w:i w:val="0"/>
      <w:color w:val="333333"/>
      <w:sz w:val="26"/>
    </w:rPr>
  </w:style>
  <w:style w:type="paragraph" w:customStyle="1" w:styleId="Mnemonic">
    <w:name w:val="Mnemonic"/>
    <w:pPr>
      <w:spacing w:before="0" w:after="40" w:line="264" w:lineRule="auto"/>
    </w:pPr>
    <w:rPr>
      <w:rFonts w:ascii="Consolas" w:hAnsi="Consolas" w:cs="Consolas" w:eastAsia="Consolas"/>
      <w:b/>
      <w:i w:val="0"/>
      <w:color w:val="000000"/>
      <w:sz w:val="19"/>
    </w:rPr>
  </w:style>
  <w:style w:type="paragraph" w:customStyle="1" w:styleId="QBank">
    <w:name w:val="QBank"/>
    <w:pPr>
      <w:spacing w:before="0" w:after="60" w:line="264" w:lineRule="auto"/>
    </w:pPr>
    <w:rPr>
      <w:rFonts w:ascii="Georgia" w:hAnsi="Georgia" w:cs="Georgia" w:eastAsia="Georgia"/>
      <w:b w:val="0"/>
      <w:i w:val="0"/>
      <w:color w:val="000000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