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VII — INSTRUMENT TRAYS</w:t>
            </w:r>
          </w:p>
          <w:p>
            <w:pPr>
              <w:pStyle w:val="CoverTitle"/>
              <w:spacing w:before="40" w:after="160"/>
            </w:pPr>
            <w:r>
              <w:t>NEUROLOGIC PROCEDURES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60" w:name="toc"/>
      <w:pPr>
        <w:pStyle w:val="TOCHead"/>
        <w:spacing w:before="80" w:after="40"/>
      </w:pPr>
      <w:r>
        <w:t>Table of Contents</w:t>
      </w:r>
      <w:bookmarkEnd w:id="1060"/>
    </w:p>
    <w:p>
      <w:pPr>
        <w:jc w:val="center"/>
        <w:spacing w:before="0" w:after="80" w:line="240" w:lineRule="auto"/>
        <w:pBdr>
          <w:bottom w:val="single" w:sz="18" w:space="1" w:color="000000"/>
        </w:pBdr>
      </w:pPr>
    </w:p>
    <w:p>
      <w:pPr>
        <w:jc w:val="center"/>
        <w:spacing w:before="0" w:after="180"/>
      </w:pPr>
      <w:r>
        <w:rPr>
          <w:rFonts w:ascii="Calibri" w:hAnsi="Calibri"/>
          <w:i/>
          <w:color w:val="444444"/>
          <w:sz w:val="17"/>
        </w:rPr>
        <w:t>Page numbers are live fields. To fill them in: press Ctrl+A then F9 (Windows) or Cmd+A then Fn+F9 (Mac). Word will also offer to update them when the file opens.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6" w:space="0" w:color="000000"/>
        </w:tblBorders>
      </w:tblPr>
      <w:tblGrid>
        <w:gridCol w:w="5400"/>
        <w:gridCol w:w="5400"/>
      </w:tblGrid>
      <w:tr>
        <w:trPr>
          <w:tblHeader/>
          <w:cantSplit/>
        </w:trPr>
        <w:tc>
          <w:tcPr>
            <w:tcW w:type="dxa" w:w="9666"/>
            <w:shd w:val="clear" w:color="auto" w:fill="D9D9D9"/>
            <w:tcMar>
              <w:top w:w="60" w:type="dxa"/>
              <w:start w:w="90" w:type="dxa"/>
              <w:bottom w:w="60" w:type="dxa"/>
              <w:end w:w="90" w:type="dxa"/>
            </w:tcMar>
            <w:tcBorders>
              <w:bottom w:val="single" w:sz="12" w:space="0" w:color="000000"/>
            </w:tcBorders>
          </w:tcPr>
          <w:p>
            <w:pPr>
              <w:pStyle w:val="TabHead"/>
              <w:jc w:val="left"/>
            </w:pPr>
            <w:r>
              <w:t>Tray / Chapter</w:t>
            </w:r>
          </w:p>
        </w:tc>
        <w:tc>
          <w:tcPr>
            <w:tcW w:type="dxa" w:w="1134"/>
            <w:shd w:val="clear" w:color="auto" w:fill="D9D9D9"/>
            <w:tcMar>
              <w:top w:w="60" w:type="dxa"/>
              <w:start w:w="90" w:type="dxa"/>
              <w:bottom w:w="60" w:type="dxa"/>
              <w:end w:w="90" w:type="dxa"/>
            </w:tcMar>
            <w:tcBorders>
              <w:bottom w:val="single" w:sz="12" w:space="0" w:color="000000"/>
            </w:tcBorders>
          </w:tcPr>
          <w:p>
            <w:pPr>
              <w:pStyle w:val="TabHead"/>
              <w:jc w:val="center"/>
            </w:pPr>
            <w:r>
              <w:t>Page</w:t>
            </w:r>
          </w:p>
        </w:tc>
      </w:tr>
      <w:tr>
        <w:trPr>
          <w:cantSplit/>
        </w:trPr>
        <w:tc>
          <w:tcPr>
            <w:tcW w:type="dxa" w:w="9666"/>
            <w:vAlign w:val="top"/>
            <w:tcMar>
              <w:top w:w="42" w:type="dxa"/>
              <w:start w:w="90" w:type="dxa"/>
              <w:bottom w:w="42" w:type="dxa"/>
              <w:end w:w="90" w:type="dxa"/>
            </w:tcMar>
            <w:shd w:val="clear" w:color="auto" w:fill="E4E4E4"/>
          </w:tcPr>
          <w:p>
            <w:pPr>
              <w:pStyle w:val="TabCell"/>
            </w:pPr>
            <w:r>
              <w:rPr>
                <w:rFonts w:ascii="Calibri" w:hAnsi="Calibri"/>
                <w:b/>
                <w:sz w:val="18"/>
                <w:spacing w:val="12"/>
              </w:rPr>
              <w:t>NEUROLOGIC PROCEDURES TRAYS</w:t>
            </w:r>
          </w:p>
        </w:tc>
        <w:tc>
          <w:tcPr>
            <w:tcW w:type="dxa" w:w="1134"/>
            <w:vAlign w:val="top"/>
            <w:tcMar>
              <w:top w:w="42" w:type="dxa"/>
              <w:start w:w="90" w:type="dxa"/>
              <w:bottom w:w="42" w:type="dxa"/>
              <w:end w:w="90" w:type="dxa"/>
            </w:tcMar>
            <w:shd w:val="clear" w:color="auto" w:fill="E4E4E4"/>
          </w:tcPr>
          <w:p>
            <w:pPr>
              <w:pStyle w:val="TabCell"/>
              <w:jc w:val="center"/>
            </w:pPr>
            <w:r>
              <w:fldChar w:fldCharType="begin"/>
            </w:r>
            <w:r>
              <w:instrText xml:space="preserve"> PAGEREF part_VII \h </w:instrText>
            </w:r>
            <w:r>
              <w:fldChar w:fldCharType="separate"/>
            </w:r>
            <w:r>
              <w:rPr>
                <w:rFonts w:ascii="Calibri" w:hAnsi="Calibri"/>
                <w:b/>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7.1   Craniotomy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tray_7_1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7.2   Laminectomy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tray_7_2 \h </w:instrText>
            </w:r>
            <w:r>
              <w:fldChar w:fldCharType="separate"/>
            </w:r>
            <w:r>
              <w:rPr>
                <w:rFonts w:ascii="Calibri" w:hAnsi="Calibri"/>
                <w:sz w:val="19"/>
              </w:rPr>
              <w:t>—</w:t>
            </w:r>
            <w:r>
              <w:fldChar w:fldCharType="end"/>
            </w:r>
          </w:p>
        </w:tc>
      </w:tr>
    </w:tbl>
    <w:p>
      <w:pPr>
        <w:spacing w:before="0" w:after="120" w:line="240" w:lineRule="auto"/>
      </w:pPr>
    </w:p>
    <w:p>
      <w:r>
        <w:br w:type="page"/>
      </w:r>
    </w:p>
    <w:p>
      <w:bookmarkStart w:id="1061" w:name="how_to_read"/>
      <w:pPr>
        <w:pStyle w:val="TOCHead"/>
        <w:spacing w:before="80" w:after="40"/>
      </w:pPr>
      <w:r>
        <w:t>How to Read These Notes</w:t>
      </w:r>
      <w:bookmarkEnd w:id="1061"/>
    </w:p>
    <w:p>
      <w:pPr>
        <w:jc w:val="center"/>
        <w:spacing w:before="0" w:after="160" w:line="240" w:lineRule="auto"/>
        <w:pBdr>
          <w:bottom w:val="single" w:sz="18" w:space="1" w:color="000000"/>
        </w:pBdr>
      </w:pPr>
    </w:p>
    <w:p>
      <w:pPr>
        <w:pStyle w:val="TrayLead"/>
        <w:spacing w:before="0" w:after="160"/>
      </w:pPr>
      <w:r>
        <w:t xml:space="preserve">Every tray chapter is built to the same pattern, so you can find the same kind of information in the same place each time. Read the </w:t>
      </w:r>
      <w:r>
        <w:rPr>
          <w:i/>
        </w:rPr>
        <w:t>lead paragraph</w:t>
      </w:r>
      <w:r>
        <w:t xml:space="preserve"> and the </w:t>
      </w:r>
      <w:r>
        <w:rPr>
          <w:i/>
        </w:rPr>
        <w:t>figure</w:t>
      </w:r>
      <w:r>
        <w:t xml:space="preserve"> first to fix the idea, then work through the contents table.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insideH w:val="single" w:sz="4" w:space="0" w:color="BBBBBB"/>
        </w:tblBorders>
      </w:tblPr>
      <w:tblGrid>
        <w:gridCol w:w="5400"/>
        <w:gridCol w:w="5400"/>
      </w:tblGrid>
      <w:tr>
        <w:tc>
          <w:tcPr>
            <w:tcW w:type="dxa" w:w="2835"/>
            <w:vAlign w:val="top"/>
            <w:tcMar>
              <w:top w:w="70" w:type="dxa"/>
              <w:start w:w="0" w:type="dxa"/>
              <w:bottom w:w="70" w:type="dxa"/>
              <w:end w:w="110" w:type="dxa"/>
            </w:tcMar>
          </w:tcPr>
          <w:p>
            <w:pPr>
              <w:pStyle w:val="TabHead"/>
            </w:pPr>
            <w:r>
              <w:rPr>
                <w:sz w:val="19"/>
              </w:rPr>
              <w:t>Lead paragraph</w:t>
            </w:r>
          </w:p>
        </w:tc>
        <w:tc>
          <w:tcPr>
            <w:tcW w:type="dxa" w:w="7965"/>
            <w:vAlign w:val="top"/>
            <w:tcMar>
              <w:top w:w="70" w:type="dxa"/>
              <w:start w:w="0" w:type="dxa"/>
              <w:bottom w:w="70" w:type="dxa"/>
              <w:end w:w="110" w:type="dxa"/>
            </w:tcMar>
          </w:tcPr>
          <w:p>
            <w:pPr>
              <w:pStyle w:val="TabCell"/>
            </w:pPr>
            <w:r>
              <w:rPr>
                <w:sz w:val="19"/>
              </w:rPr>
              <w:t>What the tray is for and the single idea that shapes it. If you remember nothing else from a chapter, remember this.</w:t>
            </w:r>
          </w:p>
        </w:tc>
      </w:tr>
      <w:tr>
        <w:tc>
          <w:tcPr>
            <w:tcW w:type="dxa" w:w="2835"/>
            <w:vAlign w:val="top"/>
            <w:tcMar>
              <w:top w:w="70" w:type="dxa"/>
              <w:start w:w="0" w:type="dxa"/>
              <w:bottom w:w="70" w:type="dxa"/>
              <w:end w:w="110" w:type="dxa"/>
            </w:tcMar>
          </w:tcPr>
          <w:p>
            <w:pPr>
              <w:pStyle w:val="TabHead"/>
            </w:pPr>
            <w:r>
              <w:rPr>
                <w:sz w:val="19"/>
              </w:rPr>
              <w:t>Used for / includes</w:t>
            </w:r>
          </w:p>
        </w:tc>
        <w:tc>
          <w:tcPr>
            <w:tcW w:type="dxa" w:w="7965"/>
            <w:vAlign w:val="top"/>
            <w:tcMar>
              <w:top w:w="70" w:type="dxa"/>
              <w:start w:w="0" w:type="dxa"/>
              <w:bottom w:w="70" w:type="dxa"/>
              <w:end w:w="110" w:type="dxa"/>
            </w:tcMar>
          </w:tcPr>
          <w:p>
            <w:pPr>
              <w:pStyle w:val="TabCell"/>
            </w:pPr>
            <w:r>
              <w:rPr>
                <w:sz w:val="19"/>
              </w:rPr>
              <w:t>The procedures the tray serves — useful for 'name three indications' questions.</w:t>
            </w:r>
          </w:p>
        </w:tc>
      </w:tr>
      <w:tr>
        <w:tc>
          <w:tcPr>
            <w:tcW w:type="dxa" w:w="2835"/>
            <w:vAlign w:val="top"/>
            <w:tcMar>
              <w:top w:w="70" w:type="dxa"/>
              <w:start w:w="0" w:type="dxa"/>
              <w:bottom w:w="70" w:type="dxa"/>
              <w:end w:w="110" w:type="dxa"/>
            </w:tcMar>
          </w:tcPr>
          <w:p>
            <w:pPr>
              <w:pStyle w:val="TabHead"/>
            </w:pPr>
            <w:r>
              <w:rPr>
                <w:sz w:val="19"/>
              </w:rPr>
              <w:t>Figure</w:t>
            </w:r>
          </w:p>
        </w:tc>
        <w:tc>
          <w:tcPr>
            <w:tcW w:type="dxa" w:w="7965"/>
            <w:vAlign w:val="top"/>
            <w:tcMar>
              <w:top w:w="70" w:type="dxa"/>
              <w:start w:w="0" w:type="dxa"/>
              <w:bottom w:w="70" w:type="dxa"/>
              <w:end w:w="110" w:type="dxa"/>
            </w:tcMar>
          </w:tcPr>
          <w:p>
            <w:pPr>
              <w:pStyle w:val="TabCell"/>
            </w:pPr>
            <w:r>
              <w:rPr>
                <w:sz w:val="19"/>
              </w:rPr>
              <w:t xml:space="preserve">An original line diagram of the tray's </w:t>
            </w:r>
            <w:r>
              <w:rPr>
                <w:b/>
                <w:sz w:val="19"/>
              </w:rPr>
              <w:t>signature instruments</w:t>
            </w:r>
            <w:r>
              <w:rPr>
                <w:sz w:val="19"/>
              </w:rPr>
              <w:t xml:space="preserve"> — the items that identify it. Diagrams are schematic: they show the identifying feature (jaw pattern, bevel direction, footplate, curve) rather than a photographic likeness.</w:t>
            </w:r>
          </w:p>
        </w:tc>
      </w:tr>
      <w:tr>
        <w:tc>
          <w:tcPr>
            <w:tcW w:type="dxa" w:w="2835"/>
            <w:vAlign w:val="top"/>
            <w:tcMar>
              <w:top w:w="70" w:type="dxa"/>
              <w:start w:w="0" w:type="dxa"/>
              <w:bottom w:w="70" w:type="dxa"/>
              <w:end w:w="110" w:type="dxa"/>
            </w:tcMar>
          </w:tcPr>
          <w:p>
            <w:pPr>
              <w:pStyle w:val="TabHead"/>
            </w:pPr>
            <w:r>
              <w:rPr>
                <w:sz w:val="19"/>
              </w:rPr>
              <w:t>Callout box</w:t>
            </w:r>
          </w:p>
        </w:tc>
        <w:tc>
          <w:tcPr>
            <w:tcW w:type="dxa" w:w="7965"/>
            <w:vAlign w:val="top"/>
            <w:tcMar>
              <w:top w:w="70" w:type="dxa"/>
              <w:start w:w="0" w:type="dxa"/>
              <w:bottom w:w="70" w:type="dxa"/>
              <w:end w:w="110" w:type="dxa"/>
            </w:tcMar>
          </w:tcPr>
          <w:p>
            <w:pPr>
              <w:pStyle w:val="TabCell"/>
            </w:pPr>
            <w:r>
              <w:rPr>
                <w:sz w:val="19"/>
              </w:rPr>
              <w:t>The one concept, distinction or safety rule that examiners return to for that tray.</w:t>
            </w:r>
          </w:p>
        </w:tc>
      </w:tr>
      <w:tr>
        <w:tc>
          <w:tcPr>
            <w:tcW w:type="dxa" w:w="2835"/>
            <w:vAlign w:val="top"/>
            <w:tcMar>
              <w:top w:w="70" w:type="dxa"/>
              <w:start w:w="0" w:type="dxa"/>
              <w:bottom w:w="70" w:type="dxa"/>
              <w:end w:w="110" w:type="dxa"/>
            </w:tcMar>
          </w:tcPr>
          <w:p>
            <w:pPr>
              <w:pStyle w:val="TabHead"/>
            </w:pPr>
            <w:r>
              <w:rPr>
                <w:sz w:val="19"/>
              </w:rPr>
              <w:t>Contents of the tray</w:t>
            </w:r>
          </w:p>
        </w:tc>
        <w:tc>
          <w:tcPr>
            <w:tcW w:type="dxa" w:w="7965"/>
            <w:vAlign w:val="top"/>
            <w:tcMar>
              <w:top w:w="70" w:type="dxa"/>
              <w:start w:w="0" w:type="dxa"/>
              <w:bottom w:w="70" w:type="dxa"/>
              <w:end w:w="110" w:type="dxa"/>
            </w:tcMar>
          </w:tcPr>
          <w:p>
            <w:pPr>
              <w:pStyle w:val="TabCell"/>
            </w:pPr>
            <w:r>
              <w:rPr>
                <w:sz w:val="19"/>
              </w:rPr>
              <w:t xml:space="preserve">The full instrument list, grouped by </w:t>
            </w:r>
            <w:r>
              <w:rPr>
                <w:b/>
                <w:sz w:val="19"/>
              </w:rPr>
              <w:t>function</w:t>
            </w:r>
            <w:r>
              <w:rPr>
                <w:sz w:val="19"/>
              </w:rPr>
              <w:t xml:space="preserve"> — cutting, grasping, clamping, retracting, suturing, suctioning — with quantities and the reason each item is present. Answer 'enumerate the contents' questions using these groups as headings.</w:t>
            </w:r>
          </w:p>
        </w:tc>
      </w:tr>
      <w:tr>
        <w:tc>
          <w:tcPr>
            <w:tcW w:type="dxa" w:w="2835"/>
            <w:vAlign w:val="top"/>
            <w:tcMar>
              <w:top w:w="70" w:type="dxa"/>
              <w:start w:w="0" w:type="dxa"/>
              <w:bottom w:w="70" w:type="dxa"/>
              <w:end w:w="110" w:type="dxa"/>
            </w:tcMar>
          </w:tcPr>
          <w:p>
            <w:pPr>
              <w:pStyle w:val="TabHead"/>
            </w:pPr>
            <w:r>
              <w:rPr>
                <w:sz w:val="19"/>
              </w:rPr>
              <w:t>Additional supplies</w:t>
            </w:r>
          </w:p>
        </w:tc>
        <w:tc>
          <w:tcPr>
            <w:tcW w:type="dxa" w:w="7965"/>
            <w:vAlign w:val="top"/>
            <w:tcMar>
              <w:top w:w="70" w:type="dxa"/>
              <w:start w:w="0" w:type="dxa"/>
              <w:bottom w:w="70" w:type="dxa"/>
              <w:end w:w="110" w:type="dxa"/>
            </w:tcMar>
          </w:tcPr>
          <w:p>
            <w:pPr>
              <w:pStyle w:val="TabCell"/>
            </w:pPr>
            <w:r>
              <w:rPr>
                <w:sz w:val="19"/>
              </w:rPr>
              <w:t>Position, draping, structures at risk and procedure-specific notes.</w:t>
            </w:r>
          </w:p>
        </w:tc>
      </w:tr>
      <w:tr>
        <w:tc>
          <w:tcPr>
            <w:tcW w:type="dxa" w:w="2835"/>
            <w:vAlign w:val="top"/>
            <w:tcMar>
              <w:top w:w="70" w:type="dxa"/>
              <w:start w:w="0" w:type="dxa"/>
              <w:bottom w:w="70" w:type="dxa"/>
              <w:end w:w="110" w:type="dxa"/>
            </w:tcMar>
          </w:tcPr>
          <w:p>
            <w:pPr>
              <w:pStyle w:val="TabHead"/>
            </w:pPr>
            <w:r>
              <w:rPr>
                <w:sz w:val="19"/>
              </w:rPr>
              <w:t>Comparison table</w:t>
            </w:r>
          </w:p>
        </w:tc>
        <w:tc>
          <w:tcPr>
            <w:tcW w:type="dxa" w:w="7965"/>
            <w:vAlign w:val="top"/>
            <w:tcMar>
              <w:top w:w="70" w:type="dxa"/>
              <w:start w:w="0" w:type="dxa"/>
              <w:bottom w:w="70" w:type="dxa"/>
              <w:end w:w="110" w:type="dxa"/>
            </w:tcMar>
          </w:tcPr>
          <w:p>
            <w:pPr>
              <w:pStyle w:val="TabCell"/>
            </w:pPr>
            <w:r>
              <w:rPr>
                <w:sz w:val="19"/>
              </w:rPr>
              <w:t>Where two trays or two instruments are easily confused, they are set side by side.</w:t>
            </w:r>
          </w:p>
        </w:tc>
      </w:tr>
      <w:tr>
        <w:tc>
          <w:tcPr>
            <w:tcW w:type="dxa" w:w="2835"/>
            <w:vAlign w:val="top"/>
            <w:tcMar>
              <w:top w:w="70" w:type="dxa"/>
              <w:start w:w="0" w:type="dxa"/>
              <w:bottom w:w="70" w:type="dxa"/>
              <w:end w:w="110" w:type="dxa"/>
            </w:tcMar>
          </w:tcPr>
          <w:p>
            <w:pPr>
              <w:pStyle w:val="TabHead"/>
            </w:pPr>
            <w:r>
              <w:rPr>
                <w:sz w:val="19"/>
              </w:rPr>
              <w:t>Examination pointers</w:t>
            </w:r>
          </w:p>
        </w:tc>
        <w:tc>
          <w:tcPr>
            <w:tcW w:type="dxa" w:w="7965"/>
            <w:vAlign w:val="top"/>
            <w:tcMar>
              <w:top w:w="70" w:type="dxa"/>
              <w:start w:w="0" w:type="dxa"/>
              <w:bottom w:w="70" w:type="dxa"/>
              <w:end w:w="110" w:type="dxa"/>
            </w:tcMar>
          </w:tcPr>
          <w:p>
            <w:pPr>
              <w:pStyle w:val="TabCell"/>
            </w:pPr>
            <w:r>
              <w:rPr>
                <w:sz w:val="19"/>
              </w:rPr>
              <w:t>The specific facts most often awarded marks — learn these last, as revision.</w:t>
            </w:r>
          </w:p>
        </w:tc>
      </w:tr>
      <w:tr>
        <w:tc>
          <w:tcPr>
            <w:tcW w:type="dxa" w:w="2835"/>
            <w:vAlign w:val="top"/>
            <w:tcMar>
              <w:top w:w="70" w:type="dxa"/>
              <w:start w:w="0" w:type="dxa"/>
              <w:bottom w:w="70" w:type="dxa"/>
              <w:end w:w="110" w:type="dxa"/>
            </w:tcMar>
          </w:tcPr>
          <w:p>
            <w:pPr>
              <w:pStyle w:val="TabHead"/>
            </w:pPr>
            <w:r>
              <w:rPr>
                <w:sz w:val="19"/>
              </w:rPr>
              <w:t>Common mistakes</w:t>
            </w:r>
          </w:p>
        </w:tc>
        <w:tc>
          <w:tcPr>
            <w:tcW w:type="dxa" w:w="7965"/>
            <w:vAlign w:val="top"/>
            <w:tcMar>
              <w:top w:w="70" w:type="dxa"/>
              <w:start w:w="0" w:type="dxa"/>
              <w:bottom w:w="70" w:type="dxa"/>
              <w:end w:w="110" w:type="dxa"/>
            </w:tcMar>
          </w:tcPr>
          <w:p>
            <w:pPr>
              <w:pStyle w:val="TabCell"/>
            </w:pPr>
            <w:r>
              <w:rPr>
                <w:sz w:val="19"/>
              </w:rPr>
              <w:t>Errors that lose marks, marked with ✗.</w:t>
            </w:r>
          </w:p>
        </w:tc>
      </w:tr>
      <w:tr>
        <w:tc>
          <w:tcPr>
            <w:tcW w:type="dxa" w:w="2835"/>
            <w:vAlign w:val="top"/>
            <w:tcMar>
              <w:top w:w="70" w:type="dxa"/>
              <w:start w:w="0" w:type="dxa"/>
              <w:bottom w:w="70" w:type="dxa"/>
              <w:end w:w="110" w:type="dxa"/>
            </w:tcMar>
          </w:tcPr>
          <w:p>
            <w:pPr>
              <w:pStyle w:val="TabHead"/>
            </w:pPr>
            <w:r>
              <w:rPr>
                <w:sz w:val="19"/>
              </w:rPr>
              <w:t>Likely examination questions</w:t>
            </w:r>
          </w:p>
        </w:tc>
        <w:tc>
          <w:tcPr>
            <w:tcW w:type="dxa" w:w="7965"/>
            <w:vAlign w:val="top"/>
            <w:tcMar>
              <w:top w:w="70" w:type="dxa"/>
              <w:start w:w="0" w:type="dxa"/>
              <w:bottom w:w="70" w:type="dxa"/>
              <w:end w:w="110" w:type="dxa"/>
            </w:tcMar>
          </w:tcPr>
          <w:p>
            <w:pPr>
              <w:pStyle w:val="TabCell"/>
            </w:pPr>
            <w:r>
              <w:rPr>
                <w:sz w:val="19"/>
              </w:rPr>
              <w:t>Questions with model answers written at the length an examiner expects.</w:t>
            </w:r>
          </w:p>
        </w:tc>
      </w:tr>
      <w:tr>
        <w:tc>
          <w:tcPr>
            <w:tcW w:type="dxa" w:w="2835"/>
            <w:vAlign w:val="top"/>
            <w:tcMar>
              <w:top w:w="70" w:type="dxa"/>
              <w:start w:w="0" w:type="dxa"/>
              <w:bottom w:w="70" w:type="dxa"/>
              <w:end w:w="110" w:type="dxa"/>
            </w:tcMar>
          </w:tcPr>
          <w:p>
            <w:pPr>
              <w:pStyle w:val="TabHead"/>
            </w:pPr>
            <w:r>
              <w:rPr>
                <w:sz w:val="19"/>
              </w:rPr>
              <w:t>A note on quantities</w:t>
            </w:r>
          </w:p>
        </w:tc>
        <w:tc>
          <w:tcPr>
            <w:tcW w:type="dxa" w:w="7965"/>
            <w:vAlign w:val="top"/>
            <w:tcMar>
              <w:top w:w="70" w:type="dxa"/>
              <w:start w:w="0" w:type="dxa"/>
              <w:bottom w:w="70" w:type="dxa"/>
              <w:end w:w="110" w:type="dxa"/>
            </w:tcMar>
          </w:tcPr>
          <w:p>
            <w:pPr>
              <w:pStyle w:val="TabCell"/>
            </w:pPr>
            <w:r>
              <w:rPr>
                <w:sz w:val="19"/>
              </w:rPr>
              <w:t xml:space="preserve">Instrument </w:t>
            </w:r>
            <w:r>
              <w:rPr>
                <w:b/>
                <w:sz w:val="19"/>
              </w:rPr>
              <w:t>names, functions and groupings</w:t>
            </w:r>
            <w:r>
              <w:rPr>
                <w:sz w:val="19"/>
              </w:rPr>
              <w:t xml:space="preserve"> are standard. The </w:t>
            </w:r>
            <w:r>
              <w:rPr>
                <w:b/>
                <w:sz w:val="19"/>
              </w:rPr>
              <w:t>numbers</w:t>
            </w:r>
            <w:r>
              <w:rPr>
                <w:sz w:val="19"/>
              </w:rPr>
              <w:t xml:space="preserve"> ("6 Allis clamps") vary between institutions — please cross-check them against your prescribed textbook.</w:t>
            </w:r>
          </w:p>
        </w:tc>
      </w:tr>
      <w:tr>
        <w:tc>
          <w:tcPr>
            <w:tcW w:type="dxa" w:w="2835"/>
            <w:vAlign w:val="top"/>
            <w:tcMar>
              <w:top w:w="70" w:type="dxa"/>
              <w:start w:w="0" w:type="dxa"/>
              <w:bottom w:w="70" w:type="dxa"/>
              <w:end w:w="110" w:type="dxa"/>
            </w:tcMar>
          </w:tcPr>
          <w:p>
            <w:pPr>
              <w:pStyle w:val="TabHead"/>
            </w:pPr>
            <w:r>
              <w:rPr>
                <w:sz w:val="19"/>
              </w:rPr>
              <w:t>Printing</w:t>
            </w:r>
          </w:p>
        </w:tc>
        <w:tc>
          <w:tcPr>
            <w:tcW w:type="dxa" w:w="7965"/>
            <w:vAlign w:val="top"/>
            <w:tcMar>
              <w:top w:w="70" w:type="dxa"/>
              <w:start w:w="0" w:type="dxa"/>
              <w:bottom w:w="70" w:type="dxa"/>
              <w:end w:w="110" w:type="dxa"/>
            </w:tcMar>
          </w:tcPr>
          <w:p>
            <w:pPr>
              <w:pStyle w:val="TabCell"/>
            </w:pPr>
            <w:r>
              <w:rPr>
                <w:sz w:val="19"/>
              </w:rPr>
              <w:t>Legal paper (8.5 × 14 in), 1.27 cm margins, monochrome throughout. No information depends on colour, so a black-and-white printer loses nothing.</w:t>
            </w:r>
          </w:p>
        </w:tc>
      </w:tr>
    </w:tbl>
    <w:p>
      <w:pPr>
        <w:spacing w:before="0" w:after="120" w:line="240" w:lineRule="auto"/>
      </w:pP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VII</w:t>
            </w:r>
          </w:p>
          <w:p>
            <w:bookmarkStart w:id="1062" w:name="part_VII"/>
            <w:pPr>
              <w:pStyle w:val="Heading1"/>
              <w:jc w:val="left"/>
              <w:spacing w:before="0" w:after="0"/>
            </w:pPr>
            <w:r>
              <w:rPr>
                <w:rFonts w:ascii="Calibri" w:hAnsi="Calibri"/>
                <w:b/>
                <w:color w:val="FFFFFF"/>
                <w:sz w:val="38"/>
              </w:rPr>
              <w:t>Neurologic Procedures Trays</w:t>
            </w:r>
            <w:bookmarkEnd w:id="1062"/>
          </w:p>
          <w:p>
            <w:pPr>
              <w:spacing w:before="80" w:after="0"/>
            </w:pPr>
            <w:r>
              <w:rPr>
                <w:rFonts w:ascii="Calibri" w:hAnsi="Calibri"/>
                <w:i/>
                <w:color w:val="D6D6D6"/>
                <w:sz w:val="19"/>
              </w:rPr>
              <w:t>Craniotomy · Laminectomy</w:t>
            </w:r>
          </w:p>
        </w:tc>
      </w:tr>
    </w:tbl>
    <w:p>
      <w:pPr>
        <w:spacing w:before="0" w:after="160" w:line="240" w:lineRule="auto"/>
      </w:pPr>
    </w:p>
    <w:p>
      <w:pPr>
        <w:pStyle w:val="TrayLead"/>
        <w:spacing w:before="40" w:after="160"/>
      </w:pPr>
      <w:r>
        <w:t xml:space="preserve">Neurosurgical trays exist to solve one problem: </w:t>
      </w:r>
      <w:r>
        <w:rPr>
          <w:b/>
        </w:rPr>
        <w:t>the nervous system does not regenerate and is enclosed in bone</w:t>
      </w:r>
      <w:r>
        <w:t xml:space="preserve">. Every tray must therefore (a) remove bone safely without touching neural tissue, (b) achieve absolute haemostasis, since a small clot in a closed compartment is lethal, and (c) handle dura and nerve with instruments finer than those used anywhere else. </w:t>
      </w:r>
      <w:r>
        <w:rPr>
          <w:b/>
        </w:rPr>
        <w:t>Bipolar diathermy, fine suction with a thumb vent, cottonoid patties and magnification</w:t>
      </w:r>
      <w:r>
        <w:t xml:space="preserve"> are constant features.</w:t>
      </w:r>
    </w:p>
    <w:p>
      <w:bookmarkStart w:id="1063" w:name="tray_7_1"/>
      <w:pPr>
        <w:pStyle w:val="Heading2"/>
        <w:spacing w:before="320" w:after="40"/>
        <w:keepLines/>
        <w:keepNext/>
        <w:pBdr>
          <w:bottom w:val="single" w:sz="12" w:space="3" w:color="000000"/>
        </w:pBdr>
      </w:pPr>
      <w:r>
        <w:rPr>
          <w:rFonts w:ascii="Calibri" w:hAnsi="Calibri"/>
          <w:b/>
          <w:color w:val="666666"/>
          <w:sz w:val="29"/>
        </w:rPr>
        <w:t xml:space="preserve">7.1   </w:t>
      </w:r>
      <w:r>
        <w:rPr>
          <w:rFonts w:ascii="Calibri" w:hAnsi="Calibri"/>
          <w:b/>
          <w:sz w:val="29"/>
        </w:rPr>
        <w:t>Craniotomy Tray</w:t>
      </w:r>
      <w:bookmarkEnd w:id="1063"/>
    </w:p>
    <w:p>
      <w:pPr>
        <w:spacing w:before="60" w:after="100"/>
      </w:pPr>
      <w:r>
        <w:rPr>
          <w:rFonts w:ascii="Calibri" w:hAnsi="Calibri"/>
          <w:b/>
          <w:caps/>
          <w:color w:val="555555"/>
          <w:sz w:val="17"/>
        </w:rPr>
        <w:t xml:space="preserve">Also called:  </w:t>
      </w:r>
      <w:r>
        <w:rPr>
          <w:i/>
          <w:color w:val="333333"/>
          <w:sz w:val="18"/>
        </w:rPr>
        <w:t>Cranial tray · supratentorial craniotomy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Craniotomy</w:t>
            </w:r>
            <w:r>
              <w:t xml:space="preserve"> raises a bone flap from the skull to expose the brain. The tray divides into four clear systems: </w:t>
            </w:r>
            <w:r>
              <w:rPr>
                <w:b/>
              </w:rPr>
              <w:t>scalp and haemostasis</w:t>
            </w:r>
            <w:r>
              <w:t xml:space="preserve">, </w:t>
            </w:r>
            <w:r>
              <w:rPr>
                <w:b/>
              </w:rPr>
              <w:t>bone removal and flap elevation</w:t>
            </w:r>
            <w:r>
              <w:t xml:space="preserve">, </w:t>
            </w:r>
            <w:r>
              <w:rPr>
                <w:b/>
              </w:rPr>
              <w:t>dura and intradural work</w:t>
            </w:r>
            <w:r>
              <w:t xml:space="preserve">, and </w:t>
            </w:r>
            <w:r>
              <w:rPr>
                <w:b/>
              </w:rPr>
              <w:t>closure with flap replacement</w:t>
            </w:r>
            <w:r>
              <w:t xml:space="preserve">. Its most distinctive items are the </w:t>
            </w:r>
            <w:r>
              <w:rPr>
                <w:b/>
              </w:rPr>
              <w:t>Raney scalp clips</w:t>
            </w:r>
            <w:r>
              <w:t xml:space="preserve">, the </w:t>
            </w:r>
            <w:r>
              <w:rPr>
                <w:b/>
              </w:rPr>
              <w:t>perforator and craniotome</w:t>
            </w:r>
            <w:r>
              <w:t xml:space="preserve">, and the </w:t>
            </w:r>
            <w:r>
              <w:rPr>
                <w:b/>
              </w:rPr>
              <w:t>bipolar diathermy with cottonoid patties</w:t>
            </w:r>
            <w:r>
              <w:t>.</w:t>
            </w:r>
          </w:p>
          <w:p>
            <w:pPr>
              <w:pStyle w:val="TinyLabel"/>
            </w:pPr>
            <w:r>
              <w:t>Used for / includes</w:t>
            </w:r>
          </w:p>
          <w:p>
            <w:pPr>
              <w:pStyle w:val="Bullet"/>
              <w:ind w:start="238" w:hanging="238"/>
            </w:pPr>
            <w:r>
              <w:rPr>
                <w:rFonts w:ascii="Calibri" w:hAnsi="Calibri"/>
                <w:b/>
              </w:rPr>
              <w:t xml:space="preserve">▪  </w:t>
            </w:r>
            <w:r>
              <w:t>Excision of an intracranial tumour — meningioma, glioma, metastasis</w:t>
            </w:r>
          </w:p>
          <w:p>
            <w:pPr>
              <w:pStyle w:val="Bullet"/>
              <w:ind w:start="238" w:hanging="238"/>
            </w:pPr>
            <w:r>
              <w:rPr>
                <w:rFonts w:ascii="Calibri" w:hAnsi="Calibri"/>
                <w:b/>
              </w:rPr>
              <w:t xml:space="preserve">▪  </w:t>
            </w:r>
            <w:r>
              <w:t>Evacuation of an extradural, subdural or intracerebral haematoma</w:t>
            </w:r>
          </w:p>
          <w:p>
            <w:pPr>
              <w:pStyle w:val="Bullet"/>
              <w:ind w:start="238" w:hanging="238"/>
            </w:pPr>
            <w:r>
              <w:rPr>
                <w:rFonts w:ascii="Calibri" w:hAnsi="Calibri"/>
                <w:b/>
              </w:rPr>
              <w:t xml:space="preserve">▪  </w:t>
            </w:r>
            <w:r>
              <w:t>Clipping of an intracranial aneurysm; excision of an AVM</w:t>
            </w:r>
          </w:p>
          <w:p>
            <w:pPr>
              <w:pStyle w:val="Bullet"/>
              <w:ind w:start="238" w:hanging="238"/>
            </w:pPr>
            <w:r>
              <w:rPr>
                <w:rFonts w:ascii="Calibri" w:hAnsi="Calibri"/>
                <w:b/>
              </w:rPr>
              <w:t xml:space="preserve">▪  </w:t>
            </w:r>
            <w:r>
              <w:t>Decompressive craniectomy for refractory raised intracranial pressure</w:t>
            </w:r>
          </w:p>
          <w:p>
            <w:pPr>
              <w:pStyle w:val="Bullet"/>
              <w:ind w:start="238" w:hanging="238"/>
            </w:pPr>
            <w:r>
              <w:rPr>
                <w:rFonts w:ascii="Calibri" w:hAnsi="Calibri"/>
                <w:b/>
              </w:rPr>
              <w:t xml:space="preserve">▪  </w:t>
            </w:r>
            <w:r>
              <w:t>Repair of a depressed skull fracture or dural tear</w:t>
            </w:r>
          </w:p>
          <w:p>
            <w:pPr>
              <w:pStyle w:val="Bullet"/>
              <w:ind w:start="238" w:hanging="238"/>
            </w:pPr>
            <w:r>
              <w:rPr>
                <w:rFonts w:ascii="Calibri" w:hAnsi="Calibri"/>
                <w:b/>
              </w:rPr>
              <w:t xml:space="preserve">▪  </w:t>
            </w:r>
            <w:r>
              <w:t>Epilepsy surgery and functional neurosurgery</w:t>
            </w:r>
          </w:p>
          <w:p>
            <w:pPr>
              <w:pStyle w:val="Bullet"/>
              <w:ind w:start="238" w:hanging="238"/>
            </w:pPr>
            <w:r>
              <w:rPr>
                <w:rFonts w:ascii="Calibri" w:hAnsi="Calibri"/>
                <w:b/>
              </w:rPr>
              <w:t xml:space="preserve">▪  </w:t>
            </w:r>
            <w:r>
              <w:t>Drainage of a cerebral abscess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57984"/>
                  <wp:docPr id="1" name="Picture 1"/>
                  <wp:cNvGraphicFramePr>
                    <a:graphicFrameLocks noChangeAspect="1"/>
                  </wp:cNvGraphicFramePr>
                  <a:graphic>
                    <a:graphicData uri="http://schemas.openxmlformats.org/drawingml/2006/picture">
                      <pic:pic>
                        <pic:nvPicPr>
                          <pic:cNvPr id="0" name="plate_7_1.png"/>
                          <pic:cNvPicPr/>
                        </pic:nvPicPr>
                        <pic:blipFill>
                          <a:blip r:embed="rId11"/>
                          <a:stretch>
                            <a:fillRect/>
                          </a:stretch>
                        </pic:blipFill>
                        <pic:spPr>
                          <a:xfrm>
                            <a:off x="0" y="0"/>
                            <a:ext cx="2286000" cy="2157984"/>
                          </a:xfrm>
                          <a:prstGeom prst="rect"/>
                        </pic:spPr>
                      </pic:pic>
                    </a:graphicData>
                  </a:graphic>
                </wp:inline>
              </w:drawing>
            </w:r>
          </w:p>
          <w:p>
            <w:pPr>
              <w:pStyle w:val="FigCaption"/>
              <w:jc w:val="center"/>
              <w:spacing w:before="40" w:after="120"/>
            </w:pPr>
            <w:r>
              <w:t>Fig 7.1 — Scalp, bone, dura, brain — four systems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Three things that make it neurosurgery</w:t>
            </w:r>
          </w:p>
          <w:p>
            <w:pPr>
              <w:pStyle w:val="BoxBody"/>
              <w:spacing w:before="20" w:after="40"/>
              <w:ind w:start="204" w:hanging="204"/>
            </w:pPr>
            <w:r>
              <w:rPr>
                <w:rFonts w:ascii="Calibri" w:hAnsi="Calibri"/>
                <w:b/>
              </w:rPr>
              <w:t xml:space="preserve">▪  </w:t>
            </w:r>
            <w:r>
              <w:rPr>
                <w:b/>
              </w:rPr>
              <w:t>Bipolar</w:t>
            </w:r>
            <w:r>
              <w:t xml:space="preserve"> diathermy — no current spread to brain.</w:t>
            </w:r>
          </w:p>
          <w:p>
            <w:pPr>
              <w:pStyle w:val="BoxBody"/>
              <w:spacing w:before="20" w:after="40"/>
              <w:ind w:start="204" w:hanging="204"/>
            </w:pPr>
            <w:r>
              <w:rPr>
                <w:rFonts w:ascii="Calibri" w:hAnsi="Calibri"/>
                <w:b/>
              </w:rPr>
              <w:t xml:space="preserve">▪  </w:t>
            </w:r>
            <w:r>
              <w:rPr>
                <w:b/>
              </w:rPr>
              <w:t>Cottonoid patties on strings</w:t>
            </w:r>
            <w:r>
              <w:t xml:space="preserve"> — gentle, countable haemostasis.</w:t>
            </w:r>
          </w:p>
          <w:p>
            <w:pPr>
              <w:pStyle w:val="BoxBody"/>
              <w:spacing w:before="20" w:after="40"/>
              <w:ind w:start="204" w:hanging="204"/>
            </w:pPr>
            <w:r>
              <w:rPr>
                <w:rFonts w:ascii="Calibri" w:hAnsi="Calibri"/>
                <w:b/>
              </w:rPr>
              <w:t xml:space="preserve">▪  </w:t>
            </w:r>
            <w:r>
              <w:rPr>
                <w:b/>
              </w:rPr>
              <w:t>Frazier suction with a thumb vent</w:t>
            </w:r>
            <w:r>
              <w:t xml:space="preserve"> — the operator, not the wall vacuum, controls the force.</w:t>
            </w:r>
          </w:p>
          <w:p>
            <w:pPr>
              <w:pStyle w:val="BoxBody"/>
              <w:spacing w:before="20" w:after="40"/>
              <w:ind w:start="204" w:hanging="204"/>
            </w:pPr>
            <w:r>
              <w:rPr>
                <w:rFonts w:ascii="Calibri" w:hAnsi="Calibri"/>
                <w:b/>
              </w:rPr>
              <w:t xml:space="preserve">▪  </w:t>
            </w:r>
            <w:r>
              <w:t>Name these three and you have shown you understand the speciality.</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scalp incision and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procedures tray items as required</w:t>
            </w:r>
          </w:p>
        </w:tc>
        <w:tc>
          <w:tcPr>
            <w:tcW w:type="dxa" w:w="5868"/>
            <w:shd w:val="clear" w:color="auto" w:fill="F6F6F6"/>
            <w:vAlign w:val="top"/>
            <w:tcMar>
              <w:top w:w="36" w:type="dxa"/>
              <w:start w:w="80" w:type="dxa"/>
              <w:bottom w:w="36" w:type="dxa"/>
              <w:end w:w="80" w:type="dxa"/>
            </w:tcMar>
          </w:tcPr>
          <w:p>
            <w:pPr>
              <w:pStyle w:val="TabCellSm"/>
              <w:jc w:val="left"/>
            </w:pPr>
            <w:r>
              <w:t>provides general soft-tissue instruments for scalp and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SCALP INCISION AND 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No.10 / No.15 blades</w:t>
            </w:r>
          </w:p>
        </w:tc>
        <w:tc>
          <w:tcPr>
            <w:tcW w:type="dxa" w:w="5868"/>
            <w:vAlign w:val="top"/>
            <w:tcMar>
              <w:top w:w="36" w:type="dxa"/>
              <w:start w:w="80" w:type="dxa"/>
              <w:bottom w:w="36" w:type="dxa"/>
              <w:end w:w="80" w:type="dxa"/>
            </w:tcMar>
          </w:tcPr>
          <w:p>
            <w:pPr>
              <w:pStyle w:val="TabCellSm"/>
              <w:jc w:val="left"/>
            </w:pPr>
            <w:r>
              <w:t>no.10 for the scalp incision, No.15 for fine work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Raney scalp clips with applier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plastic clips applied along the cut scalp edge; the galea bleeds profusely and clips give instant haemostasis</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Dandy / Kocher scalp clamps</w:t>
            </w:r>
          </w:p>
        </w:tc>
        <w:tc>
          <w:tcPr>
            <w:tcW w:type="dxa" w:w="5868"/>
            <w:vAlign w:val="top"/>
            <w:tcMar>
              <w:top w:w="36" w:type="dxa"/>
              <w:start w:w="80" w:type="dxa"/>
              <w:bottom w:w="36" w:type="dxa"/>
              <w:end w:w="80" w:type="dxa"/>
            </w:tcMar>
          </w:tcPr>
          <w:p>
            <w:pPr>
              <w:pStyle w:val="TabCellSm"/>
              <w:jc w:val="left"/>
            </w:pPr>
            <w:r>
              <w:t>alternative to Raney clips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Fish-hooks with elastic bands (or Gelpi retractors)</w:t>
            </w:r>
          </w:p>
        </w:tc>
        <w:tc>
          <w:tcPr>
            <w:tcW w:type="dxa" w:w="5868"/>
            <w:shd w:val="clear" w:color="auto" w:fill="F6F6F6"/>
            <w:vAlign w:val="top"/>
            <w:tcMar>
              <w:top w:w="36" w:type="dxa"/>
              <w:start w:w="80" w:type="dxa"/>
              <w:bottom w:w="36" w:type="dxa"/>
              <w:end w:w="80" w:type="dxa"/>
            </w:tcMar>
          </w:tcPr>
          <w:p>
            <w:pPr>
              <w:pStyle w:val="TabCellSm"/>
              <w:jc w:val="left"/>
            </w:pPr>
            <w:r>
              <w:t>retract the scalp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Periosteal elevator (Adson / Langenbeck)</w:t>
            </w:r>
          </w:p>
        </w:tc>
        <w:tc>
          <w:tcPr>
            <w:tcW w:type="dxa" w:w="5868"/>
            <w:vAlign w:val="top"/>
            <w:tcMar>
              <w:top w:w="36" w:type="dxa"/>
              <w:start w:w="80" w:type="dxa"/>
              <w:bottom w:w="36" w:type="dxa"/>
              <w:end w:w="80" w:type="dxa"/>
            </w:tcMar>
          </w:tcPr>
          <w:p>
            <w:pPr>
              <w:pStyle w:val="TabCellSm"/>
              <w:jc w:val="left"/>
            </w:pPr>
            <w:r>
              <w:t>raises the pericranium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self-retaining (Weitlaner / mastoid) retractor</w:t>
            </w:r>
          </w:p>
        </w:tc>
        <w:tc>
          <w:tcPr>
            <w:tcW w:type="dxa" w:w="5868"/>
            <w:shd w:val="clear" w:color="auto" w:fill="F6F6F6"/>
            <w:vAlign w:val="top"/>
            <w:tcMar>
              <w:top w:w="36" w:type="dxa"/>
              <w:start w:w="80" w:type="dxa"/>
              <w:bottom w:w="36" w:type="dxa"/>
              <w:end w:w="80" w:type="dxa"/>
            </w:tcMar>
          </w:tcPr>
          <w:p>
            <w:pPr>
              <w:pStyle w:val="TabCellSm"/>
              <w:jc w:val="left"/>
            </w:pPr>
            <w:r>
              <w:t>holds the scalp and muscle apart, freeing the assistant</w:t>
            </w: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Fine mosquito and Crile forceps</w:t>
            </w:r>
          </w:p>
        </w:tc>
        <w:tc>
          <w:tcPr>
            <w:tcW w:type="dxa" w:w="5868"/>
            <w:vAlign w:val="top"/>
            <w:tcMar>
              <w:top w:w="36" w:type="dxa"/>
              <w:start w:w="80" w:type="dxa"/>
              <w:bottom w:w="36" w:type="dxa"/>
              <w:end w:w="80" w:type="dxa"/>
            </w:tcMar>
          </w:tcPr>
          <w:p>
            <w:pPr>
              <w:pStyle w:val="TabCellSm"/>
              <w:jc w:val="left"/>
            </w:pPr>
            <w:r>
              <w:t>control galeal and muscle bleeding, which is brisk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anaesthetic with adrenaline</w:t>
            </w:r>
          </w:p>
        </w:tc>
        <w:tc>
          <w:tcPr>
            <w:tcW w:type="dxa" w:w="5868"/>
            <w:shd w:val="clear" w:color="auto" w:fill="F6F6F6"/>
            <w:vAlign w:val="top"/>
            <w:tcMar>
              <w:top w:w="36" w:type="dxa"/>
              <w:start w:w="80" w:type="dxa"/>
              <w:bottom w:w="36" w:type="dxa"/>
              <w:end w:w="80" w:type="dxa"/>
            </w:tcMar>
          </w:tcPr>
          <w:p>
            <w:pPr>
              <w:pStyle w:val="TabCellSm"/>
              <w:jc w:val="left"/>
            </w:pPr>
            <w:r>
              <w:t>infiltrated for scalp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AND FLAP ELEVATION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Hudson brace with perforator and burrs</w:t>
            </w:r>
          </w:p>
        </w:tc>
        <w:tc>
          <w:tcPr>
            <w:tcW w:type="dxa" w:w="5868"/>
            <w:vAlign w:val="top"/>
            <w:tcMar>
              <w:top w:w="36" w:type="dxa"/>
              <w:start w:w="80" w:type="dxa"/>
              <w:bottom w:w="36" w:type="dxa"/>
              <w:end w:w="80" w:type="dxa"/>
            </w:tcMar>
          </w:tcPr>
          <w:p>
            <w:pPr>
              <w:pStyle w:val="TabCellSm"/>
              <w:jc w:val="left"/>
            </w:pPr>
            <w:r>
              <w:rPr>
                <w:b/>
              </w:rPr>
              <w:t>signature item</w:t>
            </w:r>
            <w:r>
              <w:t xml:space="preserve"> — hand drill making the burr holes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Power craniotome with dura guard (footplate) attachment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between burr holes while the footplate protects the dura beneath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Power drill with burrs, cutting and diamond</w:t>
            </w:r>
          </w:p>
        </w:tc>
        <w:tc>
          <w:tcPr>
            <w:tcW w:type="dxa" w:w="5868"/>
            <w:vAlign w:val="top"/>
            <w:tcMar>
              <w:top w:w="36" w:type="dxa"/>
              <w:start w:w="80" w:type="dxa"/>
              <w:bottom w:w="36" w:type="dxa"/>
              <w:end w:w="80" w:type="dxa"/>
            </w:tcMar>
          </w:tcPr>
          <w:p>
            <w:pPr>
              <w:pStyle w:val="TabCellSm"/>
              <w:jc w:val="left"/>
            </w:pPr>
            <w:r>
              <w:t>cutting burr removes bone quickly; diamond burr is safe near dura and sinus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Gigli saw with guide and handles</w:t>
            </w:r>
          </w:p>
        </w:tc>
        <w:tc>
          <w:tcPr>
            <w:tcW w:type="dxa" w:w="5868"/>
            <w:shd w:val="clear" w:color="auto" w:fill="F6F6F6"/>
            <w:vAlign w:val="top"/>
            <w:tcMar>
              <w:top w:w="36" w:type="dxa"/>
              <w:start w:w="80" w:type="dxa"/>
              <w:bottom w:w="36" w:type="dxa"/>
              <w:end w:w="80" w:type="dxa"/>
            </w:tcMar>
          </w:tcPr>
          <w:p>
            <w:pPr>
              <w:pStyle w:val="TabCellSm"/>
              <w:jc w:val="left"/>
            </w:pPr>
            <w:r>
              <w:t>manual alternative for connecting burr holes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Kerrison rongeurs, up-biting, assorted</w:t>
            </w:r>
          </w:p>
        </w:tc>
        <w:tc>
          <w:tcPr>
            <w:tcW w:type="dxa" w:w="5868"/>
            <w:vAlign w:val="top"/>
            <w:tcMar>
              <w:top w:w="36" w:type="dxa"/>
              <w:start w:w="80" w:type="dxa"/>
              <w:bottom w:w="36" w:type="dxa"/>
              <w:end w:w="80" w:type="dxa"/>
            </w:tcMar>
          </w:tcPr>
          <w:p>
            <w:pPr>
              <w:pStyle w:val="TabCellSm"/>
              <w:jc w:val="left"/>
            </w:pPr>
            <w:r>
              <w:rPr>
                <w:b/>
              </w:rPr>
              <w:t>signature item</w:t>
            </w:r>
            <w:r>
              <w:t xml:space="preserve"> — footplate slides under the bone edge and bites upward, away from the dura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rongeurs (Leksell, Adson)</w:t>
            </w:r>
          </w:p>
        </w:tc>
        <w:tc>
          <w:tcPr>
            <w:tcW w:type="dxa" w:w="5868"/>
            <w:shd w:val="clear" w:color="auto" w:fill="F6F6F6"/>
            <w:vAlign w:val="top"/>
            <w:tcMar>
              <w:top w:w="36" w:type="dxa"/>
              <w:start w:w="80" w:type="dxa"/>
              <w:bottom w:w="36" w:type="dxa"/>
              <w:end w:w="80" w:type="dxa"/>
            </w:tcMar>
          </w:tcPr>
          <w:p>
            <w:pPr>
              <w:pStyle w:val="TabCellSm"/>
              <w:jc w:val="left"/>
            </w:pPr>
            <w:r>
              <w:t>nibbles the bone edge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Penfield / Adson dural elevator (dissector)</w:t>
            </w:r>
          </w:p>
        </w:tc>
        <w:tc>
          <w:tcPr>
            <w:tcW w:type="dxa" w:w="5868"/>
            <w:vAlign w:val="top"/>
            <w:tcMar>
              <w:top w:w="36" w:type="dxa"/>
              <w:start w:w="80" w:type="dxa"/>
              <w:bottom w:w="36" w:type="dxa"/>
              <w:end w:w="80" w:type="dxa"/>
            </w:tcMar>
          </w:tcPr>
          <w:p>
            <w:pPr>
              <w:pStyle w:val="TabCellSm"/>
              <w:jc w:val="left"/>
            </w:pPr>
            <w:r>
              <w:rPr>
                <w:b/>
              </w:rPr>
              <w:t>signature item</w:t>
            </w:r>
            <w:r>
              <w:t xml:space="preserve"> — separates dura from the inner table before the flap is lifted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flap elevator / osteotome</w:t>
            </w:r>
          </w:p>
        </w:tc>
        <w:tc>
          <w:tcPr>
            <w:tcW w:type="dxa" w:w="5868"/>
            <w:shd w:val="clear" w:color="auto" w:fill="F6F6F6"/>
            <w:vAlign w:val="top"/>
            <w:tcMar>
              <w:top w:w="36" w:type="dxa"/>
              <w:start w:w="80" w:type="dxa"/>
              <w:bottom w:w="36" w:type="dxa"/>
              <w:end w:w="80" w:type="dxa"/>
            </w:tcMar>
          </w:tcPr>
          <w:p>
            <w:pPr>
              <w:pStyle w:val="TabCellSm"/>
              <w:jc w:val="left"/>
            </w:pPr>
            <w:r>
              <w:t>lifts the flap once the craniotome cut is complete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r>
              <w:t>diploic (bone-edge) bleeding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dust collector / graft container</w:t>
            </w:r>
          </w:p>
        </w:tc>
        <w:tc>
          <w:tcPr>
            <w:tcW w:type="dxa" w:w="5868"/>
            <w:shd w:val="clear" w:color="auto" w:fill="F6F6F6"/>
            <w:vAlign w:val="top"/>
            <w:tcMar>
              <w:top w:w="36" w:type="dxa"/>
              <w:start w:w="80" w:type="dxa"/>
              <w:bottom w:w="36" w:type="dxa"/>
              <w:end w:w="80" w:type="dxa"/>
            </w:tcMar>
          </w:tcPr>
          <w:p>
            <w:pPr>
              <w:pStyle w:val="TabCellSm"/>
              <w:jc w:val="left"/>
            </w:pPr>
            <w:r>
              <w:t>bone dust used to fill burr holes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Rasp and bone curette</w:t>
            </w:r>
          </w:p>
        </w:tc>
        <w:tc>
          <w:tcPr>
            <w:tcW w:type="dxa" w:w="5868"/>
            <w:vAlign w:val="top"/>
            <w:tcMar>
              <w:top w:w="36" w:type="dxa"/>
              <w:start w:w="80" w:type="dxa"/>
              <w:bottom w:w="36" w:type="dxa"/>
              <w:end w:w="80" w:type="dxa"/>
            </w:tcMar>
          </w:tcPr>
          <w:p>
            <w:pPr>
              <w:pStyle w:val="TabCellSm"/>
              <w:jc w:val="left"/>
            </w:pPr>
            <w:r>
              <w:t>smooths the bone edge and clears the burr-hole rim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DURA AND INTRADURAL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Dural hooks</w:t>
            </w:r>
          </w:p>
        </w:tc>
        <w:tc>
          <w:tcPr>
            <w:tcW w:type="dxa" w:w="5868"/>
            <w:vAlign w:val="top"/>
            <w:tcMar>
              <w:top w:w="36" w:type="dxa"/>
              <w:start w:w="80" w:type="dxa"/>
              <w:bottom w:w="36" w:type="dxa"/>
              <w:end w:w="80" w:type="dxa"/>
            </w:tcMar>
          </w:tcPr>
          <w:p>
            <w:pPr>
              <w:pStyle w:val="TabCellSm"/>
              <w:jc w:val="left"/>
            </w:pPr>
            <w:r>
              <w:t>lift the dura away from the brain before it is incised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Dural (Beaver) knife with No.11 or dural blade</w:t>
            </w:r>
          </w:p>
        </w:tc>
        <w:tc>
          <w:tcPr>
            <w:tcW w:type="dxa" w:w="5868"/>
            <w:shd w:val="clear" w:color="auto" w:fill="F6F6F6"/>
            <w:vAlign w:val="top"/>
            <w:tcMar>
              <w:top w:w="36" w:type="dxa"/>
              <w:start w:w="80" w:type="dxa"/>
              <w:bottom w:w="36" w:type="dxa"/>
              <w:end w:w="80" w:type="dxa"/>
            </w:tcMar>
          </w:tcPr>
          <w:p>
            <w:pPr>
              <w:pStyle w:val="TabCellSm"/>
              <w:jc w:val="left"/>
            </w:pPr>
            <w:r>
              <w:t>the dural incision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Dural scissors (Metzenbaum, fine)</w:t>
            </w:r>
          </w:p>
        </w:tc>
        <w:tc>
          <w:tcPr>
            <w:tcW w:type="dxa" w:w="5868"/>
            <w:vAlign w:val="top"/>
            <w:tcMar>
              <w:top w:w="36" w:type="dxa"/>
              <w:start w:w="80" w:type="dxa"/>
              <w:bottom w:w="36" w:type="dxa"/>
              <w:end w:w="80" w:type="dxa"/>
            </w:tcMar>
          </w:tcPr>
          <w:p>
            <w:pPr>
              <w:pStyle w:val="TabCellSm"/>
              <w:jc w:val="left"/>
            </w:pPr>
            <w:r>
              <w:t>opens the dura in a controlled line once it is lifted on a hook</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Dural clips / dura forceps</w:t>
            </w:r>
          </w:p>
        </w:tc>
        <w:tc>
          <w:tcPr>
            <w:tcW w:type="dxa" w:w="5868"/>
            <w:shd w:val="clear" w:color="auto" w:fill="F6F6F6"/>
            <w:vAlign w:val="top"/>
            <w:tcMar>
              <w:top w:w="36" w:type="dxa"/>
              <w:start w:w="80" w:type="dxa"/>
              <w:bottom w:w="36" w:type="dxa"/>
              <w:end w:w="80" w:type="dxa"/>
            </w:tcMar>
          </w:tcPr>
          <w:p>
            <w:pPr>
              <w:pStyle w:val="TabCellSm"/>
              <w:jc w:val="left"/>
            </w:pPr>
            <w:r>
              <w:t>haemostasis of the dural edge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stay sutures 4-0</w:t>
            </w:r>
          </w:p>
        </w:tc>
        <w:tc>
          <w:tcPr>
            <w:tcW w:type="dxa" w:w="5868"/>
            <w:vAlign w:val="top"/>
            <w:tcMar>
              <w:top w:w="36" w:type="dxa"/>
              <w:start w:w="80" w:type="dxa"/>
              <w:bottom w:w="36" w:type="dxa"/>
              <w:end w:w="80" w:type="dxa"/>
            </w:tcMar>
          </w:tcPr>
          <w:p>
            <w:pPr>
              <w:pStyle w:val="TabCellSm"/>
              <w:jc w:val="left"/>
            </w:pPr>
            <w:r>
              <w:t>tack the dura back and out of the field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Brain (Cushing) retractors and malleable brain spatulas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broad, thin, atraumatic blades gently displacing brain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Self-retaining brain retractor system (Leyla, Greenberg) with a flexible arm</w:t>
            </w:r>
          </w:p>
        </w:tc>
        <w:tc>
          <w:tcPr>
            <w:tcW w:type="dxa" w:w="5868"/>
            <w:vAlign w:val="top"/>
            <w:tcMar>
              <w:top w:w="36" w:type="dxa"/>
              <w:start w:w="80" w:type="dxa"/>
              <w:bottom w:w="36" w:type="dxa"/>
              <w:end w:w="80" w:type="dxa"/>
            </w:tcMar>
          </w:tcPr>
          <w:p>
            <w:pPr>
              <w:pStyle w:val="TabCellSm"/>
              <w:jc w:val="left"/>
            </w:pPr>
            <w:r>
              <w:t>holds a brain spatula at a fixed angle without an assistant's hand wavering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Cerebellar self-retaining retractor</w:t>
            </w:r>
          </w:p>
        </w:tc>
        <w:tc>
          <w:tcPr>
            <w:tcW w:type="dxa" w:w="5868"/>
            <w:shd w:val="clear" w:color="auto" w:fill="F6F6F6"/>
            <w:vAlign w:val="top"/>
            <w:tcMar>
              <w:top w:w="36" w:type="dxa"/>
              <w:start w:w="80" w:type="dxa"/>
              <w:bottom w:w="36" w:type="dxa"/>
              <w:end w:w="80" w:type="dxa"/>
            </w:tcMar>
          </w:tcPr>
          <w:p>
            <w:pPr>
              <w:pStyle w:val="TabCellSm"/>
              <w:jc w:val="left"/>
            </w:pPr>
            <w:r>
              <w:t>posterior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Micro-dissectors, blunt and sharp (Rhoton set)</w:t>
            </w:r>
          </w:p>
        </w:tc>
        <w:tc>
          <w:tcPr>
            <w:tcW w:type="dxa" w:w="5868"/>
            <w:vAlign w:val="top"/>
            <w:tcMar>
              <w:top w:w="36" w:type="dxa"/>
              <w:start w:w="80" w:type="dxa"/>
              <w:bottom w:w="36" w:type="dxa"/>
              <w:end w:w="80" w:type="dxa"/>
            </w:tcMar>
          </w:tcPr>
          <w:p>
            <w:pPr>
              <w:pStyle w:val="TabCellSm"/>
              <w:jc w:val="left"/>
            </w:pPr>
            <w:r>
              <w:t>microsurgical dissection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Nerve hooks, fine</w:t>
            </w:r>
          </w:p>
        </w:tc>
        <w:tc>
          <w:tcPr>
            <w:tcW w:type="dxa" w:w="5868"/>
            <w:shd w:val="clear" w:color="auto" w:fill="F6F6F6"/>
            <w:vAlign w:val="top"/>
            <w:tcMar>
              <w:top w:w="36" w:type="dxa"/>
              <w:start w:w="80" w:type="dxa"/>
              <w:bottom w:w="36" w:type="dxa"/>
              <w:end w:w="80" w:type="dxa"/>
            </w:tcMar>
          </w:tcPr>
          <w:p>
            <w:pPr>
              <w:pStyle w:val="TabCellSm"/>
              <w:jc w:val="left"/>
            </w:pPr>
            <w:r>
              <w:t>blunt tips to free arachnoid and small vessels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tumour / pituitary forceps</w:t>
            </w:r>
          </w:p>
        </w:tc>
        <w:tc>
          <w:tcPr>
            <w:tcW w:type="dxa" w:w="5868"/>
            <w:vAlign w:val="top"/>
            <w:tcMar>
              <w:top w:w="36" w:type="dxa"/>
              <w:start w:w="80" w:type="dxa"/>
              <w:bottom w:w="36" w:type="dxa"/>
              <w:end w:w="80" w:type="dxa"/>
            </w:tcMar>
          </w:tcPr>
          <w:p>
            <w:pPr>
              <w:pStyle w:val="TabCellSm"/>
              <w:jc w:val="left"/>
            </w:pPr>
            <w:r>
              <w:t>removes tumour piecemeal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Brain biopsy needle / cannula</w:t>
            </w:r>
          </w:p>
        </w:tc>
        <w:tc>
          <w:tcPr>
            <w:tcW w:type="dxa" w:w="5868"/>
            <w:shd w:val="clear" w:color="auto" w:fill="F6F6F6"/>
            <w:vAlign w:val="top"/>
            <w:tcMar>
              <w:top w:w="36" w:type="dxa"/>
              <w:start w:w="80" w:type="dxa"/>
              <w:bottom w:w="36" w:type="dxa"/>
              <w:end w:w="80" w:type="dxa"/>
            </w:tcMar>
          </w:tcPr>
          <w:p>
            <w:pPr>
              <w:pStyle w:val="TabCellSm"/>
              <w:jc w:val="left"/>
            </w:pPr>
            <w:r>
              <w:t>takes a core of deep lesion through a small cortical opening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Ventricular cannula / catheter with a brain needle</w:t>
            </w:r>
          </w:p>
        </w:tc>
        <w:tc>
          <w:tcPr>
            <w:tcW w:type="dxa" w:w="5868"/>
            <w:vAlign w:val="top"/>
            <w:tcMar>
              <w:top w:w="36" w:type="dxa"/>
              <w:start w:w="80" w:type="dxa"/>
              <w:bottom w:w="36" w:type="dxa"/>
              <w:end w:w="80" w:type="dxa"/>
            </w:tcMar>
          </w:tcPr>
          <w:p>
            <w:pPr>
              <w:pStyle w:val="TabCellSm"/>
              <w:jc w:val="left"/>
            </w:pPr>
            <w:r>
              <w:t>CSF drainage and ventriculostomy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Aneurysm clips with appliers, full range</w:t>
            </w:r>
          </w:p>
        </w:tc>
        <w:tc>
          <w:tcPr>
            <w:tcW w:type="dxa" w:w="5868"/>
            <w:shd w:val="clear" w:color="auto" w:fill="F6F6F6"/>
            <w:vAlign w:val="top"/>
            <w:tcMar>
              <w:top w:w="36" w:type="dxa"/>
              <w:start w:w="80" w:type="dxa"/>
              <w:bottom w:w="36" w:type="dxa"/>
              <w:end w:w="80" w:type="dxa"/>
            </w:tcMar>
          </w:tcPr>
          <w:p>
            <w:pPr>
              <w:pStyle w:val="TabCellSm"/>
              <w:jc w:val="left"/>
            </w:pPr>
            <w:r>
              <w:t>if an aneurysm is planned; temporary and permanent clips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Ultrasonic aspirator (CUSA)</w:t>
            </w:r>
          </w:p>
        </w:tc>
        <w:tc>
          <w:tcPr>
            <w:tcW w:type="dxa" w:w="5868"/>
            <w:vAlign w:val="top"/>
            <w:tcMar>
              <w:top w:w="36" w:type="dxa"/>
              <w:start w:w="80" w:type="dxa"/>
              <w:bottom w:w="36" w:type="dxa"/>
              <w:end w:w="80" w:type="dxa"/>
            </w:tcMar>
          </w:tcPr>
          <w:p>
            <w:pPr>
              <w:pStyle w:val="TabCellSm"/>
              <w:jc w:val="left"/>
            </w:pPr>
            <w:r>
              <w:t>tumour debulking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sterile drapes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for microsurgery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 THE NEUROSURGICAL PRIORITY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diathermy with fine forceps tips and irrigation</w:t>
            </w:r>
          </w:p>
        </w:tc>
        <w:tc>
          <w:tcPr>
            <w:tcW w:type="dxa" w:w="5868"/>
            <w:vAlign w:val="top"/>
            <w:tcMar>
              <w:top w:w="36" w:type="dxa"/>
              <w:start w:w="80" w:type="dxa"/>
              <w:bottom w:w="36" w:type="dxa"/>
              <w:end w:w="80" w:type="dxa"/>
            </w:tcMar>
          </w:tcPr>
          <w:p>
            <w:pPr>
              <w:pStyle w:val="TabCellSm"/>
              <w:jc w:val="left"/>
            </w:pPr>
            <w:r>
              <w:rPr>
                <w:b/>
              </w:rPr>
              <w:t>signature requirement</w:t>
            </w:r>
            <w:r>
              <w:t xml:space="preserve"> — current passes only between the two tips, sparing adjacent brain; monopolar is never used on neural tissue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Cottonoid patties (with radio-opaque strings)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small cotton squares for gentle pressure haemostasis and brain protection; </w:t>
            </w:r>
            <w:r>
              <w:rPr>
                <w:b/>
              </w:rPr>
              <w:t>the strings make them countable and traceable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 oxidised cellulose (Surgicel), gelatin sponge (Gelfoam), fibrin sealant, thrombin</w:t>
            </w:r>
          </w:p>
        </w:tc>
        <w:tc>
          <w:tcPr>
            <w:tcW w:type="dxa" w:w="5868"/>
            <w:vAlign w:val="top"/>
            <w:tcMar>
              <w:top w:w="36" w:type="dxa"/>
              <w:start w:w="80" w:type="dxa"/>
              <w:bottom w:w="36" w:type="dxa"/>
              <w:end w:w="80" w:type="dxa"/>
            </w:tcMar>
          </w:tcPr>
          <w:p>
            <w:pPr>
              <w:pStyle w:val="TabCellSm"/>
              <w:jc w:val="left"/>
            </w:pPr>
            <w:r>
              <w:t>achieve haemostasis where bipolar cannot be applied safely to brain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Frazier suction tips, fine, several sizes, with thumb vent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vent lets the operator control suction force with a fingertip, so brain is not drawn into the tip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saline irrigation with bulb syringe</w:t>
            </w:r>
          </w:p>
        </w:tc>
        <w:tc>
          <w:tcPr>
            <w:tcW w:type="dxa" w:w="5868"/>
            <w:vAlign w:val="top"/>
            <w:tcMar>
              <w:top w:w="36" w:type="dxa"/>
              <w:start w:w="80" w:type="dxa"/>
              <w:bottom w:w="36" w:type="dxa"/>
              <w:end w:w="80" w:type="dxa"/>
            </w:tcMar>
          </w:tcPr>
          <w:p>
            <w:pPr>
              <w:pStyle w:val="TabCellSm"/>
              <w:jc w:val="left"/>
            </w:pPr>
            <w:r>
              <w:t>cools the burr, clears debris and prevents cortical drying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available</w:t>
            </w:r>
          </w:p>
        </w:tc>
        <w:tc>
          <w:tcPr>
            <w:tcW w:type="dxa" w:w="5868"/>
            <w:shd w:val="clear" w:color="auto" w:fill="F6F6F6"/>
            <w:vAlign w:val="top"/>
            <w:tcMar>
              <w:top w:w="36" w:type="dxa"/>
              <w:start w:w="80" w:type="dxa"/>
              <w:bottom w:w="36" w:type="dxa"/>
              <w:end w:w="80" w:type="dxa"/>
            </w:tcMar>
          </w:tcPr>
          <w:p>
            <w:pPr>
              <w:pStyle w:val="TabCellSm"/>
              <w:jc w:val="left"/>
            </w:pPr>
            <w:r>
              <w:t>tumour and aneurysm surgery can bleed suddenly and heavily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closure suture 4-0 non-absorbable, or a dural graft / substitute</w:t>
            </w:r>
          </w:p>
        </w:tc>
        <w:tc>
          <w:tcPr>
            <w:tcW w:type="dxa" w:w="5868"/>
            <w:vAlign w:val="top"/>
            <w:tcMar>
              <w:top w:w="36" w:type="dxa"/>
              <w:start w:w="80" w:type="dxa"/>
              <w:bottom w:w="36" w:type="dxa"/>
              <w:end w:w="80" w:type="dxa"/>
            </w:tcMar>
          </w:tcPr>
          <w:p>
            <w:pPr>
              <w:pStyle w:val="TabCellSm"/>
              <w:jc w:val="left"/>
            </w:pPr>
            <w:r>
              <w:t>watertight closure prevents CSF leak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Cranial fixation plates, burr-hole covers, screws, or titanium wires</w:t>
            </w:r>
          </w:p>
        </w:tc>
        <w:tc>
          <w:tcPr>
            <w:tcW w:type="dxa" w:w="5868"/>
            <w:shd w:val="clear" w:color="auto" w:fill="F6F6F6"/>
            <w:vAlign w:val="top"/>
            <w:tcMar>
              <w:top w:w="36" w:type="dxa"/>
              <w:start w:w="80" w:type="dxa"/>
              <w:bottom w:w="36" w:type="dxa"/>
              <w:end w:w="80" w:type="dxa"/>
            </w:tcMar>
          </w:tcPr>
          <w:p>
            <w:pPr>
              <w:pStyle w:val="TabCellSm"/>
              <w:jc w:val="left"/>
            </w:pPr>
            <w:r>
              <w:t>replaces and secures the bone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Screwdriver and plate bender</w:t>
            </w:r>
          </w:p>
        </w:tc>
        <w:tc>
          <w:tcPr>
            <w:tcW w:type="dxa" w:w="5868"/>
            <w:vAlign w:val="top"/>
            <w:tcMar>
              <w:top w:w="36" w:type="dxa"/>
              <w:start w:w="80" w:type="dxa"/>
              <w:bottom w:w="36" w:type="dxa"/>
              <w:end w:w="80" w:type="dxa"/>
            </w:tcMar>
          </w:tcPr>
          <w:p>
            <w:pPr>
              <w:pStyle w:val="TabCellSm"/>
              <w:jc w:val="left"/>
            </w:pPr>
            <w:r>
              <w:t>contours and fixes the cranial plates that hold the flap</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to pericranium, galea and muscle</w:t>
            </w:r>
          </w:p>
        </w:tc>
        <w:tc>
          <w:tcPr>
            <w:tcW w:type="dxa" w:w="5868"/>
            <w:shd w:val="clear" w:color="auto" w:fill="F6F6F6"/>
            <w:vAlign w:val="top"/>
            <w:tcMar>
              <w:top w:w="36" w:type="dxa"/>
              <w:start w:w="80" w:type="dxa"/>
              <w:bottom w:w="36" w:type="dxa"/>
              <w:end w:w="80" w:type="dxa"/>
            </w:tcMar>
          </w:tcPr>
          <w:p>
            <w:pPr>
              <w:pStyle w:val="TabCellSm"/>
              <w:jc w:val="left"/>
            </w:pPr>
            <w:r>
              <w:t>layered closure restores the scalp's blood supply and strength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Skin staples or non-absorbable suture</w:t>
            </w:r>
          </w:p>
        </w:tc>
        <w:tc>
          <w:tcPr>
            <w:tcW w:type="dxa" w:w="5868"/>
            <w:vAlign w:val="top"/>
            <w:tcMar>
              <w:top w:w="36" w:type="dxa"/>
              <w:start w:w="80" w:type="dxa"/>
              <w:bottom w:w="36" w:type="dxa"/>
              <w:end w:w="80" w:type="dxa"/>
            </w:tcMar>
          </w:tcPr>
          <w:p>
            <w:pPr>
              <w:pStyle w:val="TabCellSm"/>
              <w:jc w:val="left"/>
            </w:pPr>
            <w:r>
              <w:t>secure scalp closure; the galea holds the tension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Subgaleal / epidural drain</w:t>
            </w:r>
          </w:p>
        </w:tc>
        <w:tc>
          <w:tcPr>
            <w:tcW w:type="dxa" w:w="5868"/>
            <w:shd w:val="clear" w:color="auto" w:fill="F6F6F6"/>
            <w:vAlign w:val="top"/>
            <w:tcMar>
              <w:top w:w="36" w:type="dxa"/>
              <w:start w:w="80" w:type="dxa"/>
              <w:bottom w:w="36" w:type="dxa"/>
              <w:end w:w="80" w:type="dxa"/>
            </w:tcMar>
          </w:tcPr>
          <w:p>
            <w:pPr>
              <w:pStyle w:val="TabCellSm"/>
              <w:jc w:val="left"/>
            </w:pPr>
            <w:r>
              <w:rPr>
                <w:b/>
              </w:rPr>
              <w:t>used with caution</w:t>
            </w:r>
            <w:r>
              <w:t xml:space="preserve"> — sudden decompression is hazardous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Head bandage</w:t>
            </w:r>
          </w:p>
        </w:tc>
        <w:tc>
          <w:tcPr>
            <w:tcW w:type="dxa" w:w="5868"/>
            <w:vAlign w:val="top"/>
            <w:tcMar>
              <w:top w:w="36" w:type="dxa"/>
              <w:start w:w="80" w:type="dxa"/>
              <w:bottom w:w="36" w:type="dxa"/>
              <w:end w:w="80" w:type="dxa"/>
            </w:tcMar>
          </w:tcPr>
          <w:p>
            <w:pPr>
              <w:pStyle w:val="TabCellSm"/>
              <w:jc w:val="left"/>
            </w:pPr>
            <w:r>
              <w:t>light compression limits a subgaleal collection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Intracranial pressure monitor</w:t>
            </w:r>
          </w:p>
        </w:tc>
        <w:tc>
          <w:tcPr>
            <w:tcW w:type="dxa" w:w="5868"/>
            <w:shd w:val="clear" w:color="auto" w:fill="F6F6F6"/>
            <w:vAlign w:val="top"/>
            <w:tcMar>
              <w:top w:w="36" w:type="dxa"/>
              <w:start w:w="80" w:type="dxa"/>
              <w:bottom w:w="36" w:type="dxa"/>
              <w:end w:w="80" w:type="dxa"/>
            </w:tcMar>
          </w:tcPr>
          <w:p>
            <w:pPr>
              <w:pStyle w:val="TabCellSm"/>
              <w:jc w:val="left"/>
            </w:pPr>
            <w:r>
              <w:t>where indicated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turned, lateral, prone or sitting depending on the lesion; the head is fixed in a </w:t>
      </w:r>
      <w:r>
        <w:rPr>
          <w:b/>
        </w:rPr>
        <w:t>Mayfield three-pin skull clamp</w:t>
      </w:r>
      <w:r>
        <w:t xml:space="preserve"> (or on a horseshoe headrest) to give absolute immobility. </w:t>
      </w:r>
      <w:r>
        <w:rPr>
          <w:b/>
        </w:rPr>
        <w:t>Head elevated above the heart</w:t>
      </w:r>
      <w:r>
        <w:t xml:space="preserve"> to aid venous drainage and reduce intracranial pressure.</w:t>
      </w:r>
    </w:p>
    <w:p>
      <w:pPr>
        <w:pStyle w:val="BoxBody"/>
        <w:ind w:start="170"/>
      </w:pPr>
      <w:r>
        <w:rPr>
          <w:b/>
        </w:rPr>
        <w:t>Neuro-anaesthetic measures</w:t>
      </w:r>
      <w:r>
        <w:t xml:space="preserve"> — Mannitol or hypertonic saline, controlled hyperventilation, steroids for oedema, anticonvulsants, and avoidance of hypertension and coughing at extubation.</w:t>
      </w:r>
    </w:p>
    <w:p>
      <w:pPr>
        <w:pStyle w:val="BoxBody"/>
        <w:ind w:start="170"/>
      </w:pPr>
      <w:r>
        <w:rPr>
          <w:b/>
        </w:rPr>
        <w:t>Neuronavigation and monitoring</w:t>
      </w:r>
      <w:r>
        <w:t xml:space="preserve"> — Image-guided stereotactic navigation, intra-operative ultrasound, cortical mapping and evoked-potential monitoring may all be required — they are part of the set-up.</w:t>
      </w:r>
    </w:p>
    <w:p>
      <w:pPr>
        <w:pStyle w:val="BoxBody"/>
        <w:ind w:start="170"/>
      </w:pPr>
      <w:r>
        <w:rPr>
          <w:b/>
        </w:rPr>
        <w:t>Complications</w:t>
      </w:r>
      <w:r>
        <w:t xml:space="preserve"> — Haematoma and re-bleeding, cerebral oedema, seizures, CSF leak, meningitis, focal neurological deficit, venous air embolism (sitting position) and tension pneumocephalus.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Answer in </w:t>
            </w:r>
            <w:r>
              <w:rPr>
                <w:b/>
              </w:rPr>
              <w:t>four systems</w:t>
            </w:r>
            <w:r>
              <w:t>: scalp/haemostasis, bone removal, dura/intradural, closure.</w:t>
            </w:r>
          </w:p>
          <w:p>
            <w:pPr>
              <w:pStyle w:val="BoxBody"/>
              <w:spacing w:before="20" w:after="40"/>
              <w:ind w:start="204" w:hanging="204"/>
            </w:pPr>
            <w:r>
              <w:rPr>
                <w:rFonts w:ascii="Calibri" w:hAnsi="Calibri"/>
                <w:b/>
              </w:rPr>
              <w:t xml:space="preserve">▪  </w:t>
            </w:r>
            <w:r>
              <w:rPr>
                <w:b/>
              </w:rPr>
              <w:t>Raney scalp clips</w:t>
            </w:r>
            <w:r>
              <w:t xml:space="preserve"> for galeal bleeding; </w:t>
            </w:r>
            <w:r>
              <w:rPr>
                <w:b/>
              </w:rPr>
              <w:t>fish-hooks with elastic</w:t>
            </w:r>
            <w:r>
              <w:t xml:space="preserve"> for flap retraction.</w:t>
            </w:r>
          </w:p>
          <w:p>
            <w:pPr>
              <w:pStyle w:val="BoxBody"/>
              <w:spacing w:before="20" w:after="40"/>
              <w:ind w:start="204" w:hanging="204"/>
            </w:pPr>
            <w:r>
              <w:rPr>
                <w:rFonts w:ascii="Calibri" w:hAnsi="Calibri"/>
                <w:b/>
              </w:rPr>
              <w:t xml:space="preserve">▪  </w:t>
            </w:r>
            <w:r>
              <w:rPr>
                <w:b/>
              </w:rPr>
              <w:t>Perforator/Hudson brace + craniotome with dura guard</w:t>
            </w:r>
            <w:r>
              <w:t xml:space="preserve"> — explain that the footplate protects the dura.</w:t>
            </w:r>
          </w:p>
          <w:p>
            <w:pPr>
              <w:pStyle w:val="BoxBody"/>
              <w:spacing w:before="20" w:after="40"/>
              <w:ind w:start="204" w:hanging="204"/>
            </w:pPr>
            <w:r>
              <w:rPr>
                <w:rFonts w:ascii="Calibri" w:hAnsi="Calibri"/>
                <w:b/>
              </w:rPr>
              <w:t xml:space="preserve">▪  </w:t>
            </w:r>
            <w:r>
              <w:rPr>
                <w:b/>
              </w:rPr>
              <w:t>Kerrison rongeur bites upward, away from the dura</w:t>
            </w:r>
            <w:r>
              <w:t xml:space="preserve"> — say why.</w:t>
            </w:r>
          </w:p>
          <w:p>
            <w:pPr>
              <w:pStyle w:val="BoxBody"/>
              <w:spacing w:before="20" w:after="40"/>
              <w:ind w:start="204" w:hanging="204"/>
            </w:pPr>
            <w:r>
              <w:rPr>
                <w:rFonts w:ascii="Calibri" w:hAnsi="Calibri"/>
                <w:b/>
              </w:rPr>
              <w:t xml:space="preserve">▪  </w:t>
            </w:r>
            <w:r>
              <w:rPr>
                <w:b/>
              </w:rPr>
              <w:t>Bipolar diathermy, cottonoid patties, Frazier vented suction</w:t>
            </w:r>
            <w:r>
              <w:t xml:space="preserve"> are the three haemostatic signatures.</w:t>
            </w:r>
          </w:p>
          <w:p>
            <w:pPr>
              <w:pStyle w:val="BoxBody"/>
              <w:spacing w:before="20" w:after="40"/>
              <w:ind w:start="204" w:hanging="204"/>
            </w:pPr>
            <w:r>
              <w:rPr>
                <w:rFonts w:ascii="Calibri" w:hAnsi="Calibri"/>
                <w:b/>
              </w:rPr>
              <w:t xml:space="preserve">▪  </w:t>
            </w:r>
            <w:r>
              <w:rPr>
                <w:b/>
              </w:rPr>
              <w:t>Mayfield three-pin skull clamp</w:t>
            </w:r>
            <w:r>
              <w:t xml:space="preserve"> and </w:t>
            </w:r>
            <w:r>
              <w:rPr>
                <w:b/>
              </w:rPr>
              <w:t>head above heart</w:t>
            </w:r>
            <w:r>
              <w:t xml:space="preserve"> for positioning.</w:t>
            </w:r>
          </w:p>
          <w:p>
            <w:pPr>
              <w:pStyle w:val="BoxBody"/>
              <w:spacing w:before="20" w:after="40"/>
              <w:ind w:start="204" w:hanging="204"/>
            </w:pPr>
            <w:r>
              <w:rPr>
                <w:rFonts w:ascii="Calibri" w:hAnsi="Calibri"/>
                <w:b/>
              </w:rPr>
              <w:t xml:space="preserve">▪  </w:t>
            </w:r>
            <w:r>
              <w:rPr>
                <w:b/>
              </w:rPr>
              <w:t>Bone wax</w:t>
            </w:r>
            <w:r>
              <w:t xml:space="preserve"> for diploic bleeding; </w:t>
            </w:r>
            <w:r>
              <w:rPr>
                <w:b/>
              </w:rPr>
              <w:t>cranial plates/wires</w:t>
            </w:r>
            <w:r>
              <w:t xml:space="preserve"> to replace the flap.</w:t>
            </w:r>
          </w:p>
          <w:p>
            <w:pPr>
              <w:pStyle w:val="BoxBody"/>
              <w:spacing w:before="20" w:after="40"/>
              <w:ind w:start="204" w:hanging="204"/>
            </w:pPr>
            <w:r>
              <w:rPr>
                <w:rFonts w:ascii="Calibri" w:hAnsi="Calibri"/>
                <w:b/>
              </w:rPr>
              <w:t xml:space="preserve">▪  </w:t>
            </w:r>
            <w:r>
              <w:rPr>
                <w:b/>
              </w:rPr>
              <w:t>Watertight dural closure</w:t>
            </w:r>
            <w:r>
              <w:t xml:space="preserve"> prevents CSF leak.</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Suggesting monopolar diathermy on neural tissue.</w:t>
            </w:r>
          </w:p>
          <w:p>
            <w:pPr>
              <w:pStyle w:val="BoxBody"/>
              <w:spacing w:before="20" w:after="40"/>
              <w:ind w:start="204" w:hanging="204"/>
            </w:pPr>
            <w:r>
              <w:rPr>
                <w:rFonts w:ascii="Calibri" w:hAnsi="Calibri"/>
                <w:b/>
              </w:rPr>
              <w:t xml:space="preserve">✗  </w:t>
            </w:r>
            <w:r>
              <w:t>Forgetting that cottonoid patties are counted items.</w:t>
            </w:r>
          </w:p>
          <w:p>
            <w:pPr>
              <w:pStyle w:val="BoxBody"/>
              <w:spacing w:before="20" w:after="40"/>
              <w:ind w:start="204" w:hanging="204"/>
            </w:pPr>
            <w:r>
              <w:rPr>
                <w:rFonts w:ascii="Calibri" w:hAnsi="Calibri"/>
                <w:b/>
              </w:rPr>
              <w:t xml:space="preserve">✗  </w:t>
            </w:r>
            <w:r>
              <w:t>Omitting bone wax and flap fixation.</w:t>
            </w:r>
          </w:p>
          <w:p>
            <w:pPr>
              <w:pStyle w:val="BoxBody"/>
              <w:spacing w:before="20" w:after="40"/>
              <w:ind w:start="204" w:hanging="204"/>
            </w:pPr>
            <w:r>
              <w:rPr>
                <w:rFonts w:ascii="Calibri" w:hAnsi="Calibri"/>
                <w:b/>
              </w:rPr>
              <w:t xml:space="preserve">✗  </w:t>
            </w:r>
            <w:r>
              <w:t>Not mentioning the skull clamp or head positioning.</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craniotomy tray.</w:t>
      </w:r>
    </w:p>
    <w:p>
      <w:pPr>
        <w:pStyle w:val="QBank"/>
        <w:spacing w:before="0" w:after="100"/>
        <w:ind w:start="595" w:hanging="283"/>
      </w:pPr>
      <w:r>
        <w:rPr>
          <w:rFonts w:ascii="Calibri" w:hAnsi="Calibri"/>
          <w:b/>
        </w:rPr>
        <w:t xml:space="preserve">A.  </w:t>
      </w:r>
      <w:r>
        <w:rPr>
          <w:b/>
        </w:rPr>
        <w:t>Scalp and haemostasis</w:t>
      </w:r>
      <w:r>
        <w:t xml:space="preserve">: No.10/15 blades, Raney scalp clips with applier, Dandy clamps, fish-hooks with elastic bands, periosteal elevators, self-retaining retractors, fine haemostats and adrenaline infiltration. </w:t>
      </w:r>
      <w:r>
        <w:rPr>
          <w:b/>
        </w:rPr>
        <w:t>Bone</w:t>
      </w:r>
      <w:r>
        <w:t xml:space="preserve">: Hudson brace with perforator and burrs, power craniotome with dura guard, power drill and burrs, Gigli saw, up-biting Kerrison rongeurs, Leksell rongeurs, Penfield/Adson dural elevators, flap elevator, bone wax and a bone-dust collector. </w:t>
      </w:r>
      <w:r>
        <w:rPr>
          <w:b/>
        </w:rPr>
        <w:t>Dura and brain</w:t>
      </w:r>
      <w:r>
        <w:t xml:space="preserve">: dural hooks, dural knife and scissors, dural clips and stay sutures, Cushing brain retractors and malleable spatulas, a self-retaining brain retractor system, Rhoton micro-dissectors, nerve hooks, tumour forceps, ventricular cannula, aneurysm clips with appliers, ultrasonic aspirator and the operating microscope. </w:t>
      </w:r>
      <w:r>
        <w:rPr>
          <w:b/>
        </w:rPr>
        <w:t>Haemostasis</w:t>
      </w:r>
      <w:r>
        <w:t xml:space="preserve">: bipolar diathermy with irrigation, cottonoid patties on radio-opaque strings, oxidised cellulose and gelatin sponge, fine vented Frazier suction tips and warm irrigation. </w:t>
      </w:r>
      <w:r>
        <w:rPr>
          <w:b/>
        </w:rPr>
        <w:t>Closure</w:t>
      </w:r>
      <w:r>
        <w:t>: dural suture or graft, cranial plates, burr-hole covers, screws or wires, layered absorbable suture, skin staples, a cautious drain and a head bandage. With a Mayfield skull clamp and neuronavigation.</w:t>
      </w:r>
    </w:p>
    <w:p>
      <w:pPr>
        <w:spacing w:before="80" w:after="20"/>
        <w:ind w:start="311" w:hanging="311"/>
        <w:keepLines/>
        <w:keepNext/>
      </w:pPr>
      <w:r>
        <w:rPr>
          <w:rFonts w:ascii="Calibri" w:hAnsi="Calibri"/>
          <w:b/>
          <w:sz w:val="19"/>
        </w:rPr>
        <w:t xml:space="preserve">Q2.  </w:t>
      </w:r>
      <w:r>
        <w:rPr>
          <w:b/>
          <w:sz w:val="19"/>
        </w:rPr>
        <w:t>Why is bipolar rather than monopolar diathermy used in neurosurgery?</w:t>
      </w:r>
    </w:p>
    <w:p>
      <w:pPr>
        <w:pStyle w:val="QBank"/>
        <w:spacing w:before="0" w:after="100"/>
        <w:ind w:start="595" w:hanging="283"/>
      </w:pPr>
      <w:r>
        <w:rPr>
          <w:rFonts w:ascii="Calibri" w:hAnsi="Calibri"/>
          <w:b/>
        </w:rPr>
        <w:t xml:space="preserve">A.  </w:t>
      </w:r>
      <w:r>
        <w:t>In bipolar diathermy the current passes only between the two tips of the forceps, so heating is confined to the tissue grasped. Monopolar current spreads through surrounding tissue to a distant return electrode and would cause thermal injury to adjacent brain, which cannot regenerate.</w:t>
      </w:r>
    </w:p>
    <w:p>
      <w:pPr>
        <w:spacing w:before="300" w:after="60" w:line="240" w:lineRule="auto"/>
        <w:keepLines/>
        <w:keepNext/>
        <w:pBdr>
          <w:bottom w:val="single" w:sz="18" w:space="1" w:color="000000"/>
        </w:pBdr>
      </w:pPr>
    </w:p>
    <w:p>
      <w:bookmarkStart w:id="1064" w:name="tray_7_2"/>
      <w:pPr>
        <w:pStyle w:val="Heading2"/>
        <w:spacing w:before="320" w:after="40"/>
        <w:keepLines/>
        <w:keepNext/>
        <w:pBdr>
          <w:bottom w:val="single" w:sz="12" w:space="3" w:color="000000"/>
        </w:pBdr>
      </w:pPr>
      <w:r>
        <w:rPr>
          <w:rFonts w:ascii="Calibri" w:hAnsi="Calibri"/>
          <w:b/>
          <w:color w:val="666666"/>
          <w:sz w:val="29"/>
        </w:rPr>
        <w:t xml:space="preserve">7.2   </w:t>
      </w:r>
      <w:r>
        <w:rPr>
          <w:rFonts w:ascii="Calibri" w:hAnsi="Calibri"/>
          <w:b/>
          <w:sz w:val="29"/>
        </w:rPr>
        <w:t>Laminectomy Tray</w:t>
      </w:r>
      <w:bookmarkEnd w:id="1064"/>
    </w:p>
    <w:p>
      <w:pPr>
        <w:spacing w:before="60" w:after="100"/>
      </w:pPr>
      <w:r>
        <w:rPr>
          <w:rFonts w:ascii="Calibri" w:hAnsi="Calibri"/>
          <w:b/>
          <w:caps/>
          <w:color w:val="555555"/>
          <w:sz w:val="17"/>
        </w:rPr>
        <w:t xml:space="preserve">Also called:  </w:t>
      </w:r>
      <w:r>
        <w:rPr>
          <w:i/>
          <w:color w:val="333333"/>
          <w:sz w:val="18"/>
        </w:rPr>
        <w:t>Spinal tray · discectomy and spinal decompression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Laminectomy</w:t>
            </w:r>
            <w:r>
              <w:t xml:space="preserve"> removes the vertebral lamina to decompress the spinal cord or nerve roots. The operative field is a </w:t>
            </w:r>
            <w:r>
              <w:rPr>
                <w:b/>
              </w:rPr>
              <w:t>narrow, deep bony corridor</w:t>
            </w:r>
            <w:r>
              <w:t xml:space="preserve"> in which the cord and roots lie immediately beneath the bone being removed. The tray therefore centres on </w:t>
            </w:r>
            <w:r>
              <w:rPr>
                <w:b/>
              </w:rPr>
              <w:t>up-biting Kerrison rongeurs</w:t>
            </w:r>
            <w:r>
              <w:t xml:space="preserve">, </w:t>
            </w:r>
            <w:r>
              <w:rPr>
                <w:b/>
              </w:rPr>
              <w:t>nerve-root retractors</w:t>
            </w:r>
            <w:r>
              <w:t xml:space="preserve">, </w:t>
            </w:r>
            <w:r>
              <w:rPr>
                <w:b/>
              </w:rPr>
              <w:t>disc instruments</w:t>
            </w:r>
            <w:r>
              <w:t xml:space="preserve"> and </w:t>
            </w:r>
            <w:r>
              <w:rPr>
                <w:b/>
              </w:rPr>
              <w:t>bipolar haemostasis</w:t>
            </w:r>
            <w:r>
              <w:t xml:space="preserve"> — with fusion instrumentation added if the spine is to be stabilised.</w:t>
            </w:r>
          </w:p>
          <w:p>
            <w:pPr>
              <w:pStyle w:val="TinyLabel"/>
            </w:pPr>
            <w:r>
              <w:t>Used for / includes</w:t>
            </w:r>
          </w:p>
          <w:p>
            <w:pPr>
              <w:pStyle w:val="Bullet"/>
              <w:ind w:start="238" w:hanging="238"/>
            </w:pPr>
            <w:r>
              <w:rPr>
                <w:rFonts w:ascii="Calibri" w:hAnsi="Calibri"/>
                <w:b/>
              </w:rPr>
              <w:t xml:space="preserve">▪  </w:t>
            </w:r>
            <w:r>
              <w:t>Lumbar disc prolapse — discectomy or microdiscectomy</w:t>
            </w:r>
          </w:p>
          <w:p>
            <w:pPr>
              <w:pStyle w:val="Bullet"/>
              <w:ind w:start="238" w:hanging="238"/>
            </w:pPr>
            <w:r>
              <w:rPr>
                <w:rFonts w:ascii="Calibri" w:hAnsi="Calibri"/>
                <w:b/>
              </w:rPr>
              <w:t xml:space="preserve">▪  </w:t>
            </w:r>
            <w:r>
              <w:t>Lumbar canal stenosis — decompressive laminectomy</w:t>
            </w:r>
          </w:p>
          <w:p>
            <w:pPr>
              <w:pStyle w:val="Bullet"/>
              <w:ind w:start="238" w:hanging="238"/>
            </w:pPr>
            <w:r>
              <w:rPr>
                <w:rFonts w:ascii="Calibri" w:hAnsi="Calibri"/>
                <w:b/>
              </w:rPr>
              <w:t xml:space="preserve">▪  </w:t>
            </w:r>
            <w:r>
              <w:t>Cervical myelopathy — laminectomy or laminoplasty</w:t>
            </w:r>
          </w:p>
          <w:p>
            <w:pPr>
              <w:pStyle w:val="Bullet"/>
              <w:ind w:start="238" w:hanging="238"/>
            </w:pPr>
            <w:r>
              <w:rPr>
                <w:rFonts w:ascii="Calibri" w:hAnsi="Calibri"/>
                <w:b/>
              </w:rPr>
              <w:t xml:space="preserve">▪  </w:t>
            </w:r>
            <w:r>
              <w:t>Excision of a spinal or intradural tumour</w:t>
            </w:r>
          </w:p>
          <w:p>
            <w:pPr>
              <w:pStyle w:val="Bullet"/>
              <w:ind w:start="238" w:hanging="238"/>
            </w:pPr>
            <w:r>
              <w:rPr>
                <w:rFonts w:ascii="Calibri" w:hAnsi="Calibri"/>
                <w:b/>
              </w:rPr>
              <w:t xml:space="preserve">▪  </w:t>
            </w:r>
            <w:r>
              <w:t>Drainage of a spinal epidural abscess or haematoma</w:t>
            </w:r>
          </w:p>
          <w:p>
            <w:pPr>
              <w:pStyle w:val="Bullet"/>
              <w:ind w:start="238" w:hanging="238"/>
            </w:pPr>
            <w:r>
              <w:rPr>
                <w:rFonts w:ascii="Calibri" w:hAnsi="Calibri"/>
                <w:b/>
              </w:rPr>
              <w:t xml:space="preserve">▪  </w:t>
            </w:r>
            <w:r>
              <w:t>Spinal trauma with cord compression</w:t>
            </w:r>
          </w:p>
          <w:p>
            <w:pPr>
              <w:pStyle w:val="Bullet"/>
              <w:ind w:start="238" w:hanging="238"/>
            </w:pPr>
            <w:r>
              <w:rPr>
                <w:rFonts w:ascii="Calibri" w:hAnsi="Calibri"/>
                <w:b/>
              </w:rPr>
              <w:t xml:space="preserve">▪  </w:t>
            </w:r>
            <w:r>
              <w:t>Spinal fusion and instrumentation for instability or deformity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88820"/>
                  <wp:docPr id="2" name="Picture 2"/>
                  <wp:cNvGraphicFramePr>
                    <a:graphicFrameLocks noChangeAspect="1"/>
                  </wp:cNvGraphicFramePr>
                  <a:graphic>
                    <a:graphicData uri="http://schemas.openxmlformats.org/drawingml/2006/picture">
                      <pic:pic>
                        <pic:nvPicPr>
                          <pic:cNvPr id="0" name="plate_7_2.png"/>
                          <pic:cNvPicPr/>
                        </pic:nvPicPr>
                        <pic:blipFill>
                          <a:blip r:embed="rId12"/>
                          <a:stretch>
                            <a:fillRect/>
                          </a:stretch>
                        </pic:blipFill>
                        <pic:spPr>
                          <a:xfrm>
                            <a:off x="0" y="0"/>
                            <a:ext cx="2286000" cy="1988820"/>
                          </a:xfrm>
                          <a:prstGeom prst="rect"/>
                        </pic:spPr>
                      </pic:pic>
                    </a:graphicData>
                  </a:graphic>
                </wp:inline>
              </w:drawing>
            </w:r>
          </w:p>
          <w:p>
            <w:pPr>
              <w:pStyle w:val="FigCaption"/>
              <w:jc w:val="center"/>
              <w:spacing w:before="40" w:after="120"/>
            </w:pPr>
            <w:r>
              <w:t>Fig 7.2 — Remove bone upward, away from the cord</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Why up-biting?</w:t>
            </w:r>
          </w:p>
          <w:p>
            <w:pPr>
              <w:pStyle w:val="BoxBody"/>
              <w:spacing w:before="20" w:after="40"/>
              <w:ind w:start="204" w:hanging="204"/>
            </w:pPr>
            <w:r>
              <w:rPr>
                <w:rFonts w:ascii="Calibri" w:hAnsi="Calibri"/>
                <w:b/>
              </w:rPr>
              <w:t xml:space="preserve">▪  </w:t>
            </w:r>
            <w:r>
              <w:t xml:space="preserve">The </w:t>
            </w:r>
            <w:r>
              <w:rPr>
                <w:b/>
              </w:rPr>
              <w:t>Kerrison rongeur</w:t>
            </w:r>
            <w:r>
              <w:t xml:space="preserve"> has a thin </w:t>
            </w:r>
            <w:r>
              <w:rPr>
                <w:b/>
              </w:rPr>
              <w:t>footplate</w:t>
            </w:r>
            <w:r>
              <w:t xml:space="preserve"> that slides between the bone and the dura.</w:t>
            </w:r>
          </w:p>
          <w:p>
            <w:pPr>
              <w:pStyle w:val="BoxBody"/>
              <w:spacing w:before="20" w:after="40"/>
              <w:ind w:start="204" w:hanging="204"/>
            </w:pPr>
            <w:r>
              <w:rPr>
                <w:rFonts w:ascii="Calibri" w:hAnsi="Calibri"/>
                <w:b/>
              </w:rPr>
              <w:t xml:space="preserve">▪  </w:t>
            </w:r>
            <w:r>
              <w:t xml:space="preserve">Its blade then bites </w:t>
            </w:r>
            <w:r>
              <w:rPr>
                <w:b/>
              </w:rPr>
              <w:t>upward</w:t>
            </w:r>
            <w:r>
              <w:t xml:space="preserve"> — the cutting force is directed </w:t>
            </w:r>
            <w:r>
              <w:rPr>
                <w:b/>
              </w:rPr>
              <w:t>away from the cord and root</w:t>
            </w:r>
            <w:r>
              <w:t>.</w:t>
            </w:r>
          </w:p>
          <w:p>
            <w:pPr>
              <w:pStyle w:val="BoxBody"/>
              <w:spacing w:before="20" w:after="40"/>
              <w:ind w:start="204" w:hanging="204"/>
            </w:pPr>
            <w:r>
              <w:rPr>
                <w:rFonts w:ascii="Calibri" w:hAnsi="Calibri"/>
                <w:b/>
              </w:rPr>
              <w:t xml:space="preserve">▪  </w:t>
            </w:r>
            <w:r>
              <w:t>This is why it is the defining instrument of spinal decompression.</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orthopaedic procedures tray</w:t>
            </w:r>
          </w:p>
        </w:tc>
        <w:tc>
          <w:tcPr>
            <w:tcW w:type="dxa" w:w="5868"/>
            <w:vAlign w:val="top"/>
            <w:tcMar>
              <w:top w:w="36" w:type="dxa"/>
              <w:start w:w="80" w:type="dxa"/>
              <w:bottom w:w="36" w:type="dxa"/>
              <w:end w:w="80" w:type="dxa"/>
            </w:tcMar>
          </w:tcPr>
          <w:p>
            <w:pPr>
              <w:pStyle w:val="TabCellSm"/>
              <w:jc w:val="left"/>
            </w:pPr>
            <w:r>
              <w:t>see 6.1 — bone instruments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 minor procedures tray</w:t>
            </w:r>
          </w:p>
        </w:tc>
        <w:tc>
          <w:tcPr>
            <w:tcW w:type="dxa" w:w="5868"/>
            <w:shd w:val="clear" w:color="auto" w:fill="F6F6F6"/>
            <w:vAlign w:val="top"/>
            <w:tcMar>
              <w:top w:w="36" w:type="dxa"/>
              <w:start w:w="80" w:type="dxa"/>
              <w:bottom w:w="36" w:type="dxa"/>
              <w:end w:w="80" w:type="dxa"/>
            </w:tcMar>
          </w:tcPr>
          <w:p>
            <w:pPr>
              <w:pStyle w:val="TabCellSm"/>
              <w:jc w:val="left"/>
            </w:pPr>
            <w:r>
              <w:t>soft-tissue exposure and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SPINE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with No.10 blade</w:t>
            </w:r>
          </w:p>
        </w:tc>
        <w:tc>
          <w:tcPr>
            <w:tcW w:type="dxa" w:w="5868"/>
            <w:vAlign w:val="top"/>
            <w:tcMar>
              <w:top w:w="36" w:type="dxa"/>
              <w:start w:w="80" w:type="dxa"/>
              <w:bottom w:w="36" w:type="dxa"/>
              <w:end w:w="80" w:type="dxa"/>
            </w:tcMar>
          </w:tcPr>
          <w:p>
            <w:pPr>
              <w:pStyle w:val="TabCellSm"/>
              <w:jc w:val="left"/>
            </w:pPr>
            <w:r>
              <w:t>midline incision over the spinous processes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Cobb periosteal elevators (curved and straight)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strips paraspinal muscle subperiosteally off the lamina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Self-retaining spinal retractors (Taylor, Beckman, Meyerding, Gelpi)</w:t>
            </w:r>
          </w:p>
        </w:tc>
        <w:tc>
          <w:tcPr>
            <w:tcW w:type="dxa" w:w="5868"/>
            <w:vAlign w:val="top"/>
            <w:tcMar>
              <w:top w:w="36" w:type="dxa"/>
              <w:start w:w="80" w:type="dxa"/>
              <w:bottom w:w="36" w:type="dxa"/>
              <w:end w:w="80" w:type="dxa"/>
            </w:tcMar>
          </w:tcPr>
          <w:p>
            <w:pPr>
              <w:pStyle w:val="TabCellSm"/>
              <w:jc w:val="left"/>
            </w:pPr>
            <w:r>
              <w:rPr>
                <w:b/>
              </w:rPr>
              <w:t>signature item</w:t>
            </w:r>
            <w:r>
              <w:t xml:space="preserve"> — holds the deep paraspinal muscle apart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Tubular retractor system / muscle dilators</w:t>
            </w:r>
          </w:p>
        </w:tc>
        <w:tc>
          <w:tcPr>
            <w:tcW w:type="dxa" w:w="5868"/>
            <w:shd w:val="clear" w:color="auto" w:fill="F6F6F6"/>
            <w:vAlign w:val="top"/>
            <w:tcMar>
              <w:top w:w="36" w:type="dxa"/>
              <w:start w:w="80" w:type="dxa"/>
              <w:bottom w:w="36" w:type="dxa"/>
              <w:end w:w="80" w:type="dxa"/>
            </w:tcMar>
          </w:tcPr>
          <w:p>
            <w:pPr>
              <w:pStyle w:val="TabCellSm"/>
              <w:jc w:val="left"/>
            </w:pPr>
            <w:r>
              <w:t>minimally invasive approach</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Deep Langenbeck and Deaver retractors</w:t>
            </w:r>
          </w:p>
        </w:tc>
        <w:tc>
          <w:tcPr>
            <w:tcW w:type="dxa" w:w="5868"/>
            <w:vAlign w:val="top"/>
            <w:tcMar>
              <w:top w:w="36" w:type="dxa"/>
              <w:start w:w="80" w:type="dxa"/>
              <w:bottom w:w="36" w:type="dxa"/>
              <w:end w:w="80" w:type="dxa"/>
            </w:tcMar>
          </w:tcPr>
          <w:p>
            <w:pPr>
              <w:pStyle w:val="TabCellSm"/>
              <w:jc w:val="left"/>
            </w:pPr>
            <w:r>
              <w:t>supplementary hand-held retraction of deep paraspinal muscle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rongeur (Leksell)</w:t>
            </w:r>
          </w:p>
        </w:tc>
        <w:tc>
          <w:tcPr>
            <w:tcW w:type="dxa" w:w="5868"/>
            <w:shd w:val="clear" w:color="auto" w:fill="F6F6F6"/>
            <w:vAlign w:val="top"/>
            <w:tcMar>
              <w:top w:w="36" w:type="dxa"/>
              <w:start w:w="80" w:type="dxa"/>
              <w:bottom w:w="36" w:type="dxa"/>
              <w:end w:w="80" w:type="dxa"/>
            </w:tcMar>
          </w:tcPr>
          <w:p>
            <w:pPr>
              <w:pStyle w:val="TabCellSm"/>
              <w:jc w:val="left"/>
            </w:pPr>
            <w:r>
              <w:t>removes the spinous process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 or microscope</w:t>
            </w:r>
          </w:p>
        </w:tc>
        <w:tc>
          <w:tcPr>
            <w:tcW w:type="dxa" w:w="5868"/>
            <w:vAlign w:val="top"/>
            <w:tcMar>
              <w:top w:w="36" w:type="dxa"/>
              <w:start w:w="80" w:type="dxa"/>
              <w:bottom w:w="36" w:type="dxa"/>
              <w:end w:w="80" w:type="dxa"/>
            </w:tcMar>
          </w:tcPr>
          <w:p>
            <w:pPr>
              <w:pStyle w:val="TabCellSm"/>
              <w:jc w:val="left"/>
            </w:pPr>
            <w:r>
              <w:rPr>
                <w:b/>
              </w:rPr>
              <w:t>illumination of a deep narrow corridor is essential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Radiographic marker and image intensifier</w:t>
            </w:r>
          </w:p>
        </w:tc>
        <w:tc>
          <w:tcPr>
            <w:tcW w:type="dxa" w:w="5868"/>
            <w:shd w:val="clear" w:color="auto" w:fill="F6F6F6"/>
            <w:vAlign w:val="top"/>
            <w:tcMar>
              <w:top w:w="36" w:type="dxa"/>
              <w:start w:w="80" w:type="dxa"/>
              <w:bottom w:w="36" w:type="dxa"/>
              <w:end w:w="80" w:type="dxa"/>
            </w:tcMar>
          </w:tcPr>
          <w:p>
            <w:pPr>
              <w:pStyle w:val="TabCellSm"/>
              <w:jc w:val="left"/>
            </w:pPr>
            <w:r>
              <w:rPr>
                <w:b/>
              </w:rPr>
              <w:t>confirms the correct spinal level — wrong-level surgery is a serious never-event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 DECOMPRESSION</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Kerrison rongeurs, up-biting, 2/3/4/5 mm, various angles</w:t>
            </w:r>
          </w:p>
        </w:tc>
        <w:tc>
          <w:tcPr>
            <w:tcW w:type="dxa" w:w="5868"/>
            <w:vAlign w:val="top"/>
            <w:tcMar>
              <w:top w:w="36" w:type="dxa"/>
              <w:start w:w="80" w:type="dxa"/>
              <w:bottom w:w="36" w:type="dxa"/>
              <w:end w:w="80" w:type="dxa"/>
            </w:tcMar>
          </w:tcPr>
          <w:p>
            <w:pPr>
              <w:pStyle w:val="TabCellSm"/>
              <w:jc w:val="left"/>
            </w:pPr>
            <w:r>
              <w:rPr>
                <w:b/>
              </w:rPr>
              <w:t>signature item</w:t>
            </w:r>
            <w:r>
              <w:t xml:space="preserve"> — the footplate slides between bone and dura and bites </w:t>
            </w:r>
            <w:r>
              <w:rPr>
                <w:b/>
              </w:rPr>
              <w:t>upward</w:t>
            </w:r>
            <w:r>
              <w:t>, so the cutting action is always away from neural tissue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Laminectomy / duckbill rongeur</w:t>
            </w:r>
          </w:p>
        </w:tc>
        <w:tc>
          <w:tcPr>
            <w:tcW w:type="dxa" w:w="5868"/>
            <w:shd w:val="clear" w:color="auto" w:fill="F6F6F6"/>
            <w:vAlign w:val="top"/>
            <w:tcMar>
              <w:top w:w="36" w:type="dxa"/>
              <w:start w:w="80" w:type="dxa"/>
              <w:bottom w:w="36" w:type="dxa"/>
              <w:end w:w="80" w:type="dxa"/>
            </w:tcMar>
          </w:tcPr>
          <w:p>
            <w:pPr>
              <w:pStyle w:val="TabCellSm"/>
              <w:jc w:val="left"/>
            </w:pPr>
            <w:r>
              <w:t>broad bite for removing the spinous process and lamina</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Bone curettes, angled and reverse-angled</w:t>
            </w:r>
          </w:p>
        </w:tc>
        <w:tc>
          <w:tcPr>
            <w:tcW w:type="dxa" w:w="5868"/>
            <w:vAlign w:val="top"/>
            <w:tcMar>
              <w:top w:w="36" w:type="dxa"/>
              <w:start w:w="80" w:type="dxa"/>
              <w:bottom w:w="36" w:type="dxa"/>
              <w:end w:w="80" w:type="dxa"/>
            </w:tcMar>
          </w:tcPr>
          <w:p>
            <w:pPr>
              <w:pStyle w:val="TabCellSm"/>
              <w:jc w:val="left"/>
            </w:pPr>
            <w:r>
              <w:t>removes ligament and cancellous bone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High-speed drill with fine burrs and a guard</w:t>
            </w:r>
          </w:p>
        </w:tc>
        <w:tc>
          <w:tcPr>
            <w:tcW w:type="dxa" w:w="5868"/>
            <w:shd w:val="clear" w:color="auto" w:fill="F6F6F6"/>
            <w:vAlign w:val="top"/>
            <w:tcMar>
              <w:top w:w="36" w:type="dxa"/>
              <w:start w:w="80" w:type="dxa"/>
              <w:bottom w:w="36" w:type="dxa"/>
              <w:end w:w="80" w:type="dxa"/>
            </w:tcMar>
          </w:tcPr>
          <w:p>
            <w:pPr>
              <w:pStyle w:val="TabCellSm"/>
              <w:jc w:val="left"/>
            </w:pPr>
            <w:r>
              <w:t>thins the lamina before rongeur removal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Osteotomes and chisels, fine</w:t>
            </w:r>
          </w:p>
        </w:tc>
        <w:tc>
          <w:tcPr>
            <w:tcW w:type="dxa" w:w="5868"/>
            <w:vAlign w:val="top"/>
            <w:tcMar>
              <w:top w:w="36" w:type="dxa"/>
              <w:start w:w="80" w:type="dxa"/>
              <w:bottom w:w="36" w:type="dxa"/>
              <w:end w:w="80" w:type="dxa"/>
            </w:tcMar>
          </w:tcPr>
          <w:p>
            <w:pPr>
              <w:pStyle w:val="TabCellSm"/>
              <w:jc w:val="left"/>
            </w:pPr>
            <w:r>
              <w:t>controlled removal of facet or osteophyte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Mallet, small</w:t>
            </w:r>
          </w:p>
        </w:tc>
        <w:tc>
          <w:tcPr>
            <w:tcW w:type="dxa" w:w="5868"/>
            <w:shd w:val="clear" w:color="auto" w:fill="F6F6F6"/>
            <w:vAlign w:val="top"/>
            <w:tcMar>
              <w:top w:w="36" w:type="dxa"/>
              <w:start w:w="80" w:type="dxa"/>
              <w:bottom w:w="36" w:type="dxa"/>
              <w:end w:w="80" w:type="dxa"/>
            </w:tcMar>
          </w:tcPr>
          <w:p>
            <w:pPr>
              <w:pStyle w:val="TabCellSm"/>
              <w:jc w:val="left"/>
            </w:pPr>
            <w:r>
              <w:t>light taps only; heavy blows transmit force to the cord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Ligamentum flavum elevator / dissector</w:t>
            </w:r>
          </w:p>
        </w:tc>
        <w:tc>
          <w:tcPr>
            <w:tcW w:type="dxa" w:w="5868"/>
            <w:vAlign w:val="top"/>
            <w:tcMar>
              <w:top w:w="36" w:type="dxa"/>
              <w:start w:w="80" w:type="dxa"/>
              <w:bottom w:w="36" w:type="dxa"/>
              <w:end w:w="80" w:type="dxa"/>
            </w:tcMar>
          </w:tcPr>
          <w:p>
            <w:pPr>
              <w:pStyle w:val="TabCellSm"/>
              <w:jc w:val="left"/>
            </w:pPr>
            <w:r>
              <w:t>separates ligament from dura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wax</w:t>
            </w:r>
          </w:p>
        </w:tc>
        <w:tc>
          <w:tcPr>
            <w:tcW w:type="dxa" w:w="5868"/>
            <w:shd w:val="clear" w:color="auto" w:fill="F6F6F6"/>
            <w:vAlign w:val="top"/>
            <w:tcMar>
              <w:top w:w="36" w:type="dxa"/>
              <w:start w:w="80" w:type="dxa"/>
              <w:bottom w:w="36" w:type="dxa"/>
              <w:end w:w="80" w:type="dxa"/>
            </w:tcMar>
          </w:tcPr>
          <w:p>
            <w:pPr>
              <w:pStyle w:val="TabCellSm"/>
              <w:jc w:val="left"/>
            </w:pPr>
            <w:r>
              <w:t>epidural venous and cancellous bone bleeding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Bone graft collector</w:t>
            </w:r>
          </w:p>
        </w:tc>
        <w:tc>
          <w:tcPr>
            <w:tcW w:type="dxa" w:w="5868"/>
            <w:vAlign w:val="top"/>
            <w:tcMar>
              <w:top w:w="36" w:type="dxa"/>
              <w:start w:w="80" w:type="dxa"/>
              <w:bottom w:w="36" w:type="dxa"/>
              <w:end w:w="80" w:type="dxa"/>
            </w:tcMar>
          </w:tcPr>
          <w:p>
            <w:pPr>
              <w:pStyle w:val="TabCellSm"/>
              <w:jc w:val="left"/>
            </w:pPr>
            <w:r>
              <w:t>local bone saved for fusion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NEURAL AND DISC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Nerve-root retractors (Love, Scoville)</w:t>
            </w:r>
          </w:p>
        </w:tc>
        <w:tc>
          <w:tcPr>
            <w:tcW w:type="dxa" w:w="5868"/>
            <w:vAlign w:val="top"/>
            <w:tcMar>
              <w:top w:w="36" w:type="dxa"/>
              <w:start w:w="80" w:type="dxa"/>
              <w:bottom w:w="36" w:type="dxa"/>
              <w:end w:w="80" w:type="dxa"/>
            </w:tcMar>
          </w:tcPr>
          <w:p>
            <w:pPr>
              <w:pStyle w:val="TabCellSm"/>
              <w:jc w:val="left"/>
            </w:pPr>
            <w:r>
              <w:rPr>
                <w:b/>
              </w:rPr>
              <w:t>signature item</w:t>
            </w:r>
            <w:r>
              <w:t xml:space="preserve"> — gently displaces and protects the root while the disc is removed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Dural / nerve-root hooks and Penfield dissectors</w:t>
            </w:r>
          </w:p>
        </w:tc>
        <w:tc>
          <w:tcPr>
            <w:tcW w:type="dxa" w:w="5868"/>
            <w:shd w:val="clear" w:color="auto" w:fill="F6F6F6"/>
            <w:vAlign w:val="top"/>
            <w:tcMar>
              <w:top w:w="36" w:type="dxa"/>
              <w:start w:w="80" w:type="dxa"/>
              <w:bottom w:w="36" w:type="dxa"/>
              <w:end w:w="80" w:type="dxa"/>
            </w:tcMar>
          </w:tcPr>
          <w:p>
            <w:pPr>
              <w:pStyle w:val="TabCellSm"/>
              <w:jc w:val="left"/>
            </w:pPr>
            <w:r>
              <w:t>frees dura and root from adhesions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Pituitary rongeurs, straight and up-angled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instrument used to remove disc material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Disc (Cushing) rongeurs and disc forceps</w:t>
            </w:r>
          </w:p>
        </w:tc>
        <w:tc>
          <w:tcPr>
            <w:tcW w:type="dxa" w:w="5868"/>
            <w:shd w:val="clear" w:color="auto" w:fill="F6F6F6"/>
            <w:vAlign w:val="top"/>
            <w:tcMar>
              <w:top w:w="36" w:type="dxa"/>
              <w:start w:w="80" w:type="dxa"/>
              <w:bottom w:w="36" w:type="dxa"/>
              <w:end w:w="80" w:type="dxa"/>
            </w:tcMar>
          </w:tcPr>
          <w:p>
            <w:pPr>
              <w:pStyle w:val="TabCellSm"/>
              <w:jc w:val="left"/>
            </w:pPr>
            <w:r>
              <w:t>grasp and extract disc material from the disc space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Ring curettes / disc curettes, angled</w:t>
            </w:r>
          </w:p>
        </w:tc>
        <w:tc>
          <w:tcPr>
            <w:tcW w:type="dxa" w:w="5868"/>
            <w:vAlign w:val="top"/>
            <w:tcMar>
              <w:top w:w="36" w:type="dxa"/>
              <w:start w:w="80" w:type="dxa"/>
              <w:bottom w:w="36" w:type="dxa"/>
              <w:end w:w="80" w:type="dxa"/>
            </w:tcMar>
          </w:tcPr>
          <w:p>
            <w:pPr>
              <w:pStyle w:val="TabCellSm"/>
              <w:jc w:val="left"/>
            </w:pPr>
            <w:r>
              <w:t>clears the disc space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Annulotomy knife / No.11 blade on a long handle</w:t>
            </w:r>
          </w:p>
        </w:tc>
        <w:tc>
          <w:tcPr>
            <w:tcW w:type="dxa" w:w="5868"/>
            <w:shd w:val="clear" w:color="auto" w:fill="F6F6F6"/>
            <w:vAlign w:val="top"/>
            <w:tcMar>
              <w:top w:w="36" w:type="dxa"/>
              <w:start w:w="80" w:type="dxa"/>
              <w:bottom w:w="36" w:type="dxa"/>
              <w:end w:w="80" w:type="dxa"/>
            </w:tcMar>
          </w:tcPr>
          <w:p>
            <w:pPr>
              <w:pStyle w:val="TabCellSm"/>
              <w:jc w:val="left"/>
            </w:pPr>
            <w:r>
              <w:t>incises the annulus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Micro-dissectors and micro-curettes</w:t>
            </w:r>
          </w:p>
        </w:tc>
        <w:tc>
          <w:tcPr>
            <w:tcW w:type="dxa" w:w="5868"/>
            <w:vAlign w:val="top"/>
            <w:tcMar>
              <w:top w:w="36" w:type="dxa"/>
              <w:start w:w="80" w:type="dxa"/>
              <w:bottom w:w="36" w:type="dxa"/>
              <w:end w:w="80" w:type="dxa"/>
            </w:tcMar>
          </w:tcPr>
          <w:p>
            <w:pPr>
              <w:pStyle w:val="TabCellSm"/>
              <w:jc w:val="left"/>
            </w:pPr>
            <w:r>
              <w:t>separate dura and root from adhesions under magnification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Nerve hook, blunt, fine</w:t>
            </w:r>
          </w:p>
        </w:tc>
        <w:tc>
          <w:tcPr>
            <w:tcW w:type="dxa" w:w="5868"/>
            <w:shd w:val="clear" w:color="auto" w:fill="F6F6F6"/>
            <w:vAlign w:val="top"/>
            <w:tcMar>
              <w:top w:w="36" w:type="dxa"/>
              <w:start w:w="80" w:type="dxa"/>
              <w:bottom w:w="36" w:type="dxa"/>
              <w:end w:w="80" w:type="dxa"/>
            </w:tcMar>
          </w:tcPr>
          <w:p>
            <w:pPr>
              <w:pStyle w:val="TabCellSm"/>
              <w:jc w:val="left"/>
            </w:pPr>
            <w:r>
              <w:t>palpates the root and confirms the foramen is decompressed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Epidural probe / Woodson elevator</w:t>
            </w:r>
          </w:p>
        </w:tc>
        <w:tc>
          <w:tcPr>
            <w:tcW w:type="dxa" w:w="5868"/>
            <w:vAlign w:val="top"/>
            <w:tcMar>
              <w:top w:w="36" w:type="dxa"/>
              <w:start w:w="80" w:type="dxa"/>
              <w:bottom w:w="36" w:type="dxa"/>
              <w:end w:w="80" w:type="dxa"/>
            </w:tcMar>
          </w:tcPr>
          <w:p>
            <w:pPr>
              <w:pStyle w:val="TabCellSm"/>
              <w:jc w:val="left"/>
            </w:pPr>
            <w:r>
              <w:t>explores the epidural space and lifts ligament off dura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or loupes</w:t>
            </w:r>
          </w:p>
        </w:tc>
        <w:tc>
          <w:tcPr>
            <w:tcW w:type="dxa" w:w="5868"/>
            <w:shd w:val="clear" w:color="auto" w:fill="F6F6F6"/>
            <w:vAlign w:val="top"/>
            <w:tcMar>
              <w:top w:w="36" w:type="dxa"/>
              <w:start w:w="80" w:type="dxa"/>
              <w:bottom w:w="36" w:type="dxa"/>
              <w:end w:w="80" w:type="dxa"/>
            </w:tcMar>
          </w:tcPr>
          <w:p>
            <w:pPr>
              <w:pStyle w:val="TabCellSm"/>
              <w:jc w:val="left"/>
            </w:pPr>
            <w:r>
              <w:t>microdiscectomy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diathermy with fine tips</w:t>
            </w:r>
          </w:p>
        </w:tc>
        <w:tc>
          <w:tcPr>
            <w:tcW w:type="dxa" w:w="5868"/>
            <w:vAlign w:val="top"/>
            <w:tcMar>
              <w:top w:w="36" w:type="dxa"/>
              <w:start w:w="80" w:type="dxa"/>
              <w:bottom w:w="36" w:type="dxa"/>
              <w:end w:w="80" w:type="dxa"/>
            </w:tcMar>
          </w:tcPr>
          <w:p>
            <w:pPr>
              <w:pStyle w:val="TabCellSm"/>
              <w:jc w:val="left"/>
            </w:pPr>
            <w:r>
              <w:rPr>
                <w:b/>
              </w:rPr>
              <w:t>never monopolar near the dura or root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Cottonoid patties on radio-opaque strings</w:t>
            </w:r>
          </w:p>
        </w:tc>
        <w:tc>
          <w:tcPr>
            <w:tcW w:type="dxa" w:w="5868"/>
            <w:shd w:val="clear" w:color="auto" w:fill="F6F6F6"/>
            <w:vAlign w:val="top"/>
            <w:tcMar>
              <w:top w:w="36" w:type="dxa"/>
              <w:start w:w="80" w:type="dxa"/>
              <w:bottom w:w="36" w:type="dxa"/>
              <w:end w:w="80" w:type="dxa"/>
            </w:tcMar>
          </w:tcPr>
          <w:p>
            <w:pPr>
              <w:pStyle w:val="TabCellSm"/>
              <w:jc w:val="left"/>
            </w:pPr>
            <w:r>
              <w:t xml:space="preserve">gentle pressure and neural protection; </w:t>
            </w:r>
            <w:r>
              <w:rPr>
                <w:b/>
              </w:rPr>
              <w:t>counted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 oxidised cellulose, gelatin sponge, thrombin</w:t>
            </w:r>
          </w:p>
        </w:tc>
        <w:tc>
          <w:tcPr>
            <w:tcW w:type="dxa" w:w="5868"/>
            <w:vAlign w:val="top"/>
            <w:tcMar>
              <w:top w:w="36" w:type="dxa"/>
              <w:start w:w="80" w:type="dxa"/>
              <w:bottom w:w="36" w:type="dxa"/>
              <w:end w:w="80" w:type="dxa"/>
            </w:tcMar>
          </w:tcPr>
          <w:p>
            <w:pPr>
              <w:pStyle w:val="TabCellSm"/>
              <w:jc w:val="left"/>
            </w:pPr>
            <w:r>
              <w:t>epidural venous plexus bleeding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Frazier suction tips, fine, with thumb vent</w:t>
            </w:r>
          </w:p>
        </w:tc>
        <w:tc>
          <w:tcPr>
            <w:tcW w:type="dxa" w:w="5868"/>
            <w:shd w:val="clear" w:color="auto" w:fill="F6F6F6"/>
            <w:vAlign w:val="top"/>
            <w:tcMar>
              <w:top w:w="36" w:type="dxa"/>
              <w:start w:w="80" w:type="dxa"/>
              <w:bottom w:w="36" w:type="dxa"/>
              <w:end w:w="80" w:type="dxa"/>
            </w:tcMar>
          </w:tcPr>
          <w:p>
            <w:pPr>
              <w:pStyle w:val="TabCellSm"/>
              <w:jc w:val="left"/>
            </w:pPr>
            <w:r>
              <w:t>controlled suction near the dura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saline irrigation</w:t>
            </w:r>
          </w:p>
        </w:tc>
        <w:tc>
          <w:tcPr>
            <w:tcW w:type="dxa" w:w="5868"/>
            <w:vAlign w:val="top"/>
            <w:tcMar>
              <w:top w:w="36" w:type="dxa"/>
              <w:start w:w="80" w:type="dxa"/>
              <w:bottom w:w="36" w:type="dxa"/>
              <w:end w:w="80" w:type="dxa"/>
            </w:tcMar>
          </w:tcPr>
          <w:p>
            <w:pPr>
              <w:pStyle w:val="TabCellSm"/>
              <w:jc w:val="left"/>
            </w:pPr>
            <w:r>
              <w:t>cools the burr and clears bone dust from the canal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available</w:t>
            </w:r>
          </w:p>
        </w:tc>
        <w:tc>
          <w:tcPr>
            <w:tcW w:type="dxa" w:w="5868"/>
            <w:shd w:val="clear" w:color="auto" w:fill="F6F6F6"/>
            <w:vAlign w:val="top"/>
            <w:tcMar>
              <w:top w:w="36" w:type="dxa"/>
              <w:start w:w="80" w:type="dxa"/>
              <w:bottom w:w="36" w:type="dxa"/>
              <w:end w:w="80" w:type="dxa"/>
            </w:tcMar>
          </w:tcPr>
          <w:p>
            <w:pPr>
              <w:pStyle w:val="TabCellSm"/>
              <w:jc w:val="left"/>
            </w:pPr>
            <w:r>
              <w:t>the epidural venous plexus can bleed briskly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FUSION AND INSTRUMENTATION (IF PERFORMED)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Pedicle screws, rods, connectors and locking caps</w:t>
            </w:r>
          </w:p>
        </w:tc>
        <w:tc>
          <w:tcPr>
            <w:tcW w:type="dxa" w:w="5868"/>
            <w:vAlign w:val="top"/>
            <w:tcMar>
              <w:top w:w="36" w:type="dxa"/>
              <w:start w:w="80" w:type="dxa"/>
              <w:bottom w:w="36" w:type="dxa"/>
              <w:end w:w="80" w:type="dxa"/>
            </w:tcMar>
          </w:tcPr>
          <w:p>
            <w:pPr>
              <w:pStyle w:val="TabCellSm"/>
              <w:jc w:val="left"/>
            </w:pPr>
            <w:r>
              <w:t>with the manufacturer's instrument set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Pedicle awl, probe, sounder and tap</w:t>
            </w:r>
          </w:p>
        </w:tc>
        <w:tc>
          <w:tcPr>
            <w:tcW w:type="dxa" w:w="5868"/>
            <w:shd w:val="clear" w:color="auto" w:fill="F6F6F6"/>
            <w:vAlign w:val="top"/>
            <w:tcMar>
              <w:top w:w="36" w:type="dxa"/>
              <w:start w:w="80" w:type="dxa"/>
              <w:bottom w:w="36" w:type="dxa"/>
              <w:end w:w="80" w:type="dxa"/>
            </w:tcMar>
          </w:tcPr>
          <w:p>
            <w:pPr>
              <w:pStyle w:val="TabCellSm"/>
              <w:jc w:val="left"/>
            </w:pPr>
            <w:r>
              <w:t>create and confirm an intraosseous screw track without breaching the cortex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Screwdriver, rod bender, rod holder, persuader and counter-torque</w:t>
            </w:r>
          </w:p>
        </w:tc>
        <w:tc>
          <w:tcPr>
            <w:tcW w:type="dxa" w:w="5868"/>
            <w:vAlign w:val="top"/>
            <w:tcMar>
              <w:top w:w="36" w:type="dxa"/>
              <w:start w:w="80" w:type="dxa"/>
              <w:bottom w:w="36" w:type="dxa"/>
              <w:end w:w="80" w:type="dxa"/>
            </w:tcMar>
          </w:tcPr>
          <w:p>
            <w:pPr>
              <w:pStyle w:val="TabCellSm"/>
              <w:jc w:val="left"/>
            </w:pPr>
            <w:r>
              <w:t>contour the rod and seat it without transmitting torque to the spine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Interbody cages (PLIF / TLIF) with inserters and trials</w:t>
            </w:r>
          </w:p>
        </w:tc>
        <w:tc>
          <w:tcPr>
            <w:tcW w:type="dxa" w:w="5868"/>
            <w:shd w:val="clear" w:color="auto" w:fill="F6F6F6"/>
            <w:vAlign w:val="top"/>
            <w:tcMar>
              <w:top w:w="36" w:type="dxa"/>
              <w:start w:w="80" w:type="dxa"/>
              <w:bottom w:w="36" w:type="dxa"/>
              <w:end w:w="80" w:type="dxa"/>
            </w:tcMar>
          </w:tcPr>
          <w:p>
            <w:pPr>
              <w:pStyle w:val="TabCellSm"/>
              <w:jc w:val="left"/>
            </w:pPr>
            <w:r>
              <w:t>restore disc height and provide anterior column support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graft — local autograft, iliac crest, allograft or substitute</w:t>
            </w:r>
          </w:p>
        </w:tc>
        <w:tc>
          <w:tcPr>
            <w:tcW w:type="dxa" w:w="5868"/>
            <w:vAlign w:val="top"/>
            <w:tcMar>
              <w:top w:w="36" w:type="dxa"/>
              <w:start w:w="80" w:type="dxa"/>
              <w:bottom w:w="36" w:type="dxa"/>
              <w:end w:w="80" w:type="dxa"/>
            </w:tcMar>
          </w:tcPr>
          <w:p>
            <w:pPr>
              <w:pStyle w:val="TabCellSm"/>
              <w:jc w:val="left"/>
            </w:pPr>
            <w:r>
              <w:t>provides the biology for fusion; local bone is collected during decompression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Cage / graft impactor and distractor</w:t>
            </w:r>
          </w:p>
        </w:tc>
        <w:tc>
          <w:tcPr>
            <w:tcW w:type="dxa" w:w="5868"/>
            <w:shd w:val="clear" w:color="auto" w:fill="F6F6F6"/>
            <w:vAlign w:val="top"/>
            <w:tcMar>
              <w:top w:w="36" w:type="dxa"/>
              <w:start w:w="80" w:type="dxa"/>
              <w:bottom w:w="36" w:type="dxa"/>
              <w:end w:w="80" w:type="dxa"/>
            </w:tcMar>
          </w:tcPr>
          <w:p>
            <w:pPr>
              <w:pStyle w:val="TabCellSm"/>
              <w:jc w:val="left"/>
            </w:pPr>
            <w:r>
              <w:t>distracts the disc space and seats the cage centrally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Neuromonitoring — evoked potentials and EMG</w:t>
            </w:r>
          </w:p>
        </w:tc>
        <w:tc>
          <w:tcPr>
            <w:tcW w:type="dxa" w:w="5868"/>
            <w:vAlign w:val="top"/>
            <w:tcMar>
              <w:top w:w="36" w:type="dxa"/>
              <w:start w:w="80" w:type="dxa"/>
              <w:bottom w:w="36" w:type="dxa"/>
              <w:end w:w="80" w:type="dxa"/>
            </w:tcMar>
          </w:tcPr>
          <w:p>
            <w:pPr>
              <w:pStyle w:val="TabCellSm"/>
              <w:jc w:val="left"/>
            </w:pPr>
            <w:r>
              <w:t>detects impending cord or root injury during instrumentation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 / navigation</w:t>
            </w:r>
          </w:p>
        </w:tc>
        <w:tc>
          <w:tcPr>
            <w:tcW w:type="dxa" w:w="5868"/>
            <w:shd w:val="clear" w:color="auto" w:fill="F6F6F6"/>
            <w:vAlign w:val="top"/>
            <w:tcMar>
              <w:top w:w="36" w:type="dxa"/>
              <w:start w:w="80" w:type="dxa"/>
              <w:bottom w:w="36" w:type="dxa"/>
              <w:end w:w="80" w:type="dxa"/>
            </w:tcMar>
          </w:tcPr>
          <w:p>
            <w:pPr>
              <w:pStyle w:val="TabCellSm"/>
              <w:jc w:val="left"/>
            </w:pPr>
            <w:r>
              <w:t>screw placement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repair suture 5-0/6-0 and dural sealant</w:t>
            </w:r>
          </w:p>
        </w:tc>
        <w:tc>
          <w:tcPr>
            <w:tcW w:type="dxa" w:w="5868"/>
            <w:vAlign w:val="top"/>
            <w:tcMar>
              <w:top w:w="36" w:type="dxa"/>
              <w:start w:w="80" w:type="dxa"/>
              <w:bottom w:w="36" w:type="dxa"/>
              <w:end w:w="80" w:type="dxa"/>
            </w:tcMar>
          </w:tcPr>
          <w:p>
            <w:pPr>
              <w:pStyle w:val="TabCellSm"/>
              <w:jc w:val="left"/>
            </w:pPr>
            <w:r>
              <w:t>if the dura is breached — prevents CSF leak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Fat or fascial graft</w:t>
            </w:r>
          </w:p>
        </w:tc>
        <w:tc>
          <w:tcPr>
            <w:tcW w:type="dxa" w:w="5868"/>
            <w:shd w:val="clear" w:color="auto" w:fill="F6F6F6"/>
            <w:vAlign w:val="top"/>
            <w:tcMar>
              <w:top w:w="36" w:type="dxa"/>
              <w:start w:w="80" w:type="dxa"/>
              <w:bottom w:w="36" w:type="dxa"/>
              <w:end w:w="80" w:type="dxa"/>
            </w:tcMar>
          </w:tcPr>
          <w:p>
            <w:pPr>
              <w:pStyle w:val="TabCellSm"/>
              <w:jc w:val="left"/>
            </w:pPr>
            <w:r>
              <w:t>dural patch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to fascia and muscle</w:t>
            </w:r>
          </w:p>
        </w:tc>
        <w:tc>
          <w:tcPr>
            <w:tcW w:type="dxa" w:w="5868"/>
            <w:vAlign w:val="top"/>
            <w:tcMar>
              <w:top w:w="36" w:type="dxa"/>
              <w:start w:w="80" w:type="dxa"/>
              <w:bottom w:w="36" w:type="dxa"/>
              <w:end w:w="80" w:type="dxa"/>
            </w:tcMar>
          </w:tcPr>
          <w:p>
            <w:pPr>
              <w:pStyle w:val="TabCellSm"/>
              <w:jc w:val="left"/>
            </w:pPr>
            <w:r>
              <w:rPr>
                <w:b/>
              </w:rPr>
              <w:t>meticulous fascial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Subcutaneous suture and skin staples/suture</w:t>
            </w:r>
          </w:p>
        </w:tc>
        <w:tc>
          <w:tcPr>
            <w:tcW w:type="dxa" w:w="5868"/>
            <w:shd w:val="clear" w:color="auto" w:fill="F6F6F6"/>
            <w:vAlign w:val="top"/>
            <w:tcMar>
              <w:top w:w="36" w:type="dxa"/>
              <w:start w:w="80" w:type="dxa"/>
              <w:bottom w:w="36" w:type="dxa"/>
              <w:end w:w="80" w:type="dxa"/>
            </w:tcMar>
          </w:tcPr>
          <w:p>
            <w:pPr>
              <w:pStyle w:val="TabCellSm"/>
              <w:jc w:val="left"/>
            </w:pPr>
            <w:r>
              <w:t>layered closure over a drain; a deep dehiscence risks discitis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deep to the fascia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disc material, bone and tissue for histology and culture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Prone</w:t>
      </w:r>
      <w:r>
        <w:t xml:space="preserve"> on a spinal frame or bolsters (Wilson frame, Montreal mattress), with the abdomen free to reduce epidural venous engorgement; or the </w:t>
      </w:r>
      <w:r>
        <w:rPr>
          <w:b/>
        </w:rPr>
        <w:t>knee-chest / kneeling</w:t>
      </w:r>
      <w:r>
        <w:t xml:space="preserve"> position. The </w:t>
      </w:r>
      <w:r>
        <w:rPr>
          <w:b/>
        </w:rPr>
        <w:t>eyes, face, breasts, genitalia and bony prominences must be protected and checked</w:t>
      </w:r>
      <w:r>
        <w:t>, and the arms positioned to avoid brachial plexus traction.</w:t>
      </w:r>
    </w:p>
    <w:p>
      <w:pPr>
        <w:pStyle w:val="BoxBody"/>
        <w:ind w:start="170"/>
      </w:pPr>
      <w:r>
        <w:rPr>
          <w:b/>
        </w:rPr>
        <w:t>Level confirmation</w:t>
      </w:r>
      <w:r>
        <w:t xml:space="preserve"> — </w:t>
      </w:r>
      <w:r>
        <w:rPr>
          <w:b/>
        </w:rPr>
        <w:t>The spinal level must be confirmed radiologically before bone is removed.</w:t>
      </w:r>
      <w:r>
        <w:t xml:space="preserve"> Operating at the wrong level is a recognised never-event; a marker needle and image intensifier are used.</w:t>
      </w:r>
    </w:p>
    <w:p>
      <w:pPr>
        <w:pStyle w:val="BoxBody"/>
        <w:ind w:start="170"/>
      </w:pPr>
      <w:r>
        <w:rPr>
          <w:b/>
        </w:rPr>
        <w:t>Complications</w:t>
      </w:r>
      <w:r>
        <w:t xml:space="preserve"> — Dural tear with CSF leak, nerve-root or cord injury, epidural haematoma causing acute compression, discitis and wound infection, recurrent disc prolapse, instability requiring fusion, vascular injury anterior to the disc, and </w:t>
      </w:r>
      <w:r>
        <w:rPr>
          <w:b/>
        </w:rPr>
        <w:t>wrong-level surgery</w:t>
      </w:r>
      <w:r>
        <w:t>.</w:t>
      </w:r>
    </w:p>
    <w:p>
      <w:pPr>
        <w:pStyle w:val="BoxBody"/>
        <w:ind w:start="170"/>
      </w:pPr>
      <w:r>
        <w:rPr>
          <w:b/>
        </w:rPr>
        <w:t>Prone-position hazards</w:t>
      </w:r>
      <w:r>
        <w:t xml:space="preserve"> — Post-operative visual loss from ocular pressure, pressure necrosis, brachial plexus injury and venous air embolism.</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t>Feature</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Craniotomy tray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Laminectomy tray</w:t>
            </w:r>
          </w:p>
        </w:tc>
      </w:tr>
      <w:tr>
        <w:tc>
          <w:tcPr>
            <w:tcW w:type="dxa" w:w="3600"/>
            <w:vAlign w:val="top"/>
            <w:tcMar>
              <w:top w:w="36" w:type="dxa"/>
              <w:start w:w="80" w:type="dxa"/>
              <w:bottom w:w="36" w:type="dxa"/>
              <w:end w:w="80" w:type="dxa"/>
            </w:tcMar>
          </w:tcPr>
          <w:p>
            <w:pPr>
              <w:pStyle w:val="TabCell"/>
            </w:pPr>
            <w:r>
              <w:rPr>
                <w:b/>
              </w:rPr>
              <w:t>Bone opened</w:t>
            </w:r>
          </w:p>
        </w:tc>
        <w:tc>
          <w:tcPr>
            <w:tcW w:type="dxa" w:w="3600"/>
            <w:vAlign w:val="top"/>
            <w:tcMar>
              <w:top w:w="36" w:type="dxa"/>
              <w:start w:w="80" w:type="dxa"/>
              <w:bottom w:w="36" w:type="dxa"/>
              <w:end w:w="80" w:type="dxa"/>
            </w:tcMar>
          </w:tcPr>
          <w:p>
            <w:pPr>
              <w:pStyle w:val="TabCell"/>
            </w:pPr>
            <w:r>
              <w:t>Skull — flap raised and replaced</w:t>
            </w:r>
          </w:p>
        </w:tc>
        <w:tc>
          <w:tcPr>
            <w:tcW w:type="dxa" w:w="3600"/>
            <w:vAlign w:val="top"/>
            <w:tcMar>
              <w:top w:w="36" w:type="dxa"/>
              <w:start w:w="80" w:type="dxa"/>
              <w:bottom w:w="36" w:type="dxa"/>
              <w:end w:w="80" w:type="dxa"/>
            </w:tcMar>
          </w:tcPr>
          <w:p>
            <w:pPr>
              <w:pStyle w:val="TabCell"/>
            </w:pPr>
            <w:r>
              <w:t>Lamina — removed, usually not replaced</w:t>
            </w:r>
          </w:p>
        </w:tc>
      </w:tr>
      <w:tr>
        <w:tc>
          <w:tcPr>
            <w:tcW w:type="dxa" w:w="3600"/>
            <w:shd w:val="clear" w:color="auto" w:fill="F6F6F6"/>
            <w:vAlign w:val="top"/>
            <w:tcMar>
              <w:top w:w="36" w:type="dxa"/>
              <w:start w:w="80" w:type="dxa"/>
              <w:bottom w:w="36" w:type="dxa"/>
              <w:end w:w="80" w:type="dxa"/>
            </w:tcMar>
          </w:tcPr>
          <w:p>
            <w:pPr>
              <w:pStyle w:val="TabCell"/>
            </w:pPr>
            <w:r>
              <w:rPr>
                <w:b/>
              </w:rPr>
              <w:t>Key bone instrument</w:t>
            </w:r>
          </w:p>
        </w:tc>
        <w:tc>
          <w:tcPr>
            <w:tcW w:type="dxa" w:w="3600"/>
            <w:shd w:val="clear" w:color="auto" w:fill="F6F6F6"/>
            <w:vAlign w:val="top"/>
            <w:tcMar>
              <w:top w:w="36" w:type="dxa"/>
              <w:start w:w="80" w:type="dxa"/>
              <w:bottom w:w="36" w:type="dxa"/>
              <w:end w:w="80" w:type="dxa"/>
            </w:tcMar>
          </w:tcPr>
          <w:p>
            <w:pPr>
              <w:pStyle w:val="TabCell"/>
            </w:pPr>
            <w:r>
              <w:t>Perforator + craniotome with dura guard</w:t>
            </w:r>
          </w:p>
        </w:tc>
        <w:tc>
          <w:tcPr>
            <w:tcW w:type="dxa" w:w="3600"/>
            <w:shd w:val="clear" w:color="auto" w:fill="F6F6F6"/>
            <w:vAlign w:val="top"/>
            <w:tcMar>
              <w:top w:w="36" w:type="dxa"/>
              <w:start w:w="80" w:type="dxa"/>
              <w:bottom w:w="36" w:type="dxa"/>
              <w:end w:w="80" w:type="dxa"/>
            </w:tcMar>
          </w:tcPr>
          <w:p>
            <w:pPr>
              <w:pStyle w:val="TabCell"/>
            </w:pPr>
            <w:r>
              <w:rPr>
                <w:b/>
              </w:rPr>
              <w:t>Up-biting Kerrison rongeur</w:t>
            </w:r>
          </w:p>
        </w:tc>
      </w:tr>
      <w:tr>
        <w:tc>
          <w:tcPr>
            <w:tcW w:type="dxa" w:w="3600"/>
            <w:vAlign w:val="top"/>
            <w:tcMar>
              <w:top w:w="36" w:type="dxa"/>
              <w:start w:w="80" w:type="dxa"/>
              <w:bottom w:w="36" w:type="dxa"/>
              <w:end w:w="80" w:type="dxa"/>
            </w:tcMar>
          </w:tcPr>
          <w:p>
            <w:pPr>
              <w:pStyle w:val="TabCell"/>
            </w:pPr>
            <w:r>
              <w:rPr>
                <w:b/>
              </w:rPr>
              <w:t>Key retractor</w:t>
            </w:r>
          </w:p>
        </w:tc>
        <w:tc>
          <w:tcPr>
            <w:tcW w:type="dxa" w:w="3600"/>
            <w:vAlign w:val="top"/>
            <w:tcMar>
              <w:top w:w="36" w:type="dxa"/>
              <w:start w:w="80" w:type="dxa"/>
              <w:bottom w:w="36" w:type="dxa"/>
              <w:end w:w="80" w:type="dxa"/>
            </w:tcMar>
          </w:tcPr>
          <w:p>
            <w:pPr>
              <w:pStyle w:val="TabCell"/>
            </w:pPr>
            <w:r>
              <w:t>Cushing brain retractor / malleable spatula</w:t>
            </w:r>
          </w:p>
        </w:tc>
        <w:tc>
          <w:tcPr>
            <w:tcW w:type="dxa" w:w="3600"/>
            <w:vAlign w:val="top"/>
            <w:tcMar>
              <w:top w:w="36" w:type="dxa"/>
              <w:start w:w="80" w:type="dxa"/>
              <w:bottom w:w="36" w:type="dxa"/>
              <w:end w:w="80" w:type="dxa"/>
            </w:tcMar>
          </w:tcPr>
          <w:p>
            <w:pPr>
              <w:pStyle w:val="TabCell"/>
            </w:pPr>
            <w:r>
              <w:rPr>
                <w:b/>
              </w:rPr>
              <w:t>Nerve-root retractor (Love, Scoville)</w:t>
            </w:r>
          </w:p>
        </w:tc>
      </w:tr>
      <w:tr>
        <w:tc>
          <w:tcPr>
            <w:tcW w:type="dxa" w:w="3600"/>
            <w:shd w:val="clear" w:color="auto" w:fill="F6F6F6"/>
            <w:vAlign w:val="top"/>
            <w:tcMar>
              <w:top w:w="36" w:type="dxa"/>
              <w:start w:w="80" w:type="dxa"/>
              <w:bottom w:w="36" w:type="dxa"/>
              <w:end w:w="80" w:type="dxa"/>
            </w:tcMar>
          </w:tcPr>
          <w:p>
            <w:pPr>
              <w:pStyle w:val="TabCell"/>
            </w:pPr>
            <w:r>
              <w:rPr>
                <w:b/>
              </w:rPr>
              <w:t>Tissue-removal instrument</w:t>
            </w:r>
          </w:p>
        </w:tc>
        <w:tc>
          <w:tcPr>
            <w:tcW w:type="dxa" w:w="3600"/>
            <w:shd w:val="clear" w:color="auto" w:fill="F6F6F6"/>
            <w:vAlign w:val="top"/>
            <w:tcMar>
              <w:top w:w="36" w:type="dxa"/>
              <w:start w:w="80" w:type="dxa"/>
              <w:bottom w:w="36" w:type="dxa"/>
              <w:end w:w="80" w:type="dxa"/>
            </w:tcMar>
          </w:tcPr>
          <w:p>
            <w:pPr>
              <w:pStyle w:val="TabCell"/>
            </w:pPr>
            <w:r>
              <w:t>Tumour forceps, CUSA</w:t>
            </w:r>
          </w:p>
        </w:tc>
        <w:tc>
          <w:tcPr>
            <w:tcW w:type="dxa" w:w="3600"/>
            <w:shd w:val="clear" w:color="auto" w:fill="F6F6F6"/>
            <w:vAlign w:val="top"/>
            <w:tcMar>
              <w:top w:w="36" w:type="dxa"/>
              <w:start w:w="80" w:type="dxa"/>
              <w:bottom w:w="36" w:type="dxa"/>
              <w:end w:w="80" w:type="dxa"/>
            </w:tcMar>
          </w:tcPr>
          <w:p>
            <w:pPr>
              <w:pStyle w:val="TabCell"/>
            </w:pPr>
            <w:r>
              <w:rPr>
                <w:b/>
              </w:rPr>
              <w:t>Pituitary and disc rongeurs</w:t>
            </w:r>
          </w:p>
        </w:tc>
      </w:tr>
      <w:tr>
        <w:tc>
          <w:tcPr>
            <w:tcW w:type="dxa" w:w="3600"/>
            <w:vAlign w:val="top"/>
            <w:tcMar>
              <w:top w:w="36" w:type="dxa"/>
              <w:start w:w="80" w:type="dxa"/>
              <w:bottom w:w="36" w:type="dxa"/>
              <w:end w:w="80" w:type="dxa"/>
            </w:tcMar>
          </w:tcPr>
          <w:p>
            <w:pPr>
              <w:pStyle w:val="TabCell"/>
            </w:pPr>
            <w:r>
              <w:rPr>
                <w:b/>
              </w:rPr>
              <w:t>Position</w:t>
            </w:r>
          </w:p>
        </w:tc>
        <w:tc>
          <w:tcPr>
            <w:tcW w:type="dxa" w:w="3600"/>
            <w:vAlign w:val="top"/>
            <w:tcMar>
              <w:top w:w="36" w:type="dxa"/>
              <w:start w:w="80" w:type="dxa"/>
              <w:bottom w:w="36" w:type="dxa"/>
              <w:end w:w="80" w:type="dxa"/>
            </w:tcMar>
          </w:tcPr>
          <w:p>
            <w:pPr>
              <w:pStyle w:val="TabCell"/>
            </w:pPr>
            <w:r>
              <w:t>Supine/lateral/prone/sitting, Mayfield clamp</w:t>
            </w:r>
          </w:p>
        </w:tc>
        <w:tc>
          <w:tcPr>
            <w:tcW w:type="dxa" w:w="3600"/>
            <w:vAlign w:val="top"/>
            <w:tcMar>
              <w:top w:w="36" w:type="dxa"/>
              <w:start w:w="80" w:type="dxa"/>
              <w:bottom w:w="36" w:type="dxa"/>
              <w:end w:w="80" w:type="dxa"/>
            </w:tcMar>
          </w:tcPr>
          <w:p>
            <w:pPr>
              <w:pStyle w:val="TabCell"/>
            </w:pPr>
            <w:r>
              <w:rPr>
                <w:b/>
              </w:rPr>
              <w:t>Prone on a spinal frame</w:t>
            </w:r>
          </w:p>
        </w:tc>
      </w:tr>
      <w:tr>
        <w:tc>
          <w:tcPr>
            <w:tcW w:type="dxa" w:w="3600"/>
            <w:shd w:val="clear" w:color="auto" w:fill="F6F6F6"/>
            <w:vAlign w:val="top"/>
            <w:tcMar>
              <w:top w:w="36" w:type="dxa"/>
              <w:start w:w="80" w:type="dxa"/>
              <w:bottom w:w="36" w:type="dxa"/>
              <w:end w:w="80" w:type="dxa"/>
            </w:tcMar>
          </w:tcPr>
          <w:p>
            <w:pPr>
              <w:pStyle w:val="TabCell"/>
            </w:pPr>
            <w:r>
              <w:rPr>
                <w:b/>
              </w:rPr>
              <w:t>Shared essentials</w:t>
            </w:r>
          </w:p>
        </w:tc>
        <w:tc>
          <w:tcPr>
            <w:tcW w:type="dxa" w:w="3600"/>
            <w:shd w:val="clear" w:color="auto" w:fill="F6F6F6"/>
            <w:vAlign w:val="top"/>
            <w:tcMar>
              <w:top w:w="36" w:type="dxa"/>
              <w:start w:w="80" w:type="dxa"/>
              <w:bottom w:w="36" w:type="dxa"/>
              <w:end w:w="80" w:type="dxa"/>
            </w:tcMar>
          </w:tcPr>
          <w:p>
            <w:pPr>
              <w:pStyle w:val="TabCell"/>
            </w:pPr>
            <w:r>
              <w:t>Bipolar, cottonoids, vented Frazier suction, bone wax, microscope</w:t>
            </w:r>
          </w:p>
        </w:tc>
        <w:tc>
          <w:tcPr>
            <w:tcW w:type="dxa" w:w="3600"/>
            <w:shd w:val="clear" w:color="auto" w:fill="F6F6F6"/>
            <w:vAlign w:val="top"/>
            <w:tcMar>
              <w:top w:w="36" w:type="dxa"/>
              <w:start w:w="80" w:type="dxa"/>
              <w:bottom w:w="36" w:type="dxa"/>
              <w:end w:w="80" w:type="dxa"/>
            </w:tcMar>
          </w:tcPr>
          <w:p>
            <w:pPr>
              <w:pStyle w:val="TabCell"/>
            </w:pPr>
            <w:r>
              <w:t>Bipolar, cottonoids, vented Frazier suction, bone wax, microscope</w:t>
            </w:r>
          </w:p>
        </w:tc>
      </w:tr>
    </w:tbl>
    <w:p>
      <w:pPr>
        <w:spacing w:before="0" w:after="160" w:line="240" w:lineRule="auto"/>
      </w:pPr>
    </w:p>
    <w:p>
      <w:pPr>
        <w:pStyle w:val="FigCaption"/>
        <w:jc w:val="center"/>
      </w:pPr>
      <w:r>
        <w:t>Table 7.1 — The two neurosurgical trays compared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up-biting Kerrison rongeur</w:t>
            </w:r>
            <w:r>
              <w:t xml:space="preserve"> is the single most important instrument — explain the footplate and the upward bite.</w:t>
            </w:r>
          </w:p>
          <w:p>
            <w:pPr>
              <w:pStyle w:val="BoxBody"/>
              <w:spacing w:before="20" w:after="40"/>
              <w:ind w:start="204" w:hanging="204"/>
            </w:pPr>
            <w:r>
              <w:rPr>
                <w:rFonts w:ascii="Calibri" w:hAnsi="Calibri"/>
                <w:b/>
              </w:rPr>
              <w:t xml:space="preserve">▪  </w:t>
            </w:r>
            <w:r>
              <w:rPr>
                <w:b/>
              </w:rPr>
              <w:t>Cobb elevators</w:t>
            </w:r>
            <w:r>
              <w:t xml:space="preserve"> strip muscle; </w:t>
            </w:r>
            <w:r>
              <w:rPr>
                <w:b/>
              </w:rPr>
              <w:t>Taylor/Beckman self-retaining retractors</w:t>
            </w:r>
            <w:r>
              <w:t xml:space="preserve"> hold the exposure.</w:t>
            </w:r>
          </w:p>
          <w:p>
            <w:pPr>
              <w:pStyle w:val="BoxBody"/>
              <w:spacing w:before="20" w:after="40"/>
              <w:ind w:start="204" w:hanging="204"/>
            </w:pPr>
            <w:r>
              <w:rPr>
                <w:rFonts w:ascii="Calibri" w:hAnsi="Calibri"/>
                <w:b/>
              </w:rPr>
              <w:t xml:space="preserve">▪  </w:t>
            </w:r>
            <w:r>
              <w:rPr>
                <w:b/>
              </w:rPr>
              <w:t>Nerve-root retractor (Love/Scoville)</w:t>
            </w:r>
            <w:r>
              <w:t xml:space="preserve"> and </w:t>
            </w:r>
            <w:r>
              <w:rPr>
                <w:b/>
              </w:rPr>
              <w:t>pituitary rongeur</w:t>
            </w:r>
            <w:r>
              <w:t xml:space="preserve"> are the neural and disc signatures.</w:t>
            </w:r>
          </w:p>
          <w:p>
            <w:pPr>
              <w:pStyle w:val="BoxBody"/>
              <w:spacing w:before="20" w:after="40"/>
              <w:ind w:start="204" w:hanging="204"/>
            </w:pPr>
            <w:r>
              <w:rPr>
                <w:rFonts w:ascii="Calibri" w:hAnsi="Calibri"/>
                <w:b/>
              </w:rPr>
              <w:t xml:space="preserve">▪  </w:t>
            </w:r>
            <w:r>
              <w:rPr>
                <w:b/>
              </w:rPr>
              <w:t>Confirm the spinal level radiologically</w:t>
            </w:r>
            <w:r>
              <w:t xml:space="preserve"> — wrong-level surgery is a never-event and a guaranteed discussion point.</w:t>
            </w:r>
          </w:p>
          <w:p>
            <w:pPr>
              <w:pStyle w:val="BoxBody"/>
              <w:spacing w:before="20" w:after="40"/>
              <w:ind w:start="204" w:hanging="204"/>
            </w:pPr>
            <w:r>
              <w:rPr>
                <w:rFonts w:ascii="Calibri" w:hAnsi="Calibri"/>
                <w:b/>
              </w:rPr>
              <w:t xml:space="preserve">▪  </w:t>
            </w:r>
            <w:r>
              <w:rPr>
                <w:b/>
              </w:rPr>
              <w:t>Prone positioning with the abdomen free</w:t>
            </w:r>
            <w:r>
              <w:t xml:space="preserve"> reduces epidural venous bleeding; list the prone-position hazards.</w:t>
            </w:r>
          </w:p>
          <w:p>
            <w:pPr>
              <w:pStyle w:val="BoxBody"/>
              <w:spacing w:before="20" w:after="40"/>
              <w:ind w:start="204" w:hanging="204"/>
            </w:pPr>
            <w:r>
              <w:rPr>
                <w:rFonts w:ascii="Calibri" w:hAnsi="Calibri"/>
                <w:b/>
              </w:rPr>
              <w:t xml:space="preserve">▪  </w:t>
            </w:r>
            <w:r>
              <w:rPr>
                <w:b/>
              </w:rPr>
              <w:t>Bipolar, cottonoids and vented Frazier suction</w:t>
            </w:r>
            <w:r>
              <w:t xml:space="preserve"> are shared with the craniotomy tray.</w:t>
            </w:r>
          </w:p>
          <w:p>
            <w:pPr>
              <w:pStyle w:val="BoxBody"/>
              <w:spacing w:before="20" w:after="40"/>
              <w:ind w:start="204" w:hanging="204"/>
            </w:pPr>
            <w:r>
              <w:rPr>
                <w:rFonts w:ascii="Calibri" w:hAnsi="Calibri"/>
                <w:b/>
              </w:rPr>
              <w:t xml:space="preserve">▪  </w:t>
            </w:r>
            <w:r>
              <w:t xml:space="preserve">If fusion is planned, add </w:t>
            </w:r>
            <w:r>
              <w:rPr>
                <w:b/>
              </w:rPr>
              <w:t>pedicle screws and rods with neuromonitoring</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laminectomy tray.</w:t>
      </w:r>
    </w:p>
    <w:p>
      <w:pPr>
        <w:pStyle w:val="QBank"/>
        <w:spacing w:before="0" w:after="100"/>
        <w:ind w:start="595" w:hanging="283"/>
      </w:pPr>
      <w:r>
        <w:rPr>
          <w:rFonts w:ascii="Calibri" w:hAnsi="Calibri"/>
          <w:b/>
        </w:rPr>
        <w:t xml:space="preserve">A.  </w:t>
      </w:r>
      <w:r>
        <w:t xml:space="preserve">A basic orthopaedic and minor/major tray plus: </w:t>
      </w:r>
      <w:r>
        <w:rPr>
          <w:b/>
        </w:rPr>
        <w:t>exposure</w:t>
      </w:r>
      <w:r>
        <w:t xml:space="preserve"> — No.10 blade, straight and curved Cobb periosteal elevators, Taylor/Beckman/Meyerding self-retaining spinal retractors, tubular retractors, deep hand-held retractors, Leksell rongeur, head-light or microscope and an image intensifier with a marker for level confirmation; </w:t>
      </w:r>
      <w:r>
        <w:rPr>
          <w:b/>
        </w:rPr>
        <w:t>bone removal</w:t>
      </w:r>
      <w:r>
        <w:t xml:space="preserve"> — up-biting Kerrison rongeurs 2–5 mm in several angles, laminectomy rongeurs, angled and reverse-angled curettes, high-speed drill with guarded burrs, fine osteotomes, ligamentum flavum elevators, bone wax and a graft collector; </w:t>
      </w:r>
      <w:r>
        <w:rPr>
          <w:b/>
        </w:rPr>
        <w:t>neural and disc</w:t>
      </w:r>
      <w:r>
        <w:t xml:space="preserve"> — Love and Scoville nerve-root retractors, dural and root hooks, Penfield dissectors, straight and up-angled pituitary rongeurs, disc rongeurs and forceps, ring curettes, annulotomy knife and micro-instruments; </w:t>
      </w:r>
      <w:r>
        <w:rPr>
          <w:b/>
        </w:rPr>
        <w:t>haemostasis</w:t>
      </w:r>
      <w:r>
        <w:t xml:space="preserve"> — bipolar diathermy, cottonoid patties on radio-opaque strings, oxidised cellulose and gelatin sponge, fine vented Frazier suction and warm irrigation; </w:t>
      </w:r>
      <w:r>
        <w:rPr>
          <w:b/>
        </w:rPr>
        <w:t>fusion if required</w:t>
      </w:r>
      <w:r>
        <w:t xml:space="preserve"> — pedicle screws, rods and connectors with awl, probe, tap, screwdriver, rod bender, interbody cages and graft, with neuromonitoring; and </w:t>
      </w:r>
      <w:r>
        <w:rPr>
          <w:b/>
        </w:rPr>
        <w:t>closure</w:t>
      </w:r>
      <w:r>
        <w:t xml:space="preserve"> — fine dural suture and sealant, layered absorbable closure, drain and specimen containers.</w:t>
      </w:r>
    </w:p>
    <w:p>
      <w:pPr>
        <w:spacing w:before="80" w:after="20"/>
        <w:ind w:start="311" w:hanging="311"/>
        <w:keepLines/>
        <w:keepNext/>
      </w:pPr>
      <w:r>
        <w:rPr>
          <w:rFonts w:ascii="Calibri" w:hAnsi="Calibri"/>
          <w:b/>
          <w:sz w:val="19"/>
        </w:rPr>
        <w:t xml:space="preserve">Q2.  </w:t>
      </w:r>
      <w:r>
        <w:rPr>
          <w:b/>
          <w:sz w:val="19"/>
        </w:rPr>
        <w:t>Why is the Kerrison rongeur the characteristic instrument of spinal decompression?</w:t>
      </w:r>
    </w:p>
    <w:p>
      <w:pPr>
        <w:pStyle w:val="QBank"/>
        <w:spacing w:before="0" w:after="100"/>
        <w:ind w:start="595" w:hanging="283"/>
      </w:pPr>
      <w:r>
        <w:rPr>
          <w:rFonts w:ascii="Calibri" w:hAnsi="Calibri"/>
          <w:b/>
        </w:rPr>
        <w:t xml:space="preserve">A.  </w:t>
      </w:r>
      <w:r>
        <w:t>Its thin footplate can be slid into the epidural space between the bone and the dura, and its blade then cuts upward against the footplate. The cutting force is therefore always directed away from the spinal cord and nerve roots, allowing bone and ligament to be removed piecemeal in safety.</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