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 — INSTRUMENT TRAYS</w:t>
            </w:r>
          </w:p>
          <w:p>
            <w:pPr>
              <w:pStyle w:val="CoverTitle"/>
              <w:spacing w:before="40" w:after="160"/>
            </w:pPr>
            <w:r>
              <w:t>NEUROLOGIC PROCEDURES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53" w:name="toc"/>
      <w:pPr>
        <w:pStyle w:val="TOCHead"/>
        <w:spacing w:before="120" w:after="40"/>
      </w:pPr>
      <w:r>
        <w:t>Table of Contents</w:t>
      </w:r>
      <w:bookmarkEnd w:id="1053"/>
    </w:p>
    <w:p>
      <w:pPr>
        <w:jc w:val="center"/>
        <w:spacing w:before="0" w:after="80" w:line="240" w:lineRule="auto"/>
        <w:pBdr>
          <w:bottom w:val="single" w:sz="18" w:space="1" w:color="000000"/>
        </w:pBdr>
      </w:pPr>
    </w:p>
    <w:p>
      <w:pPr>
        <w:jc w:val="center"/>
        <w:spacing w:before="0" w:after="200"/>
      </w:pPr>
      <w:r>
        <w:rPr>
          <w:rFonts w:ascii="Calibri" w:hAnsi="Calibri"/>
          <w:i/>
          <w:color w:val="555555"/>
          <w:sz w:val="16"/>
        </w:rPr>
        <w:t>To fill in the page numbers: click anywhere in the list below, press Ctrl+A then F9, and choose “Update entire table”.</w:t>
      </w:r>
    </w:p>
    <w:p>
      <w:pPr>
        <w:spacing w:before="0" w:after="0"/>
      </w:pPr>
      <w:r>
        <w:fldChar w:fldCharType="begin"/>
      </w:r>
      <w:r>
        <w:instrText xml:space="preserve"> TOC \o "1-2" \h \z \u </w:instrText>
      </w:r>
      <w:r>
        <w:fldChar w:fldCharType="separate"/>
      </w:r>
      <w:r>
        <w:t>Right-click here and choose “Update Field”, or press Ctrl+A then F9, to build the Table of Contents with page numbers.</w:t>
      </w:r>
      <w:r>
        <w:fldChar w:fldCharType="end"/>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bookmarkStart w:id="1054" w:name="part_VII"/>
            <w:pPr>
              <w:pStyle w:val="Heading1"/>
              <w:jc w:val="left"/>
              <w:spacing w:before="0" w:after="0"/>
            </w:pPr>
            <w:r>
              <w:rPr>
                <w:rFonts w:ascii="Calibri" w:hAnsi="Calibri"/>
                <w:b/>
                <w:color w:val="FFFFFF"/>
                <w:sz w:val="38"/>
              </w:rPr>
              <w:t>Neurologic Procedures Trays</w:t>
            </w:r>
            <w:bookmarkEnd w:id="1054"/>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r>
        <w:br w:type="page"/>
      </w:r>
    </w:p>
    <w:p>
      <w:bookmarkStart w:id="1055" w:name="tray_7_1"/>
      <w:pPr>
        <w:pStyle w:val="Heading2"/>
        <w:spacing w:before="320" w:after="40"/>
        <w:keepLines/>
        <w:keepNext/>
        <w:pBdr>
          <w:bottom w:val="single" w:sz="12" w:space="3" w:color="000000"/>
        </w:pBdr>
      </w:pPr>
      <w:r>
        <w:rPr>
          <w:rFonts w:ascii="Calibri" w:hAnsi="Calibri"/>
          <w:b/>
          <w:color w:val="666666"/>
          <w:sz w:val="29"/>
        </w:rPr>
        <w:t xml:space="preserve">7.1   </w:t>
      </w:r>
      <w:r>
        <w:rPr>
          <w:rFonts w:ascii="Calibri" w:hAnsi="Calibri"/>
          <w:b/>
          <w:sz w:val="29"/>
        </w:rPr>
        <w:t>Craniotomy Tray</w:t>
      </w:r>
      <w:bookmarkEnd w:id="1055"/>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1" name="Picture 1"/>
                  <wp:cNvGraphicFramePr>
                    <a:graphicFrameLocks noChangeAspect="1"/>
                  </wp:cNvGraphicFramePr>
                  <a:graphic>
                    <a:graphicData uri="http://schemas.openxmlformats.org/drawingml/2006/picture">
                      <pic:pic>
                        <pic:nvPicPr>
                          <pic:cNvPr id="0" name="plate_7_1.png"/>
                          <pic:cNvPicPr/>
                        </pic:nvPicPr>
                        <pic:blipFill>
                          <a:blip r:embed="rId11"/>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Three things that make it neurosurgery</w:t>
                  </w:r>
                </w:p>
                <w:p>
                  <w:pPr>
                    <w:pStyle w:val="BoxBody"/>
                    <w:spacing w:before="20" w:after="40"/>
                    <w:ind w:start="181" w:hanging="181"/>
                  </w:pPr>
                  <w:r>
                    <w:rPr>
                      <w:rFonts w:ascii="Calibri" w:hAnsi="Calibri"/>
                      <w:b/>
                    </w:rPr>
                    <w:t xml:space="preserve">▪  </w:t>
                  </w:r>
                  <w:r>
                    <w:rPr>
                      <w:b/>
                    </w:rPr>
                    <w:t>Bipolar</w:t>
                  </w:r>
                  <w:r>
                    <w:t xml:space="preserve"> diathermy — no current spread to brain.</w:t>
                  </w:r>
                </w:p>
                <w:p>
                  <w:pPr>
                    <w:pStyle w:val="BoxBody"/>
                    <w:spacing w:before="20" w:after="40"/>
                    <w:ind w:start="181" w:hanging="181"/>
                  </w:pPr>
                  <w:r>
                    <w:rPr>
                      <w:rFonts w:ascii="Calibri" w:hAnsi="Calibri"/>
                      <w:b/>
                    </w:rPr>
                    <w:t xml:space="preserve">▪  </w:t>
                  </w:r>
                  <w:r>
                    <w:rPr>
                      <w:b/>
                    </w:rPr>
                    <w:t>Cottonoid patties on strings</w:t>
                  </w:r>
                  <w:r>
                    <w:t xml:space="preserve"> — gentle, countable haemostasis.</w:t>
                  </w:r>
                </w:p>
                <w:p>
                  <w:pPr>
                    <w:pStyle w:val="BoxBody"/>
                    <w:spacing w:before="20" w:after="40"/>
                    <w:ind w:start="181" w:hanging="181"/>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181" w:hanging="181"/>
                  </w:pPr>
                  <w:r>
                    <w:rPr>
                      <w:rFonts w:ascii="Calibri" w:hAnsi="Calibri"/>
                      <w:b/>
                    </w:rPr>
                    <w:t xml:space="preserve">▪  </w:t>
                  </w:r>
                  <w:r>
                    <w:t>Name these three and you have shown you understand the speciality.</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r>
        <w:br w:type="page"/>
      </w:r>
    </w:p>
    <w:p>
      <w:bookmarkStart w:id="1056" w:name="tray_7_2"/>
      <w:pPr>
        <w:pStyle w:val="Heading2"/>
        <w:spacing w:before="320" w:after="40"/>
        <w:keepLines/>
        <w:keepNext/>
        <w:pBdr>
          <w:bottom w:val="single" w:sz="12" w:space="3" w:color="000000"/>
        </w:pBdr>
      </w:pPr>
      <w:r>
        <w:rPr>
          <w:rFonts w:ascii="Calibri" w:hAnsi="Calibri"/>
          <w:b/>
          <w:color w:val="666666"/>
          <w:sz w:val="29"/>
        </w:rPr>
        <w:t xml:space="preserve">7.2   </w:t>
      </w:r>
      <w:r>
        <w:rPr>
          <w:rFonts w:ascii="Calibri" w:hAnsi="Calibri"/>
          <w:b/>
          <w:sz w:val="29"/>
        </w:rPr>
        <w:t>Laminectomy Tray</w:t>
      </w:r>
      <w:bookmarkEnd w:id="1056"/>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7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Why up-biting?</w:t>
                  </w:r>
                </w:p>
                <w:p>
                  <w:pPr>
                    <w:pStyle w:val="BoxBody"/>
                    <w:spacing w:before="20" w:after="40"/>
                    <w:ind w:start="181" w:hanging="181"/>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181" w:hanging="181"/>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181" w:hanging="181"/>
                  </w:pPr>
                  <w:r>
                    <w:rPr>
                      <w:rFonts w:ascii="Calibri" w:hAnsi="Calibri"/>
                      <w:b/>
                    </w:rPr>
                    <w:t xml:space="preserve">▪  </w:t>
                  </w:r>
                  <w:r>
                    <w:t>This is why it is the defining instrument of spinal decompression.</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