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IX — INSTRUMENT TRAYS</w:t>
            </w:r>
          </w:p>
          <w:p>
            <w:pPr>
              <w:pStyle w:val="CoverTitle"/>
              <w:spacing w:before="40" w:after="160"/>
            </w:pPr>
            <w:r>
              <w:t>OPHTHALMIC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65" w:name="toc"/>
      <w:pPr>
        <w:pStyle w:val="TOCHead"/>
        <w:spacing w:before="120" w:after="40"/>
      </w:pPr>
      <w:r>
        <w:t>Table of Contents</w:t>
      </w:r>
      <w:bookmarkEnd w:id="1065"/>
    </w:p>
    <w:p>
      <w:pPr>
        <w:jc w:val="center"/>
        <w:spacing w:before="0" w:after="80" w:line="240" w:lineRule="auto"/>
        <w:pBdr>
          <w:bottom w:val="single" w:sz="18" w:space="1" w:color="000000"/>
        </w:pBdr>
      </w:pPr>
    </w:p>
    <w:p>
      <w:pPr>
        <w:jc w:val="center"/>
        <w:spacing w:before="0" w:after="200"/>
      </w:pPr>
      <w:r>
        <w:rPr>
          <w:rFonts w:ascii="Calibri" w:hAnsi="Calibri"/>
          <w:i/>
          <w:color w:val="555555"/>
          <w:sz w:val="16"/>
        </w:rPr>
        <w:t>To fill in the page numbers: click anywhere in the list below, press Ctrl+A then F9, and choose “Update entire table”.</w:t>
      </w:r>
    </w:p>
    <w:p>
      <w:pPr>
        <w:spacing w:before="0" w:after="0"/>
      </w:pPr>
      <w:r>
        <w:fldChar w:fldCharType="begin"/>
      </w:r>
      <w:r>
        <w:instrText xml:space="preserve"> TOC \o "1-2" \h \z \u </w:instrText>
      </w:r>
      <w:r>
        <w:fldChar w:fldCharType="separate"/>
      </w:r>
      <w:r>
        <w:t>Right-click here and choose “Update Field”, or press Ctrl+A then F9, to build the Table of Contents with page numbers.</w:t>
      </w:r>
      <w:r>
        <w:fldChar w:fldCharType="end"/>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bookmarkStart w:id="1066" w:name="part_IX"/>
            <w:pPr>
              <w:pStyle w:val="Heading1"/>
              <w:jc w:val="left"/>
              <w:spacing w:before="0" w:after="0"/>
            </w:pPr>
            <w:r>
              <w:rPr>
                <w:rFonts w:ascii="Calibri" w:hAnsi="Calibri"/>
                <w:b/>
                <w:color w:val="FFFFFF"/>
                <w:sz w:val="38"/>
              </w:rPr>
              <w:t>Ophthalmic Trays</w:t>
            </w:r>
            <w:bookmarkEnd w:id="1066"/>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r>
        <w:br w:type="page"/>
      </w:r>
    </w:p>
    <w:p>
      <w:bookmarkStart w:id="1067" w:name="tray_9_1"/>
      <w:pPr>
        <w:pStyle w:val="Heading2"/>
        <w:spacing w:before="320" w:after="40"/>
        <w:keepLines/>
        <w:keepNext/>
        <w:pBdr>
          <w:bottom w:val="single" w:sz="12" w:space="3" w:color="000000"/>
        </w:pBdr>
      </w:pPr>
      <w:r>
        <w:rPr>
          <w:rFonts w:ascii="Calibri" w:hAnsi="Calibri"/>
          <w:b/>
          <w:color w:val="666666"/>
          <w:sz w:val="29"/>
        </w:rPr>
        <w:t xml:space="preserve">9.1   </w:t>
      </w:r>
      <w:r>
        <w:rPr>
          <w:rFonts w:ascii="Calibri" w:hAnsi="Calibri"/>
          <w:b/>
          <w:sz w:val="29"/>
        </w:rPr>
        <w:t>Basic Eye Procedures Tray</w:t>
      </w:r>
      <w:bookmarkEnd w:id="1067"/>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1" name="Picture 1"/>
                  <wp:cNvGraphicFramePr>
                    <a:graphicFrameLocks noChangeAspect="1"/>
                  </wp:cNvGraphicFramePr>
                  <a:graphic>
                    <a:graphicData uri="http://schemas.openxmlformats.org/drawingml/2006/picture">
                      <pic:pic>
                        <pic:nvPicPr>
                          <pic:cNvPr id="0" name="plate_9_1.png"/>
                          <pic:cNvPicPr/>
                        </pic:nvPicPr>
                        <pic:blipFill>
                          <a:blip r:embed="rId11"/>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Never inside the eye</w:t>
                  </w:r>
                </w:p>
                <w:p>
                  <w:pPr>
                    <w:pStyle w:val="BoxBody"/>
                    <w:spacing w:before="20" w:after="40"/>
                    <w:ind w:start="181" w:hanging="181"/>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181" w:hanging="181"/>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181" w:hanging="181"/>
                  </w:pPr>
                  <w:r>
                    <w:rPr>
                      <w:rFonts w:ascii="Calibri" w:hAnsi="Calibri"/>
                      <w:b/>
                    </w:rPr>
                    <w:t xml:space="preserve">▪  </w:t>
                  </w:r>
                  <w:r>
                    <w:rPr>
                      <w:b/>
                    </w:rPr>
                    <w:t>Talc-dusted gloves or lint</w:t>
                  </w:r>
                  <w:r>
                    <w:t xml:space="preserve"> — causes a granulomatous reaction.</w:t>
                  </w:r>
                </w:p>
                <w:p>
                  <w:pPr>
                    <w:pStyle w:val="BoxBody"/>
                    <w:spacing w:before="20" w:after="40"/>
                    <w:ind w:start="181" w:hanging="181"/>
                  </w:pPr>
                  <w:r>
                    <w:rPr>
                      <w:rFonts w:ascii="Calibri" w:hAnsi="Calibri"/>
                      <w:b/>
                    </w:rPr>
                    <w:t xml:space="preserve">▪  </w:t>
                  </w:r>
                  <w:r>
                    <w:rPr>
                      <w:b/>
                    </w:rPr>
                    <w:t>Any instrument with a burred or non-apposing tip.</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r>
        <w:br w:type="page"/>
      </w:r>
    </w:p>
    <w:p>
      <w:bookmarkStart w:id="1068" w:name="tray_9_2"/>
      <w:pPr>
        <w:pStyle w:val="Heading2"/>
        <w:spacing w:before="320" w:after="40"/>
        <w:keepLines/>
        <w:keepNext/>
        <w:pBdr>
          <w:bottom w:val="single" w:sz="12" w:space="3" w:color="000000"/>
        </w:pBdr>
      </w:pPr>
      <w:r>
        <w:rPr>
          <w:rFonts w:ascii="Calibri" w:hAnsi="Calibri"/>
          <w:b/>
          <w:color w:val="666666"/>
          <w:sz w:val="29"/>
        </w:rPr>
        <w:t xml:space="preserve">9.2   </w:t>
      </w:r>
      <w:r>
        <w:rPr>
          <w:rFonts w:ascii="Calibri" w:hAnsi="Calibri"/>
          <w:b/>
          <w:sz w:val="29"/>
        </w:rPr>
        <w:t>Eyelid and Conjunctival Procedures Tray</w:t>
      </w:r>
      <w:bookmarkEnd w:id="1068"/>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2" name="Picture 2"/>
                  <wp:cNvGraphicFramePr>
                    <a:graphicFrameLocks noChangeAspect="1"/>
                  </wp:cNvGraphicFramePr>
                  <a:graphic>
                    <a:graphicData uri="http://schemas.openxmlformats.org/drawingml/2006/picture">
                      <pic:pic>
                        <pic:nvPicPr>
                          <pic:cNvPr id="0" name="plate_9_2.png"/>
                          <pic:cNvPicPr/>
                        </pic:nvPicPr>
                        <pic:blipFill>
                          <a:blip r:embed="rId12"/>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The chalazion clamp</w:t>
                  </w:r>
                </w:p>
                <w:p>
                  <w:pPr>
                    <w:pStyle w:val="BoxBody"/>
                    <w:spacing w:before="20" w:after="40"/>
                    <w:ind w:start="181" w:hanging="181"/>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181" w:hanging="181"/>
                  </w:pPr>
                  <w:r>
                    <w:rPr>
                      <w:rFonts w:ascii="Calibri" w:hAnsi="Calibri"/>
                      <w:b/>
                    </w:rPr>
                    <w:t xml:space="preserve">▪  </w:t>
                  </w:r>
                  <w:r>
                    <w:t>The ring is centred over the lesion on the skin side; the plate lies behind the lid.</w:t>
                  </w:r>
                </w:p>
                <w:p>
                  <w:pPr>
                    <w:pStyle w:val="BoxBody"/>
                    <w:spacing w:before="20" w:after="40"/>
                    <w:ind w:start="181" w:hanging="181"/>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r>
        <w:br w:type="page"/>
      </w:r>
    </w:p>
    <w:p>
      <w:bookmarkStart w:id="1069" w:name="tray_9_3"/>
      <w:pPr>
        <w:pStyle w:val="Heading2"/>
        <w:spacing w:before="320" w:after="40"/>
        <w:keepLines/>
        <w:keepNext/>
        <w:pBdr>
          <w:bottom w:val="single" w:sz="12" w:space="3" w:color="000000"/>
        </w:pBdr>
      </w:pPr>
      <w:r>
        <w:rPr>
          <w:rFonts w:ascii="Calibri" w:hAnsi="Calibri"/>
          <w:b/>
          <w:color w:val="666666"/>
          <w:sz w:val="29"/>
        </w:rPr>
        <w:t xml:space="preserve">9.3   </w:t>
      </w:r>
      <w:r>
        <w:rPr>
          <w:rFonts w:ascii="Calibri" w:hAnsi="Calibri"/>
          <w:b/>
          <w:sz w:val="29"/>
        </w:rPr>
        <w:t>Basic Eye Muscle Procedures Tray</w:t>
      </w:r>
      <w:bookmarkEnd w:id="1069"/>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 name="Picture 3"/>
                  <wp:cNvGraphicFramePr>
                    <a:graphicFrameLocks noChangeAspect="1"/>
                  </wp:cNvGraphicFramePr>
                  <a:graphic>
                    <a:graphicData uri="http://schemas.openxmlformats.org/drawingml/2006/picture">
                      <pic:pic>
                        <pic:nvPicPr>
                          <pic:cNvPr id="0" name="plate_9_3.png"/>
                          <pic:cNvPicPr/>
                        </pic:nvPicPr>
                        <pic:blipFill>
                          <a:blip r:embed="rId13"/>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Two things examiners always ask</w:t>
                  </w:r>
                </w:p>
                <w:p>
                  <w:pPr>
                    <w:pStyle w:val="BoxBody"/>
                    <w:spacing w:before="20" w:after="40"/>
                    <w:ind w:start="181" w:hanging="181"/>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181" w:hanging="181"/>
                  </w:pPr>
                  <w:r>
                    <w:rPr>
                      <w:rFonts w:ascii="Calibri" w:hAnsi="Calibri"/>
                      <w:b/>
                    </w:rPr>
                    <w:t xml:space="preserve">▪  </w:t>
                  </w:r>
                  <w:r>
                    <w:rPr>
                      <w:b/>
                    </w:rPr>
                    <w:t>Oculocardiac reflex</w:t>
                  </w:r>
                  <w:r>
                    <w:t xml:space="preserve"> — muscle traction → bradycardia/asystole; stop traction, then atropine.</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r>
        <w:br w:type="page"/>
      </w:r>
    </w:p>
    <w:p>
      <w:bookmarkStart w:id="1070" w:name="tray_9_4"/>
      <w:pPr>
        <w:pStyle w:val="Heading2"/>
        <w:spacing w:before="320" w:after="40"/>
        <w:keepLines/>
        <w:keepNext/>
        <w:pBdr>
          <w:bottom w:val="single" w:sz="12" w:space="3" w:color="000000"/>
        </w:pBdr>
      </w:pPr>
      <w:r>
        <w:rPr>
          <w:rFonts w:ascii="Calibri" w:hAnsi="Calibri"/>
          <w:b/>
          <w:color w:val="666666"/>
          <w:sz w:val="29"/>
        </w:rPr>
        <w:t xml:space="preserve">9.4   </w:t>
      </w:r>
      <w:r>
        <w:rPr>
          <w:rFonts w:ascii="Calibri" w:hAnsi="Calibri"/>
          <w:b/>
          <w:sz w:val="29"/>
        </w:rPr>
        <w:t>Dacryocystorhinostomy Tray</w:t>
      </w:r>
      <w:bookmarkEnd w:id="1070"/>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 name="Picture 4"/>
                  <wp:cNvGraphicFramePr>
                    <a:graphicFrameLocks noChangeAspect="1"/>
                  </wp:cNvGraphicFramePr>
                  <a:graphic>
                    <a:graphicData uri="http://schemas.openxmlformats.org/drawingml/2006/picture">
                      <pic:pic>
                        <pic:nvPicPr>
                          <pic:cNvPr id="0" name="plate_9_4.png"/>
                          <pic:cNvPicPr/>
                        </pic:nvPicPr>
                        <pic:blipFill>
                          <a:blip r:embed="rId14"/>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Why bone instruments on an eye tray?</w:t>
                  </w:r>
                </w:p>
                <w:p>
                  <w:pPr>
                    <w:pStyle w:val="BoxBody"/>
                    <w:spacing w:before="20" w:after="40"/>
                    <w:ind w:start="181" w:hanging="181"/>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181" w:hanging="181"/>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181" w:hanging="181"/>
                  </w:pPr>
                  <w:r>
                    <w:rPr>
                      <w:rFonts w:ascii="Calibri" w:hAnsi="Calibri"/>
                      <w:b/>
                    </w:rPr>
                    <w:t xml:space="preserve">▪  </w:t>
                  </w:r>
                  <w:r>
                    <w:t>Hence punches, chisels, a burr and bone wax — instruments found on no other ophthalmic tray.</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r>
        <w:br w:type="page"/>
      </w:r>
    </w:p>
    <w:p>
      <w:bookmarkStart w:id="1071" w:name="tray_9_5"/>
      <w:pPr>
        <w:pStyle w:val="Heading2"/>
        <w:spacing w:before="320" w:after="40"/>
        <w:keepLines/>
        <w:keepNext/>
        <w:pBdr>
          <w:bottom w:val="single" w:sz="12" w:space="3" w:color="000000"/>
        </w:pBdr>
      </w:pPr>
      <w:r>
        <w:rPr>
          <w:rFonts w:ascii="Calibri" w:hAnsi="Calibri"/>
          <w:b/>
          <w:color w:val="666666"/>
          <w:sz w:val="29"/>
        </w:rPr>
        <w:t xml:space="preserve">9.5   </w:t>
      </w:r>
      <w:r>
        <w:rPr>
          <w:rFonts w:ascii="Calibri" w:hAnsi="Calibri"/>
          <w:b/>
          <w:sz w:val="29"/>
        </w:rPr>
        <w:t>Corneal Procedures Tray</w:t>
      </w:r>
      <w:bookmarkEnd w:id="1071"/>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5" name="Picture 5"/>
                  <wp:cNvGraphicFramePr>
                    <a:graphicFrameLocks noChangeAspect="1"/>
                  </wp:cNvGraphicFramePr>
                  <a:graphic>
                    <a:graphicData uri="http://schemas.openxmlformats.org/drawingml/2006/picture">
                      <pic:pic>
                        <pic:nvPicPr>
                          <pic:cNvPr id="0" name="plate_9_5.png"/>
                          <pic:cNvPicPr/>
                        </pic:nvPicPr>
                        <pic:blipFill>
                          <a:blip r:embed="rId15"/>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Before you cut the host</w:t>
                  </w:r>
                </w:p>
                <w:p>
                  <w:pPr>
                    <w:pStyle w:val="BoxBody"/>
                    <w:spacing w:before="20" w:after="40"/>
                    <w:ind w:start="181" w:hanging="181"/>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181" w:hanging="181"/>
                  </w:pPr>
                  <w:r>
                    <w:rPr>
                      <w:rFonts w:ascii="Calibri" w:hAnsi="Calibri"/>
                      <w:b/>
                    </w:rPr>
                    <w:t xml:space="preserve">▪  </w:t>
                  </w:r>
                  <w:r>
                    <w:rPr>
                      <w:b/>
                    </w:rPr>
                    <w:t>Soften the eye</w:t>
                  </w:r>
                  <w:r>
                    <w:t xml:space="preserve"> — a firm eye risks expulsive haemorrhage.</w:t>
                  </w:r>
                </w:p>
                <w:p>
                  <w:pPr>
                    <w:pStyle w:val="BoxBody"/>
                    <w:spacing w:before="20" w:after="40"/>
                    <w:ind w:start="181" w:hanging="181"/>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181" w:hanging="181"/>
                  </w:pPr>
                  <w:r>
                    <w:rPr>
                      <w:rFonts w:ascii="Calibri" w:hAnsi="Calibri"/>
                      <w:b/>
                    </w:rPr>
                    <w:t xml:space="preserve">▪  </w:t>
                  </w:r>
                  <w:r>
                    <w:t>Cutting the host before these three checks is an irreversible error.</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r>
        <w:br w:type="page"/>
      </w:r>
    </w:p>
    <w:p>
      <w:bookmarkStart w:id="1072" w:name="tray_9_6"/>
      <w:pPr>
        <w:pStyle w:val="Heading2"/>
        <w:spacing w:before="320" w:after="40"/>
        <w:keepLines/>
        <w:keepNext/>
        <w:pBdr>
          <w:bottom w:val="single" w:sz="12" w:space="3" w:color="000000"/>
        </w:pBdr>
      </w:pPr>
      <w:r>
        <w:rPr>
          <w:rFonts w:ascii="Calibri" w:hAnsi="Calibri"/>
          <w:b/>
          <w:color w:val="666666"/>
          <w:sz w:val="29"/>
        </w:rPr>
        <w:t xml:space="preserve">9.6   </w:t>
      </w:r>
      <w:r>
        <w:rPr>
          <w:rFonts w:ascii="Calibri" w:hAnsi="Calibri"/>
          <w:b/>
          <w:sz w:val="29"/>
        </w:rPr>
        <w:t>Cataract Extraction and Lens Procedures Tray</w:t>
      </w:r>
      <w:bookmarkEnd w:id="1072"/>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6" name="Picture 6"/>
                  <wp:cNvGraphicFramePr>
                    <a:graphicFrameLocks noChangeAspect="1"/>
                  </wp:cNvGraphicFramePr>
                  <a:graphic>
                    <a:graphicData uri="http://schemas.openxmlformats.org/drawingml/2006/picture">
                      <pic:pic>
                        <pic:nvPicPr>
                          <pic:cNvPr id="0" name="plate_9_6.png"/>
                          <pic:cNvPicPr/>
                        </pic:nvPicPr>
                        <pic:blipFill>
                          <a:blip r:embed="rId16"/>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Three checks before the first incision</w:t>
                  </w:r>
                </w:p>
                <w:p>
                  <w:pPr>
                    <w:pStyle w:val="BoxBody"/>
                    <w:spacing w:before="20" w:after="40"/>
                    <w:ind w:start="181" w:hanging="181"/>
                  </w:pPr>
                  <w:r>
                    <w:rPr>
                      <w:rFonts w:ascii="Calibri" w:hAnsi="Calibri"/>
                      <w:b/>
                    </w:rPr>
                    <w:t xml:space="preserve">▪  </w:t>
                  </w:r>
                  <w:r>
                    <w:rPr>
                      <w:b/>
                    </w:rPr>
                    <w:t>Correct patient, correct eye</w:t>
                  </w:r>
                  <w:r>
                    <w:t xml:space="preserve"> — marked and confirmed.</w:t>
                  </w:r>
                </w:p>
                <w:p>
                  <w:pPr>
                    <w:pStyle w:val="BoxBody"/>
                    <w:spacing w:before="20" w:after="40"/>
                    <w:ind w:start="181" w:hanging="181"/>
                  </w:pPr>
                  <w:r>
                    <w:rPr>
                      <w:rFonts w:ascii="Calibri" w:hAnsi="Calibri"/>
                      <w:b/>
                    </w:rPr>
                    <w:t xml:space="preserve">▪  </w:t>
                  </w:r>
                  <w:r>
                    <w:rPr>
                      <w:b/>
                    </w:rPr>
                    <w:t>Correct IOL power and model</w:t>
                  </w:r>
                  <w:r>
                    <w:t>, verified against the biometry.</w:t>
                  </w:r>
                </w:p>
                <w:p>
                  <w:pPr>
                    <w:pStyle w:val="BoxBody"/>
                    <w:spacing w:before="20" w:after="40"/>
                    <w:ind w:start="181" w:hanging="181"/>
                  </w:pPr>
                  <w:r>
                    <w:rPr>
                      <w:rFonts w:ascii="Calibri" w:hAnsi="Calibri"/>
                      <w:b/>
                    </w:rPr>
                    <w:t xml:space="preserve">▪  </w:t>
                  </w:r>
                  <w:r>
                    <w:rPr>
                      <w:b/>
                    </w:rPr>
                    <w:t>Back-up plan present</w:t>
                  </w:r>
                  <w:r>
                    <w:t xml:space="preserve"> — anterior vitrector and alternative IOLs available in case of capsular rupture.</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r>
        <w:br w:type="page"/>
      </w:r>
    </w:p>
    <w:p>
      <w:bookmarkStart w:id="1073" w:name="tray_9_7"/>
      <w:pPr>
        <w:pStyle w:val="Heading2"/>
        <w:spacing w:before="320" w:after="40"/>
        <w:keepLines/>
        <w:keepNext/>
        <w:pBdr>
          <w:bottom w:val="single" w:sz="12" w:space="3" w:color="000000"/>
        </w:pBdr>
      </w:pPr>
      <w:r>
        <w:rPr>
          <w:rFonts w:ascii="Calibri" w:hAnsi="Calibri"/>
          <w:b/>
          <w:color w:val="666666"/>
          <w:sz w:val="29"/>
        </w:rPr>
        <w:t xml:space="preserve">9.7   </w:t>
      </w:r>
      <w:r>
        <w:rPr>
          <w:rFonts w:ascii="Calibri" w:hAnsi="Calibri"/>
          <w:b/>
          <w:sz w:val="29"/>
        </w:rPr>
        <w:t>Glaucoma Procedure Tray</w:t>
      </w:r>
      <w:bookmarkEnd w:id="1073"/>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7" name="Picture 7"/>
                  <wp:cNvGraphicFramePr>
                    <a:graphicFrameLocks noChangeAspect="1"/>
                  </wp:cNvGraphicFramePr>
                  <a:graphic>
                    <a:graphicData uri="http://schemas.openxmlformats.org/drawingml/2006/picture">
                      <pic:pic>
                        <pic:nvPicPr>
                          <pic:cNvPr id="0" name="plate_9_7.png"/>
                          <pic:cNvPicPr/>
                        </pic:nvPicPr>
                        <pic:blipFill>
                          <a:blip r:embed="rId17"/>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Mitomycin C safety</w:t>
                  </w:r>
                </w:p>
                <w:p>
                  <w:pPr>
                    <w:pStyle w:val="BoxBody"/>
                    <w:spacing w:before="20" w:after="40"/>
                    <w:ind w:start="181" w:hanging="181"/>
                  </w:pPr>
                  <w:r>
                    <w:rPr>
                      <w:rFonts w:ascii="Calibri" w:hAnsi="Calibri"/>
                      <w:b/>
                    </w:rPr>
                    <w:t xml:space="preserve">▪  </w:t>
                  </w:r>
                  <w:r>
                    <w:t xml:space="preserve">It is a </w:t>
                  </w:r>
                  <w:r>
                    <w:rPr>
                      <w:b/>
                    </w:rPr>
                    <w:t>cytotoxic agent</w:t>
                  </w:r>
                  <w:r>
                    <w:t>.</w:t>
                  </w:r>
                </w:p>
                <w:p>
                  <w:pPr>
                    <w:pStyle w:val="BoxBody"/>
                    <w:spacing w:before="20" w:after="40"/>
                    <w:ind w:start="181" w:hanging="181"/>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181" w:hanging="181"/>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181" w:hanging="181"/>
                  </w:pPr>
                  <w:r>
                    <w:rPr>
                      <w:rFonts w:ascii="Calibri" w:hAnsi="Calibri"/>
                      <w:b/>
                    </w:rPr>
                    <w:t xml:space="preserve">▪  </w:t>
                  </w:r>
                  <w:r>
                    <w:t xml:space="preserve">Dispose of everything as </w:t>
                  </w:r>
                  <w:r>
                    <w:rPr>
                      <w:b/>
                    </w:rPr>
                    <w:t>cytotoxic waste</w:t>
                  </w:r>
                  <w:r>
                    <w:t>.</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r>
        <w:br w:type="page"/>
      </w:r>
    </w:p>
    <w:p>
      <w:bookmarkStart w:id="1074" w:name="tray_9_8"/>
      <w:pPr>
        <w:pStyle w:val="Heading2"/>
        <w:spacing w:before="320" w:after="40"/>
        <w:keepLines/>
        <w:keepNext/>
        <w:pBdr>
          <w:bottom w:val="single" w:sz="12" w:space="3" w:color="000000"/>
        </w:pBdr>
      </w:pPr>
      <w:r>
        <w:rPr>
          <w:rFonts w:ascii="Calibri" w:hAnsi="Calibri"/>
          <w:b/>
          <w:color w:val="666666"/>
          <w:sz w:val="29"/>
        </w:rPr>
        <w:t xml:space="preserve">9.8   </w:t>
      </w:r>
      <w:r>
        <w:rPr>
          <w:rFonts w:ascii="Calibri" w:hAnsi="Calibri"/>
          <w:b/>
          <w:sz w:val="29"/>
        </w:rPr>
        <w:t>Basic Eye Procedures Microscope Tray</w:t>
      </w:r>
      <w:bookmarkEnd w:id="1074"/>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8" name="Picture 8"/>
                  <wp:cNvGraphicFramePr>
                    <a:graphicFrameLocks noChangeAspect="1"/>
                  </wp:cNvGraphicFramePr>
                  <a:graphic>
                    <a:graphicData uri="http://schemas.openxmlformats.org/drawingml/2006/picture">
                      <pic:pic>
                        <pic:nvPicPr>
                          <pic:cNvPr id="0" name="plate_9_8.png"/>
                          <pic:cNvPicPr/>
                        </pic:nvPicPr>
                        <pic:blipFill>
                          <a:blip r:embed="rId18"/>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TASS is a tray problem</w:t>
                  </w:r>
                </w:p>
                <w:p>
                  <w:pPr>
                    <w:pStyle w:val="BoxBody"/>
                    <w:spacing w:before="20" w:after="40"/>
                    <w:ind w:start="181" w:hanging="181"/>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181" w:hanging="181"/>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181" w:hanging="181"/>
                  </w:pPr>
                  <w:r>
                    <w:rPr>
                      <w:rFonts w:ascii="Calibri" w:hAnsi="Calibri"/>
                      <w:b/>
                    </w:rPr>
                    <w:t xml:space="preserve">▪  </w:t>
                  </w:r>
                  <w:r>
                    <w:t>This is why 'care of microinstruments' is examinable content, not housekeeping.</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r>
        <w:br w:type="page"/>
      </w:r>
    </w:p>
    <w:p>
      <w:bookmarkStart w:id="1075" w:name="tray_9_9"/>
      <w:pPr>
        <w:pStyle w:val="Heading2"/>
        <w:spacing w:before="320" w:after="40"/>
        <w:keepLines/>
        <w:keepNext/>
        <w:pBdr>
          <w:bottom w:val="single" w:sz="12" w:space="3" w:color="000000"/>
        </w:pBdr>
      </w:pPr>
      <w:r>
        <w:rPr>
          <w:rFonts w:ascii="Calibri" w:hAnsi="Calibri"/>
          <w:b/>
          <w:color w:val="666666"/>
          <w:sz w:val="29"/>
        </w:rPr>
        <w:t xml:space="preserve">9.9   </w:t>
      </w:r>
      <w:r>
        <w:rPr>
          <w:rFonts w:ascii="Calibri" w:hAnsi="Calibri"/>
          <w:b/>
          <w:sz w:val="29"/>
        </w:rPr>
        <w:t>Retinal Procedures Tray</w:t>
      </w:r>
      <w:bookmarkEnd w:id="1075"/>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9" name="Picture 9"/>
                  <wp:cNvGraphicFramePr>
                    <a:graphicFrameLocks noChangeAspect="1"/>
                  </wp:cNvGraphicFramePr>
                  <a:graphic>
                    <a:graphicData uri="http://schemas.openxmlformats.org/drawingml/2006/picture">
                      <pic:pic>
                        <pic:nvPicPr>
                          <pic:cNvPr id="0" name="plate_9_9.png"/>
                          <pic:cNvPicPr/>
                        </pic:nvPicPr>
                        <pic:blipFill>
                          <a:blip r:embed="rId19"/>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Three things unique to this tray</w:t>
                  </w:r>
                </w:p>
                <w:p>
                  <w:pPr>
                    <w:pStyle w:val="BoxBody"/>
                    <w:spacing w:before="20" w:after="40"/>
                    <w:ind w:start="181" w:hanging="181"/>
                  </w:pPr>
                  <w:r>
                    <w:rPr>
                      <w:rFonts w:ascii="Calibri" w:hAnsi="Calibri"/>
                      <w:b/>
                    </w:rPr>
                    <w:t xml:space="preserve">▪  </w:t>
                  </w:r>
                  <w:r>
                    <w:rPr>
                      <w:b/>
                    </w:rPr>
                    <w:t>Endoillumination</w:t>
                  </w:r>
                  <w:r>
                    <w:t xml:space="preserve"> — no other tray needs a light source *inside* the organ.</w:t>
                  </w:r>
                </w:p>
                <w:p>
                  <w:pPr>
                    <w:pStyle w:val="BoxBody"/>
                    <w:spacing w:before="20" w:after="40"/>
                    <w:ind w:start="181" w:hanging="181"/>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181" w:hanging="181"/>
                  </w:pPr>
                  <w:r>
                    <w:rPr>
                      <w:rFonts w:ascii="Calibri" w:hAnsi="Calibri"/>
                      <w:b/>
                    </w:rPr>
                    <w:t xml:space="preserve">▪  </w:t>
                  </w:r>
                  <w:r>
                    <w:rPr>
                      <w:b/>
                    </w:rPr>
                    <w:t>Tamponade agents</w:t>
                  </w:r>
                  <w:r>
                    <w:t xml:space="preserve"> — heavy liquid, expansile gas and silicone oil, each with its own handling rules.</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