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6" w:space="0" w:color="000000"/>
          <w:left w:val="single" w:sz="8" w:space="0" w:color="000000"/>
          <w:bottom w:val="single" w:sz="36" w:space="0" w:color="000000"/>
          <w:right w:val="single" w:sz="8" w:space="0" w:color="000000"/>
        </w:tblBorders>
      </w:tblPr>
      <w:tblGrid>
        <w:gridCol w:w="10800"/>
      </w:tblGrid>
      <w:tr>
        <w:tc>
          <w:tcPr>
            <w:tcW w:type="dxa" w:w="10800"/>
            <w:tcMar>
              <w:top w:w="420" w:type="dxa"/>
              <w:start w:w="260" w:type="dxa"/>
              <w:bottom w:w="420" w:type="dxa"/>
              <w:end w:w="260" w:type="dxa"/>
            </w:tcMar>
          </w:tcPr>
          <w:p>
            <w:pPr>
              <w:pStyle w:val="CoverSub"/>
              <w:spacing w:after="120"/>
            </w:pPr>
            <w:r>
              <w:rPr>
                <w:b/>
                <w:sz w:val="22"/>
                <w:spacing w:val="60"/>
              </w:rPr>
              <w:t>PART X — INSTRUMENT TRAYS</w:t>
            </w:r>
          </w:p>
          <w:p>
            <w:pPr>
              <w:pStyle w:val="CoverTitle"/>
              <w:spacing w:before="40" w:after="160"/>
            </w:pPr>
            <w:r>
              <w:t>PAEDIATRIC TRAYS</w:t>
            </w:r>
          </w:p>
          <w:p>
            <w:pPr>
              <w:jc w:val="center"/>
              <w:spacing w:before="0" w:after="200" w:line="240" w:lineRule="auto"/>
              <w:pBdr>
                <w:bottom w:val="single" w:sz="12" w:space="1" w:color="000000"/>
              </w:pBdr>
            </w:pPr>
          </w:p>
          <w:p>
            <w:pPr>
              <w:pStyle w:val="CoverSub"/>
              <w:spacing w:before="20" w:after="20"/>
            </w:pPr>
            <w:r>
              <w:rPr>
                <w:sz w:val="21"/>
              </w:rPr>
              <w:t>Complete, illustrated examination notes</w:t>
            </w:r>
          </w:p>
          <w:p>
            <w:pPr>
              <w:pStyle w:val="CoverSub"/>
              <w:spacing w:before="20" w:after="20"/>
            </w:pPr>
            <w:r>
              <w:rPr>
                <w:sz w:val="21"/>
              </w:rPr>
              <w:t>General · Gynaecologic &amp; Obstetric · Genitourinary · Thoracic</w:t>
            </w:r>
          </w:p>
          <w:p>
            <w:pPr>
              <w:pStyle w:val="CoverSub"/>
              <w:spacing w:before="20" w:after="20"/>
            </w:pPr>
            <w:r>
              <w:rPr>
                <w:sz w:val="21"/>
              </w:rPr>
              <w:t>Cardiovascular · Orthopaedic · Neurologic · ENT · Ophthalmic · Paediatric</w:t>
            </w:r>
          </w:p>
          <w:p>
            <w:pPr>
              <w:jc w:val="center"/>
              <w:spacing w:before="280" w:after="40" w:line="240" w:lineRule="auto"/>
              <w:pBdr>
                <w:top w:val="single" w:sz="6" w:space="4" w:color="999999"/>
              </w:pBdr>
            </w:pPr>
          </w:p>
          <w:p>
            <w:pPr>
              <w:pStyle w:val="CoverSub"/>
              <w:spacing w:before="20" w:after="20"/>
            </w:pPr>
            <w:r>
              <w:rPr>
                <w:i/>
                <w:color w:val="555555"/>
                <w:sz w:val="18"/>
              </w:rPr>
              <w:t>Legal (8.5 × 14 in) · 1.27 cm margins · monochrome print-ready</w:t>
            </w:r>
          </w:p>
          <w:p>
            <w:pPr>
              <w:pStyle w:val="CoverSub"/>
              <w:spacing w:before="20" w:after="20"/>
            </w:pPr>
            <w:r>
              <w:rPr>
                <w:i/>
                <w:color w:val="555555"/>
                <w:sz w:val="18"/>
              </w:rPr>
              <w:t>Every figure is an original line diagram, drawn for clarity in black and white</w:t>
            </w:r>
          </w:p>
        </w:tc>
      </w:tr>
    </w:tbl>
    <w:p>
      <w:r>
        <w:br w:type="page"/>
      </w:r>
    </w:p>
    <w:p>
      <w:bookmarkStart w:id="1076" w:name="toc"/>
      <w:pPr>
        <w:pStyle w:val="TOCHead"/>
        <w:spacing w:before="120" w:after="40"/>
      </w:pPr>
      <w:r>
        <w:t>Table of Contents</w:t>
      </w:r>
      <w:bookmarkEnd w:id="1076"/>
    </w:p>
    <w:p>
      <w:pPr>
        <w:jc w:val="center"/>
        <w:spacing w:before="0" w:after="80" w:line="240" w:lineRule="auto"/>
        <w:pBdr>
          <w:bottom w:val="single" w:sz="18" w:space="1" w:color="000000"/>
        </w:pBdr>
      </w:pPr>
    </w:p>
    <w:p>
      <w:pPr>
        <w:jc w:val="center"/>
        <w:spacing w:before="0" w:after="200"/>
      </w:pPr>
      <w:r>
        <w:rPr>
          <w:rFonts w:ascii="Calibri" w:hAnsi="Calibri"/>
          <w:i/>
          <w:color w:val="555555"/>
          <w:sz w:val="16"/>
        </w:rPr>
        <w:t>To fill in the page numbers: click anywhere in the list below, press Ctrl+A then F9, and choose “Update entire table”.</w:t>
      </w:r>
    </w:p>
    <w:p>
      <w:pPr>
        <w:spacing w:before="0" w:after="0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t>Right-click here and choose “Update Field”, or press Ctrl+A then F9, to build the Table of Contents with page numbers.</w:t>
      </w:r>
      <w:r>
        <w:fldChar w:fldCharType="end"/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6" w:space="0" w:color="808080"/>
          <w:left w:val="nil" w:sz="6" w:space="0" w:color="808080"/>
          <w:bottom w:val="nil" w:sz="6" w:space="0" w:color="808080"/>
          <w:right w:val="nil" w:sz="6" w:space="0" w:color="808080"/>
          <w:insideH w:val="nil" w:sz="6" w:space="0" w:color="808080"/>
          <w:insideV w:val="nil" w:sz="6" w:space="0" w:color="808080"/>
        </w:tblBorders>
      </w:tblPr>
      <w:tblGrid>
        <w:gridCol w:w="10800"/>
      </w:tblGrid>
      <w:tr>
        <w:tc>
          <w:tcPr>
            <w:tcW w:type="dxa" w:w="10800"/>
            <w:shd w:val="clear" w:color="auto" w:fill="1A1A1A"/>
            <w:tcMar>
              <w:top w:w="150" w:type="dxa"/>
              <w:start w:w="220" w:type="dxa"/>
              <w:bottom w:w="150" w:type="dxa"/>
              <w:end w:w="220" w:type="dxa"/>
            </w:tcMar>
          </w:tcPr>
          <w:p>
            <w:pPr>
              <w:jc w:val="left"/>
              <w:spacing w:before="0" w:after="40" w:line="240" w:lineRule="auto"/>
              <w:keepLines/>
              <w:keepNext/>
            </w:pPr>
            <w:r>
              <w:rPr>
                <w:rFonts w:ascii="Calibri" w:hAnsi="Calibri"/>
                <w:b/>
                <w:caps/>
                <w:color w:val="CCCCCC"/>
                <w:sz w:val="19"/>
                <w:spacing w:val="50"/>
              </w:rPr>
              <w:t>PART X</w:t>
            </w:r>
          </w:p>
          <w:p>
            <w:bookmarkStart w:id="1077" w:name="part_X"/>
            <w:pPr>
              <w:pStyle w:val="Heading1"/>
              <w:jc w:val="left"/>
              <w:spacing w:before="0" w:after="0"/>
            </w:pPr>
            <w:r>
              <w:rPr>
                <w:rFonts w:ascii="Calibri" w:hAnsi="Calibri"/>
                <w:b/>
                <w:color w:val="FFFFFF"/>
                <w:sz w:val="38"/>
              </w:rPr>
              <w:t>Paediatric Trays</w:t>
            </w:r>
            <w:bookmarkEnd w:id="1077"/>
          </w:p>
          <w:p>
            <w:pPr>
              <w:spacing w:before="80" w:after="0"/>
            </w:pPr>
            <w:r>
              <w:rPr>
                <w:rFonts w:ascii="Calibri" w:hAnsi="Calibri"/>
                <w:i/>
                <w:color w:val="D6D6D6"/>
                <w:sz w:val="19"/>
              </w:rPr>
              <w:t>Paediatric major · Paediatric minor · Paediatric gastrointestinal</w:t>
            </w:r>
          </w:p>
        </w:tc>
      </w:tr>
    </w:tbl>
    <w:p>
      <w:pPr>
        <w:spacing w:before="0" w:after="160" w:line="240" w:lineRule="auto"/>
      </w:pPr>
    </w:p>
    <w:p>
      <w:pPr>
        <w:pStyle w:val="TrayLead"/>
        <w:spacing w:before="40" w:after="160"/>
      </w:pPr>
      <w:r>
        <w:t xml:space="preserve">A child is </w:t>
      </w:r>
      <w:r>
        <w:rPr>
          <w:b/>
        </w:rPr>
        <w:t>not a small adult</w:t>
      </w:r>
      <w:r>
        <w:t xml:space="preserve">, and a paediatric tray is not merely a smaller tray. Four differences shape every set in this Part. </w:t>
      </w:r>
      <w:r>
        <w:rPr>
          <w:b/>
        </w:rPr>
        <w:t>Scale</w:t>
      </w:r>
      <w:r>
        <w:t xml:space="preserve"> — instruments are shorter, finer and lighter, and quantities are reduced. </w:t>
      </w:r>
      <w:r>
        <w:rPr>
          <w:b/>
        </w:rPr>
        <w:t>Physiology</w:t>
      </w:r>
      <w:r>
        <w:t xml:space="preserve"> — a neonate's total blood volume is about </w:t>
      </w:r>
      <w:r>
        <w:rPr>
          <w:b/>
        </w:rPr>
        <w:t>80 mL/kg</w:t>
      </w:r>
      <w:r>
        <w:t xml:space="preserve">, so a loss that would be trivial in an adult is life-threatening; blood loss is measured by weighing swabs. </w:t>
      </w:r>
      <w:r>
        <w:rPr>
          <w:b/>
        </w:rPr>
        <w:t>Thermoregulation</w:t>
      </w:r>
      <w:r>
        <w:t xml:space="preserve"> — a large surface-area to weight ratio means hypothermia develops within minutes, so warming is part of tray preparation. </w:t>
      </w:r>
      <w:r>
        <w:rPr>
          <w:b/>
        </w:rPr>
        <w:t>Tissue delicacy</w:t>
      </w:r>
      <w:r>
        <w:t xml:space="preserve"> — structures are millimetres wide, so magnification and fine atraumatic instruments are the rule.</w:t>
      </w:r>
    </w:p>
    <w:p>
      <w:r>
        <w:br w:type="page"/>
      </w:r>
    </w:p>
    <w:p>
      <w:bookmarkStart w:id="1078" w:name="tray_10_1"/>
      <w:pPr>
        <w:pStyle w:val="Heading2"/>
        <w:spacing w:before="320" w:after="40"/>
        <w:keepLines/>
        <w:keepNext/>
        <w:pBdr>
          <w:bottom w:val="single" w:sz="12" w:space="3" w:color="000000"/>
        </w:pBdr>
      </w:pPr>
      <w:r>
        <w:rPr>
          <w:rFonts w:ascii="Calibri" w:hAnsi="Calibri"/>
          <w:b/>
          <w:color w:val="666666"/>
          <w:sz w:val="29"/>
        </w:rPr>
        <w:t xml:space="preserve">10.1   </w:t>
      </w:r>
      <w:r>
        <w:rPr>
          <w:rFonts w:ascii="Calibri" w:hAnsi="Calibri"/>
          <w:b/>
          <w:sz w:val="29"/>
        </w:rPr>
        <w:t>Paediatric Major Procedures Tray</w:t>
      </w:r>
      <w:bookmarkEnd w:id="1078"/>
    </w:p>
    <w:p>
      <w:pPr>
        <w:spacing w:before="60" w:after="100"/>
      </w:pPr>
      <w:r>
        <w:rPr>
          <w:rFonts w:ascii="Calibri" w:hAnsi="Calibri"/>
          <w:b/>
          <w:caps/>
          <w:color w:val="555555"/>
          <w:sz w:val="17"/>
        </w:rPr>
        <w:t xml:space="preserve">Also called:  </w:t>
      </w:r>
      <w:r>
        <w:rPr>
          <w:i/>
          <w:color w:val="333333"/>
          <w:sz w:val="18"/>
        </w:rPr>
        <w:t>Paediatric laparotomy tray · neonatal major set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6" w:space="0" w:color="808080"/>
          <w:left w:val="nil" w:sz="6" w:space="0" w:color="808080"/>
          <w:bottom w:val="nil" w:sz="6" w:space="0" w:color="808080"/>
          <w:right w:val="nil" w:sz="6" w:space="0" w:color="808080"/>
          <w:insideH w:val="nil" w:sz="6" w:space="0" w:color="808080"/>
          <w:insideV w:val="nil" w:sz="6" w:space="0" w:color="808080"/>
        </w:tblBorders>
        <w:tblLayout w:type="fixed"/>
      </w:tblPr>
      <w:tblGrid>
        <w:gridCol w:w="3600"/>
        <w:gridCol w:w="3600"/>
        <w:gridCol w:w="3600"/>
      </w:tblGrid>
      <w:tr>
        <w:tc>
          <w:tcPr>
            <w:tcW w:type="dxa" w:w="691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TrayLead"/>
            </w:pPr>
            <w:r>
              <w:t xml:space="preserve">The </w:t>
            </w:r>
            <w:r>
              <w:rPr>
                <w:b/>
              </w:rPr>
              <w:t>paediatric major tray</w:t>
            </w:r>
            <w:r>
              <w:t xml:space="preserve"> is the child's equivalent of the adult major tray (1.1): a complete set covering all six functional groups for entry into a body cavity, but in </w:t>
            </w:r>
            <w:r>
              <w:rPr>
                <w:b/>
              </w:rPr>
              <w:t>short, fine, light patterns</w:t>
            </w:r>
            <w:r>
              <w:t xml:space="preserve"> and in </w:t>
            </w:r>
            <w:r>
              <w:rPr>
                <w:b/>
              </w:rPr>
              <w:t>smaller numbers</w:t>
            </w:r>
            <w:r>
              <w:t xml:space="preserve">. Its preparation is dominated less by the instruments themselves than by the </w:t>
            </w:r>
            <w:r>
              <w:rPr>
                <w:b/>
              </w:rPr>
              <w:t>physiological support</w:t>
            </w:r>
            <w:r>
              <w:t xml:space="preserve"> — warming, meticulous blood-loss measurement and precise fluid management — that must accompany them.</w:t>
            </w:r>
          </w:p>
          <w:p>
            <w:pPr>
              <w:pStyle w:val="TinyLabel"/>
            </w:pPr>
            <w:r>
              <w:t>Used for / includes</w:t>
            </w:r>
          </w:p>
          <w:p>
            <w:pPr>
              <w:pStyle w:val="Bullet"/>
              <w:ind w:start="238" w:hanging="238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>Neonatal laparotomy — necrotising enterocolitis, malrotation, atresia</w:t>
            </w:r>
          </w:p>
          <w:p>
            <w:pPr>
              <w:pStyle w:val="Bullet"/>
              <w:ind w:start="238" w:hanging="238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>Repair of congenital diaphragmatic hernia; oesophageal atresia with tracheo-oesophageal fistula</w:t>
            </w:r>
          </w:p>
          <w:p>
            <w:pPr>
              <w:pStyle w:val="Bullet"/>
              <w:ind w:start="238" w:hanging="238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>Excision of Wilms' tumour, neuroblastoma and other solid tumours</w:t>
            </w:r>
          </w:p>
          <w:p>
            <w:pPr>
              <w:pStyle w:val="Bullet"/>
              <w:ind w:start="238" w:hanging="238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>Splenectomy, nephrectomy and major hepatobiliary surgery in children</w:t>
            </w:r>
          </w:p>
          <w:p>
            <w:pPr>
              <w:pStyle w:val="Bullet"/>
              <w:ind w:start="238" w:hanging="238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>Pull-through procedures for Hirschsprung's disease and anorectal malformation</w:t>
            </w:r>
          </w:p>
          <w:p>
            <w:pPr>
              <w:pStyle w:val="Bullet"/>
              <w:ind w:start="238" w:hanging="238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>Repair of exomphalos and gastroschisis</w:t>
            </w:r>
          </w:p>
          <w:p>
            <w:pPr>
              <w:pStyle w:val="Bullet"/>
              <w:ind w:start="238" w:hanging="238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>Major thoracic surgery in children</w:t>
            </w:r>
          </w:p>
        </w:tc>
        <w:tc>
          <w:tcPr>
            <w:tcW w:type="dxa" w:w="198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3685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center"/>
              <w:spacing w:before="40" w:after="20" w:line="240" w:lineRule="auto"/>
              <w:pBdr>
                <w:top w:val="single" w:sz="4" w:space="2" w:color="999999"/>
                <w:left w:val="single" w:sz="4" w:space="3" w:color="999999"/>
                <w:bottom w:val="single" w:sz="4" w:space="2" w:color="999999"/>
                <w:right w:val="single" w:sz="4" w:space="3" w:color="999999"/>
              </w:pBdr>
            </w:pPr>
            <w:r>
              <w:drawing>
                <wp:inline xmlns:a="http://schemas.openxmlformats.org/drawingml/2006/main" xmlns:pic="http://schemas.openxmlformats.org/drawingml/2006/picture">
                  <wp:extent cx="2286000" cy="18013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0_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801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FigCaption"/>
              <w:jc w:val="center"/>
              <w:spacing w:before="40" w:after="120"/>
            </w:pPr>
            <w:r>
              <w:t>Fig 10.1 — Adult range, paediatric scale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6" w:space="0" w:color="000000"/>
                <w:left w:val="single" w:sz="20" w:space="0" w:color="000000"/>
                <w:bottom w:val="single" w:sz="6" w:space="0" w:color="000000"/>
                <w:right w:val="single" w:sz="6" w:space="0" w:color="000000"/>
              </w:tblBorders>
            </w:tblPr>
            <w:tblGrid>
              <w:gridCol w:w="3685"/>
            </w:tblGrid>
            <w:tr>
              <w:tc>
                <w:tcPr>
                  <w:tcW w:type="dxa" w:w="3685"/>
                  <w:shd w:val="clear" w:color="auto" w:fill="F0F0F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pStyle w:val="BoxHead"/>
                    <w:spacing w:before="0" w:after="60"/>
                  </w:pPr>
                  <w:r>
                    <w:t>The three paediatric constants</w:t>
                  </w:r>
                </w:p>
                <w:p>
                  <w:pPr>
                    <w:pStyle w:val="BoxBody"/>
                    <w:spacing w:before="20" w:after="40"/>
                    <w:ind w:start="181" w:hanging="181"/>
                  </w:pPr>
                  <w:r>
                    <w:rPr>
                      <w:rFonts w:ascii="Calibri" w:hAnsi="Calibri"/>
                      <w:b/>
                    </w:rPr>
                    <w:t xml:space="preserve">▪  </w:t>
                  </w:r>
                  <w:r>
                    <w:rPr>
                      <w:b/>
                    </w:rPr>
                    <w:t>Warm</w:t>
                  </w:r>
                  <w:r>
                    <w:t xml:space="preserve"> — warming mattress, overhead heater, warmed fluids, theatre at 24–26 °C.</w:t>
                  </w:r>
                </w:p>
                <w:p>
                  <w:pPr>
                    <w:pStyle w:val="BoxBody"/>
                    <w:spacing w:before="20" w:after="40"/>
                    <w:ind w:start="181" w:hanging="181"/>
                  </w:pPr>
                  <w:r>
                    <w:rPr>
                      <w:rFonts w:ascii="Calibri" w:hAnsi="Calibri"/>
                      <w:b/>
                    </w:rPr>
                    <w:t xml:space="preserve">▪  </w:t>
                  </w:r>
                  <w:r>
                    <w:rPr>
                      <w:b/>
                    </w:rPr>
                    <w:t>Measure</w:t>
                  </w:r>
                  <w:r>
                    <w:t xml:space="preserve"> — weigh the swabs; blood volume is only about </w:t>
                  </w:r>
                  <w:r>
                    <w:rPr>
                      <w:b/>
                    </w:rPr>
                    <w:t>80 mL/kg</w:t>
                  </w:r>
                  <w:r>
                    <w:t>.</w:t>
                  </w:r>
                </w:p>
                <w:p>
                  <w:pPr>
                    <w:pStyle w:val="BoxBody"/>
                    <w:spacing w:before="20" w:after="40"/>
                    <w:ind w:start="181" w:hanging="181"/>
                  </w:pPr>
                  <w:r>
                    <w:rPr>
                      <w:rFonts w:ascii="Calibri" w:hAnsi="Calibri"/>
                      <w:b/>
                    </w:rPr>
                    <w:t xml:space="preserve">▪  </w:t>
                  </w:r>
                  <w:r>
                    <w:rPr>
                      <w:b/>
                    </w:rPr>
                    <w:t>Miniaturise</w:t>
                  </w:r>
                  <w:r>
                    <w:t xml:space="preserve"> — short fine instruments, mosquito forceps as the workhorse, 4-0 to 7-0 suture, fine vented suction.</w:t>
                  </w:r>
                </w:p>
                <w:p>
                  <w:pPr>
                    <w:pStyle w:val="BoxBody"/>
                    <w:spacing w:before="20" w:after="40"/>
                    <w:ind w:start="181" w:hanging="181"/>
                  </w:pPr>
                  <w:r>
                    <w:rPr>
                      <w:rFonts w:ascii="Calibri" w:hAnsi="Calibri"/>
                      <w:b/>
                    </w:rPr>
                    <w:t xml:space="preserve">▪  </w:t>
                  </w:r>
                  <w:r>
                    <w:t>Quote these three in any paediatric tray answer.</w:t>
                  </w:r>
                </w:p>
              </w:tc>
            </w:tr>
          </w:tbl>
          <w:p/>
        </w:tc>
      </w:tr>
    </w:tbl>
    <w:p>
      <w:pPr>
        <w:pStyle w:val="Heading3"/>
        <w:keepLines/>
        <w:keepNext/>
      </w:pPr>
      <w:r>
        <w:rPr>
          <w:rFonts w:ascii="Calibri" w:hAnsi="Calibri"/>
          <w:b/>
        </w:rPr>
        <w:t>Contents of the tray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12" w:space="0" w:color="000000"/>
          <w:left w:val="single" w:sz="6" w:space="0" w:color="000000"/>
          <w:bottom w:val="single" w:sz="12" w:space="0" w:color="000000"/>
          <w:right w:val="single" w:sz="6" w:space="0" w:color="000000"/>
          <w:insideH w:val="single" w:sz="4" w:space="0" w:color="BBBBBB"/>
          <w:insideV w:val="single" w:sz="4" w:space="0" w:color="BBBBBB"/>
        </w:tblBorders>
      </w:tblPr>
      <w:tblGrid>
        <w:gridCol w:w="3600"/>
        <w:gridCol w:w="3600"/>
        <w:gridCol w:w="3600"/>
      </w:tblGrid>
      <w:tr>
        <w:trPr>
          <w:tblHeader/>
          <w:cantSplit/>
        </w:trPr>
        <w:tc>
          <w:tcPr>
            <w:tcW w:type="dxa" w:w="850"/>
            <w:shd w:val="clear" w:color="auto" w:fill="D9D9D9"/>
            <w:tcMar>
              <w:top w:w="50" w:type="dxa"/>
              <w:start w:w="80" w:type="dxa"/>
              <w:bottom w:w="5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Head"/>
              <w:jc w:val="center"/>
            </w:pPr>
            <w:r>
              <w:t>Qty</w:t>
            </w:r>
          </w:p>
        </w:tc>
        <w:tc>
          <w:tcPr>
            <w:tcW w:type="dxa" w:w="4082"/>
            <w:shd w:val="clear" w:color="auto" w:fill="D9D9D9"/>
            <w:tcMar>
              <w:top w:w="50" w:type="dxa"/>
              <w:start w:w="80" w:type="dxa"/>
              <w:bottom w:w="5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Head"/>
              <w:jc w:val="left"/>
            </w:pPr>
            <w:r>
              <w:t>Instrument</w:t>
            </w:r>
          </w:p>
        </w:tc>
        <w:tc>
          <w:tcPr>
            <w:tcW w:type="dxa" w:w="5868"/>
            <w:shd w:val="clear" w:color="auto" w:fill="D9D9D9"/>
            <w:tcMar>
              <w:top w:w="50" w:type="dxa"/>
              <w:start w:w="80" w:type="dxa"/>
              <w:bottom w:w="5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Head"/>
              <w:jc w:val="left"/>
            </w:pPr>
            <w:r>
              <w:t>Notes / rationale</w:t>
            </w:r>
          </w:p>
        </w:tc>
      </w:tr>
      <w:tr>
        <w:tc>
          <w:tcPr>
            <w:tcW w:type="dxa" w:w="10800"/>
            <w:gridSpan w:val="3"/>
            <w:shd w:val="clear" w:color="auto" w:fill="E4E4E4"/>
            <w:tcMar>
              <w:top w:w="48" w:type="dxa"/>
              <w:start w:w="80" w:type="dxa"/>
              <w:bottom w:w="48" w:type="dxa"/>
              <w:end w:w="80" w:type="dxa"/>
            </w:tcMar>
          </w:tcPr>
          <w:p>
            <w:pPr>
              <w:pStyle w:val="TabHead"/>
              <w:keepLines/>
              <w:keepNext/>
            </w:pPr>
            <w:r>
              <w:rPr>
                <w:rFonts w:ascii="Calibri" w:hAnsi="Calibri"/>
                <w:b/>
                <w:sz w:val="17"/>
                <w:spacing w:val="12"/>
              </w:rPr>
              <w:t>CUTTING AND DISSECTING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2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 xml:space="preserve">Knife handle No.3 with </w:t>
            </w:r>
            <w:r>
              <w:rPr>
                <w:b/>
              </w:rPr>
              <w:t>No.15</w:t>
            </w:r>
            <w:r>
              <w:rPr>
                <w:b/>
              </w:rPr>
              <w:t xml:space="preserve"> blade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rPr>
                <w:b/>
              </w:rPr>
              <w:t>No.15, not No.20</w:t>
            </w:r>
            <w:r>
              <w:t xml:space="preserve"> — the incision is short and precise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Knife handle No.7, fine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deep dissection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2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Metzenbaum scissors, fine 11–14 cm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the principal dissecting instrument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Mayo scissors, small curved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tougher tissue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Iris / tenotomy scissors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very fine work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Suture scissors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Potts-Smith angled scissors, fine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vessels and duct anastomoses</w:t>
            </w:r>
          </w:p>
        </w:tc>
      </w:tr>
      <w:tr>
        <w:tc>
          <w:tcPr>
            <w:tcW w:type="dxa" w:w="10800"/>
            <w:gridSpan w:val="3"/>
            <w:shd w:val="clear" w:color="auto" w:fill="E4E4E4"/>
            <w:tcMar>
              <w:top w:w="48" w:type="dxa"/>
              <w:start w:w="80" w:type="dxa"/>
              <w:bottom w:w="48" w:type="dxa"/>
              <w:end w:w="80" w:type="dxa"/>
            </w:tcMar>
          </w:tcPr>
          <w:p>
            <w:pPr>
              <w:pStyle w:val="TabHead"/>
              <w:keepLines/>
              <w:keepNext/>
            </w:pPr>
            <w:r>
              <w:rPr>
                <w:rFonts w:ascii="Calibri" w:hAnsi="Calibri"/>
                <w:b/>
                <w:sz w:val="17"/>
                <w:spacing w:val="12"/>
              </w:rPr>
              <w:t>GRASPING AND HOLDING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2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Adson / fine toothed forceps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skin and fascia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2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DeBakey forceps, fine 13–16 cm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atraumatic — bowel, vessels, ureter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2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Dressing forceps, fine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2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Non-toothed fine forceps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4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Babcock forceps, small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atraumatic bowel handling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4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Allis forceps, small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4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Towel clips, small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2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Sponge-holding forceps, small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</w:p>
        </w:tc>
      </w:tr>
      <w:tr>
        <w:tc>
          <w:tcPr>
            <w:tcW w:type="dxa" w:w="10800"/>
            <w:gridSpan w:val="3"/>
            <w:shd w:val="clear" w:color="auto" w:fill="E4E4E4"/>
            <w:tcMar>
              <w:top w:w="48" w:type="dxa"/>
              <w:start w:w="80" w:type="dxa"/>
              <w:bottom w:w="48" w:type="dxa"/>
              <w:end w:w="80" w:type="dxa"/>
            </w:tcMar>
          </w:tcPr>
          <w:p>
            <w:pPr>
              <w:pStyle w:val="TabHead"/>
              <w:keepLines/>
              <w:keepNext/>
            </w:pPr>
            <w:r>
              <w:rPr>
                <w:rFonts w:ascii="Calibri" w:hAnsi="Calibri"/>
                <w:b/>
                <w:sz w:val="17"/>
                <w:spacing w:val="12"/>
              </w:rPr>
              <w:t>CLAMPING AND OCCLUDING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12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Mosquito (Halsted) forceps, curved — the workhorse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rPr>
                <w:b/>
              </w:rPr>
              <w:t>signature point</w:t>
            </w:r>
            <w:r>
              <w:t xml:space="preserve"> — in paediatric surgery the mosquito replaces the Crile as the standard haemostat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6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Crile forceps, small 12–14 cm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4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Right-angled (Mixter) forceps, fine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encircling small pedicles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4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Bulldog clamps, small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vascular occlusion in vessels 2–3 mm wide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4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Non-crushing (Doyen-type) intestinal clamps, small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bowel that must survive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2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Kocher clamps, small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crushing, specimen side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Ligating clips, small and micro, with appliers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often safer and faster than ties on tiny vessels</w:t>
            </w:r>
          </w:p>
        </w:tc>
      </w:tr>
      <w:tr>
        <w:tc>
          <w:tcPr>
            <w:tcW w:type="dxa" w:w="10800"/>
            <w:gridSpan w:val="3"/>
            <w:shd w:val="clear" w:color="auto" w:fill="E4E4E4"/>
            <w:tcMar>
              <w:top w:w="48" w:type="dxa"/>
              <w:start w:w="80" w:type="dxa"/>
              <w:bottom w:w="48" w:type="dxa"/>
              <w:end w:w="80" w:type="dxa"/>
            </w:tcMar>
          </w:tcPr>
          <w:p>
            <w:pPr>
              <w:pStyle w:val="TabHead"/>
              <w:keepLines/>
              <w:keepNext/>
            </w:pPr>
            <w:r>
              <w:rPr>
                <w:rFonts w:ascii="Calibri" w:hAnsi="Calibri"/>
                <w:b/>
                <w:sz w:val="17"/>
                <w:spacing w:val="12"/>
              </w:rPr>
              <w:t>EXPOSING AND RETRACTING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2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Senn and small Langenbeck retractors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2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Army-Navy retractors, small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2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Malleable retractors, narrow (1–2 cm)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protects viscera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Small self-retaining retractor — Weitlaner, Denis Browne ring or a small Balfour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rPr>
                <w:b/>
              </w:rPr>
              <w:t>signature item</w:t>
            </w:r>
            <w:r>
              <w:t xml:space="preserve"> — the Denis Browne ring retractor with assorted small blades is the classic paediatric self-retainer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2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Skin hooks, fine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2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Small Deaver retractors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Head-light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Magnifying loupes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rPr>
                <w:b/>
              </w:rPr>
              <w:t>routinely used in neonates</w:t>
            </w:r>
          </w:p>
        </w:tc>
      </w:tr>
      <w:tr>
        <w:tc>
          <w:tcPr>
            <w:tcW w:type="dxa" w:w="10800"/>
            <w:gridSpan w:val="3"/>
            <w:shd w:val="clear" w:color="auto" w:fill="E4E4E4"/>
            <w:tcMar>
              <w:top w:w="48" w:type="dxa"/>
              <w:start w:w="80" w:type="dxa"/>
              <w:bottom w:w="48" w:type="dxa"/>
              <w:end w:w="80" w:type="dxa"/>
            </w:tcMar>
          </w:tcPr>
          <w:p>
            <w:pPr>
              <w:pStyle w:val="TabHead"/>
              <w:keepLines/>
              <w:keepNext/>
            </w:pPr>
            <w:r>
              <w:rPr>
                <w:rFonts w:ascii="Calibri" w:hAnsi="Calibri"/>
                <w:b/>
                <w:sz w:val="17"/>
                <w:spacing w:val="12"/>
              </w:rPr>
              <w:t>SUTURING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2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Needle holders, fine 13–15 cm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Castroviejo / micro needle holder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vascular and duct anastomoses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Fine suture — 4-0 to 7-0 absorbable; 5-0 to 7-0 monofilament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rPr>
                <w:b/>
              </w:rPr>
              <w:t>heavier suture cuts through neonatal tissue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Fine vascular suture 6-0 to 8-0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Absorbable subcuticular skin suture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avoids the distress of suture removal</w:t>
            </w:r>
          </w:p>
        </w:tc>
      </w:tr>
      <w:tr>
        <w:tc>
          <w:tcPr>
            <w:tcW w:type="dxa" w:w="10800"/>
            <w:gridSpan w:val="3"/>
            <w:shd w:val="clear" w:color="auto" w:fill="E4E4E4"/>
            <w:tcMar>
              <w:top w:w="48" w:type="dxa"/>
              <w:start w:w="80" w:type="dxa"/>
              <w:bottom w:w="48" w:type="dxa"/>
              <w:end w:w="80" w:type="dxa"/>
            </w:tcMar>
          </w:tcPr>
          <w:p>
            <w:pPr>
              <w:pStyle w:val="TabHead"/>
              <w:keepLines/>
              <w:keepNext/>
            </w:pPr>
            <w:r>
              <w:rPr>
                <w:rFonts w:ascii="Calibri" w:hAnsi="Calibri"/>
                <w:b/>
                <w:sz w:val="17"/>
                <w:spacing w:val="12"/>
              </w:rPr>
              <w:t>SUCTION AND ACCESSORY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2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Fine suction tips (Frazier) with a thumb vent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rPr>
                <w:b/>
              </w:rPr>
              <w:t>signature item</w:t>
            </w:r>
            <w:r>
              <w:t xml:space="preserve"> — the vent limits the force applied to friable neonatal tissue; </w:t>
            </w:r>
            <w:r>
              <w:rPr>
                <w:b/>
              </w:rPr>
              <w:t>a Poole tip is too large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Small Yankauer tip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Low-suction, small-volume reservoir with graduated measurement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rPr>
                <w:b/>
              </w:rPr>
              <w:t>every millilitre of loss is measured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Bipolar diathermy with fine tips, low power settings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rPr>
                <w:b/>
              </w:rPr>
              <w:t>bipolar preferred; monopolar spreads through a small body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Paediatric electrosurgical return electrode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correctly sized for the child's weight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Small radio-opaque swabs and gauze, counted, and a weighing scale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rPr>
                <w:b/>
              </w:rPr>
              <w:t>signature requirement</w:t>
            </w:r>
            <w:r>
              <w:t xml:space="preserve"> — swabs are </w:t>
            </w:r>
            <w:r>
              <w:rPr>
                <w:b/>
              </w:rPr>
              <w:t>weighed</w:t>
            </w:r>
            <w:r>
              <w:t xml:space="preserve"> to quantify blood loss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Small kidney dish, gallipots and specimen containers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Fine feeding tubes, infant catheters and small drains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</w:p>
        </w:tc>
      </w:tr>
      <w:tr>
        <w:tc>
          <w:tcPr>
            <w:tcW w:type="dxa" w:w="10800"/>
            <w:gridSpan w:val="3"/>
            <w:shd w:val="clear" w:color="auto" w:fill="E4E4E4"/>
            <w:tcMar>
              <w:top w:w="48" w:type="dxa"/>
              <w:start w:w="80" w:type="dxa"/>
              <w:bottom w:w="48" w:type="dxa"/>
              <w:end w:w="80" w:type="dxa"/>
            </w:tcMar>
          </w:tcPr>
          <w:p>
            <w:pPr>
              <w:pStyle w:val="TabHead"/>
              <w:keepLines/>
              <w:keepNext/>
            </w:pPr>
            <w:r>
              <w:rPr>
                <w:rFonts w:ascii="Calibri" w:hAnsi="Calibri"/>
                <w:b/>
                <w:sz w:val="17"/>
                <w:spacing w:val="12"/>
              </w:rPr>
              <w:t>PHYSIOLOGICAL SUPPORT — INSEPARABLE FROM THE TRAY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Forced-air or radiant warmer, warming mattress and overhead heater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rPr>
                <w:b/>
              </w:rPr>
              <w:t>signature requirement</w:t>
            </w:r>
            <w:r>
              <w:t xml:space="preserve"> — hypothermia occurs within minutes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Warmed irrigation fluid, warmed intravenous fluids and a fluid warmer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Raised theatre ambient temperature (24–26 °C for neonates)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Temperature probe and continuous core temperature monitoring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Cross-matched blood in paediatric aliquots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rPr>
                <w:b/>
              </w:rPr>
              <w:t>neonatal blood volume ≈ 80 mL/kg — a 30 mL loss in a 2 kg baby is nearly 20 % of the circulating volume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Volumetric infusion pumps and syringe drivers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fluids are given in millilitres per kilogram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Padding, gel supports and eye protection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pressure injury occurs quickly in a small body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Glucose monitoring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neonates have limited glycogen reserve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Neonatal resuscitation equipment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</w:p>
        </w:tc>
      </w:tr>
    </w:tbl>
    <w:p>
      <w:pPr>
        <w:spacing w:before="0" w:after="160" w:line="240" w:lineRule="auto"/>
      </w:pPr>
    </w:p>
    <w:p>
      <w:pPr>
        <w:pStyle w:val="Heading4"/>
        <w:keepLines/>
        <w:keepNext/>
      </w:pPr>
      <w:r>
        <w:rPr>
          <w:rFonts w:ascii="Calibri" w:hAnsi="Calibri"/>
          <w:b/>
        </w:rPr>
        <w:t>Additional supplies and accessories</w:t>
      </w:r>
    </w:p>
    <w:p>
      <w:pPr>
        <w:pStyle w:val="BoxBody"/>
        <w:ind w:start="170"/>
      </w:pPr>
      <w:r>
        <w:rPr>
          <w:b/>
        </w:rPr>
        <w:t>Position</w:t>
      </w:r>
      <w:r>
        <w:t xml:space="preserve"> — Supine on a warming mattress with the limbs padded and secured; small rolls rather than sandbags. The child is positioned to give access while </w:t>
      </w:r>
      <w:r>
        <w:rPr>
          <w:b/>
        </w:rPr>
        <w:t>preserving temperature</w:t>
      </w:r>
      <w:r>
        <w:t xml:space="preserve"> — exposure is kept to the minimum area and duration.</w:t>
      </w:r>
    </w:p>
    <w:p>
      <w:pPr>
        <w:pStyle w:val="BoxBody"/>
        <w:ind w:start="170"/>
      </w:pPr>
      <w:r>
        <w:rPr>
          <w:b/>
        </w:rPr>
        <w:t>Consent and identification</w:t>
      </w:r>
      <w:r>
        <w:t xml:space="preserve"> — Consent is by the parent or legal guardian; identity, weight and the operative side are confirmed at the WHO checklist. </w:t>
      </w:r>
      <w:r>
        <w:rPr>
          <w:b/>
        </w:rPr>
        <w:t>The weight is documented because every drug, fluid and blood volume is calculated from it.</w:t>
      </w:r>
    </w:p>
    <w:p>
      <w:pPr>
        <w:pStyle w:val="BoxBody"/>
        <w:ind w:start="170"/>
      </w:pPr>
      <w:r>
        <w:rPr>
          <w:b/>
        </w:rPr>
        <w:t>Complications</w:t>
      </w:r>
      <w:r>
        <w:t xml:space="preserve"> — </w:t>
      </w:r>
      <w:r>
        <w:rPr>
          <w:b/>
        </w:rPr>
        <w:t>Hypothermia</w:t>
      </w:r>
      <w:r>
        <w:t xml:space="preserve">, hypoglycaemia, fluid overload or depletion, </w:t>
      </w:r>
      <w:r>
        <w:rPr>
          <w:b/>
        </w:rPr>
        <w:t>relatively rapid haemorrhagic shock</w:t>
      </w:r>
      <w:r>
        <w:t>, anastomotic leak, pressure injury, and — with monopolar diathermy — disproportionate thermal spread.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12" w:space="0" w:color="000000"/>
          <w:left w:val="single" w:sz="6" w:space="0" w:color="000000"/>
          <w:bottom w:val="single" w:sz="12" w:space="0" w:color="000000"/>
          <w:right w:val="single" w:sz="6" w:space="0" w:color="000000"/>
          <w:insideH w:val="single" w:sz="4" w:space="0" w:color="BBBBBB"/>
          <w:insideV w:val="single" w:sz="4" w:space="0" w:color="BBBBBB"/>
        </w:tblBorders>
      </w:tblPr>
      <w:tblGrid>
        <w:gridCol w:w="3600"/>
        <w:gridCol w:w="3600"/>
        <w:gridCol w:w="3600"/>
      </w:tblGrid>
      <w:tr>
        <w:trPr>
          <w:tblHeader/>
          <w:cantSplit/>
        </w:trPr>
        <w:tc>
          <w:tcPr>
            <w:tcW w:type="dxa" w:w="3600"/>
            <w:shd w:val="clear" w:color="auto" w:fill="D9D9D9"/>
            <w:tcMar>
              <w:top w:w="50" w:type="dxa"/>
              <w:start w:w="80" w:type="dxa"/>
              <w:bottom w:w="5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Head"/>
            </w:pPr>
            <w:r>
              <w:t>Feature</w:t>
            </w:r>
          </w:p>
        </w:tc>
        <w:tc>
          <w:tcPr>
            <w:tcW w:type="dxa" w:w="3600"/>
            <w:shd w:val="clear" w:color="auto" w:fill="D9D9D9"/>
            <w:tcMar>
              <w:top w:w="50" w:type="dxa"/>
              <w:start w:w="80" w:type="dxa"/>
              <w:bottom w:w="5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Head"/>
            </w:pPr>
            <w:r>
              <w:t>Adult major tray</w:t>
            </w:r>
          </w:p>
        </w:tc>
        <w:tc>
          <w:tcPr>
            <w:tcW w:type="dxa" w:w="3600"/>
            <w:shd w:val="clear" w:color="auto" w:fill="D9D9D9"/>
            <w:tcMar>
              <w:top w:w="50" w:type="dxa"/>
              <w:start w:w="80" w:type="dxa"/>
              <w:bottom w:w="5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Head"/>
            </w:pPr>
            <w:r>
              <w:t>Paediatric major tray</w:t>
            </w:r>
          </w:p>
        </w:tc>
      </w:tr>
      <w:tr>
        <w:tc>
          <w:tcPr>
            <w:tcW w:type="dxa" w:w="360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</w:pPr>
            <w:r>
              <w:rPr>
                <w:b/>
              </w:rPr>
              <w:t>Skin blade</w:t>
            </w:r>
          </w:p>
        </w:tc>
        <w:tc>
          <w:tcPr>
            <w:tcW w:type="dxa" w:w="360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</w:pPr>
            <w:r>
              <w:t>No.20 on a No.4 handle</w:t>
            </w:r>
          </w:p>
        </w:tc>
        <w:tc>
          <w:tcPr>
            <w:tcW w:type="dxa" w:w="360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</w:pPr>
            <w:r>
              <w:rPr>
                <w:b/>
              </w:rPr>
              <w:t>No.15 on a No.3 handle</w:t>
            </w:r>
          </w:p>
        </w:tc>
      </w:tr>
      <w:tr>
        <w:tc>
          <w:tcPr>
            <w:tcW w:type="dxa" w:w="360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</w:pPr>
            <w:r>
              <w:rPr>
                <w:b/>
              </w:rPr>
              <w:t>Standard haemostat</w:t>
            </w:r>
          </w:p>
        </w:tc>
        <w:tc>
          <w:tcPr>
            <w:tcW w:type="dxa" w:w="360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</w:pPr>
            <w:r>
              <w:t>Crile / Kelly</w:t>
            </w:r>
          </w:p>
        </w:tc>
        <w:tc>
          <w:tcPr>
            <w:tcW w:type="dxa" w:w="360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</w:pPr>
            <w:r>
              <w:rPr>
                <w:b/>
              </w:rPr>
              <w:t>Mosquito (Halsted)</w:t>
            </w:r>
          </w:p>
        </w:tc>
      </w:tr>
      <w:tr>
        <w:tc>
          <w:tcPr>
            <w:tcW w:type="dxa" w:w="360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</w:pPr>
            <w:r>
              <w:rPr>
                <w:b/>
              </w:rPr>
              <w:t>Suture calibre</w:t>
            </w:r>
          </w:p>
        </w:tc>
        <w:tc>
          <w:tcPr>
            <w:tcW w:type="dxa" w:w="360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</w:pPr>
            <w:r>
              <w:t>0 to 3-0</w:t>
            </w:r>
          </w:p>
        </w:tc>
        <w:tc>
          <w:tcPr>
            <w:tcW w:type="dxa" w:w="360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</w:pPr>
            <w:r>
              <w:rPr>
                <w:b/>
              </w:rPr>
              <w:t>4-0 to 7-0</w:t>
            </w:r>
          </w:p>
        </w:tc>
      </w:tr>
      <w:tr>
        <w:tc>
          <w:tcPr>
            <w:tcW w:type="dxa" w:w="360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</w:pPr>
            <w:r>
              <w:rPr>
                <w:b/>
              </w:rPr>
              <w:t>Suction</w:t>
            </w:r>
          </w:p>
        </w:tc>
        <w:tc>
          <w:tcPr>
            <w:tcW w:type="dxa" w:w="360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</w:pPr>
            <w:r>
              <w:t>Poole + Yankauer</w:t>
            </w:r>
          </w:p>
        </w:tc>
        <w:tc>
          <w:tcPr>
            <w:tcW w:type="dxa" w:w="360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</w:pPr>
            <w:r>
              <w:rPr>
                <w:b/>
              </w:rPr>
              <w:t>Fine vented Frazier</w:t>
            </w:r>
            <w:r>
              <w:t>, small graduated reservoir</w:t>
            </w:r>
          </w:p>
        </w:tc>
      </w:tr>
      <w:tr>
        <w:tc>
          <w:tcPr>
            <w:tcW w:type="dxa" w:w="360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</w:pPr>
            <w:r>
              <w:rPr>
                <w:b/>
              </w:rPr>
              <w:t>Self-retainer</w:t>
            </w:r>
          </w:p>
        </w:tc>
        <w:tc>
          <w:tcPr>
            <w:tcW w:type="dxa" w:w="360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</w:pPr>
            <w:r>
              <w:t>Balfour with bladder blade</w:t>
            </w:r>
          </w:p>
        </w:tc>
        <w:tc>
          <w:tcPr>
            <w:tcW w:type="dxa" w:w="360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</w:pPr>
            <w:r>
              <w:rPr>
                <w:b/>
              </w:rPr>
              <w:t>Denis Browne ring retractor</w:t>
            </w:r>
            <w:r>
              <w:t xml:space="preserve"> / small Weitlaner</w:t>
            </w:r>
          </w:p>
        </w:tc>
      </w:tr>
      <w:tr>
        <w:tc>
          <w:tcPr>
            <w:tcW w:type="dxa" w:w="360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</w:pPr>
            <w:r>
              <w:rPr>
                <w:b/>
              </w:rPr>
              <w:t>Blood-loss assessment</w:t>
            </w:r>
          </w:p>
        </w:tc>
        <w:tc>
          <w:tcPr>
            <w:tcW w:type="dxa" w:w="360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</w:pPr>
            <w:r>
              <w:t>Estimated volume in the reservoir</w:t>
            </w:r>
          </w:p>
        </w:tc>
        <w:tc>
          <w:tcPr>
            <w:tcW w:type="dxa" w:w="360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</w:pPr>
            <w:r>
              <w:rPr>
                <w:b/>
              </w:rPr>
              <w:t>Swabs weighed; loss calculated against 80 mL/kg</w:t>
            </w:r>
          </w:p>
        </w:tc>
      </w:tr>
      <w:tr>
        <w:tc>
          <w:tcPr>
            <w:tcW w:type="dxa" w:w="360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</w:pPr>
            <w:r>
              <w:rPr>
                <w:b/>
              </w:rPr>
              <w:t>Temperature control</w:t>
            </w:r>
          </w:p>
        </w:tc>
        <w:tc>
          <w:tcPr>
            <w:tcW w:type="dxa" w:w="360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</w:pPr>
            <w:r>
              <w:t>Routine warming</w:t>
            </w:r>
          </w:p>
        </w:tc>
        <w:tc>
          <w:tcPr>
            <w:tcW w:type="dxa" w:w="360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</w:pPr>
            <w:r>
              <w:rPr>
                <w:b/>
              </w:rPr>
              <w:t>Active warming is essential and continuous</w:t>
            </w:r>
          </w:p>
        </w:tc>
      </w:tr>
    </w:tbl>
    <w:p>
      <w:pPr>
        <w:spacing w:before="0" w:after="160" w:line="240" w:lineRule="auto"/>
      </w:pPr>
    </w:p>
    <w:p>
      <w:pPr>
        <w:pStyle w:val="FigCaption"/>
        <w:jc w:val="center"/>
      </w:pPr>
      <w:r>
        <w:t>Table 10.1 — Adult versus paediatric major tray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24" w:space="0" w:color="000000"/>
          <w:bottom w:val="single" w:sz="6" w:space="0" w:color="000000"/>
          <w:right w:val="single" w:sz="6" w:space="0" w:color="000000"/>
        </w:tblBorders>
      </w:tblPr>
      <w:tblGrid>
        <w:gridCol w:w="10800"/>
      </w:tblGrid>
      <w:tr>
        <w:tc>
          <w:tcPr>
            <w:tcW w:type="dxa" w:w="10800"/>
            <w:shd w:val="clear" w:color="auto" w:fill="F0F0F0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pStyle w:val="BoxHead"/>
              <w:spacing w:before="0" w:after="60"/>
            </w:pPr>
            <w:r>
              <w:t>Examination pointers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 xml:space="preserve">Open with the principle: </w:t>
            </w:r>
            <w:r>
              <w:rPr>
                <w:b/>
              </w:rPr>
              <w:t>a child is not a small adult</w:t>
            </w:r>
            <w:r>
              <w:t xml:space="preserve"> — then give scale, physiology, thermoregulation and tissue delicacy.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rPr>
                <w:b/>
              </w:rPr>
              <w:t>No.15 blade, mosquito forceps as the workhorse, 4-0 to 7-0 suture, fine vented Frazier suction</w:t>
            </w:r>
            <w:r>
              <w:t xml:space="preserve"> are the concrete substitutions.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rPr>
                <w:b/>
              </w:rPr>
              <w:t>Denis Browne ring retractor</w:t>
            </w:r>
            <w:r>
              <w:t xml:space="preserve"> is the classic paediatric self-retaining retractor.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rPr>
                <w:b/>
              </w:rPr>
              <w:t>Weigh the swabs</w:t>
            </w:r>
            <w:r>
              <w:t xml:space="preserve"> and quote </w:t>
            </w:r>
            <w:r>
              <w:rPr>
                <w:b/>
              </w:rPr>
              <w:t>blood volume ≈ 80 mL/kg</w:t>
            </w:r>
            <w:r>
              <w:t xml:space="preserve"> — the most reliably rewarded facts in this Part.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rPr>
                <w:b/>
              </w:rPr>
              <w:t>Active warming (mattress, overhead heater, warmed fluids, theatre 24–26 °C) is part of tray preparation.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rPr>
                <w:b/>
              </w:rPr>
              <w:t>Bipolar diathermy at low settings with a correctly sized return electrode.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rPr>
                <w:b/>
              </w:rPr>
              <w:t>Loupes are routine</w:t>
            </w:r>
            <w:r>
              <w:t xml:space="preserve"> in neonatal work.</w:t>
            </w:r>
          </w:p>
        </w:tc>
      </w:tr>
    </w:tbl>
    <w:p>
      <w:pPr>
        <w:spacing w:before="0" w:after="140" w:line="240" w:lineRule="auto"/>
      </w:pPr>
    </w:p>
    <w:p>
      <w:pPr>
        <w:pStyle w:val="Heading4"/>
        <w:keepLines/>
        <w:keepNext/>
      </w:pPr>
      <w:r>
        <w:rPr>
          <w:rFonts w:ascii="Calibri" w:hAnsi="Calibri"/>
          <w:b/>
        </w:rPr>
        <w:t>Likely examination questions</w:t>
      </w:r>
    </w:p>
    <w:p>
      <w:pPr>
        <w:spacing w:before="80" w:after="20"/>
        <w:ind w:start="311" w:hanging="311"/>
        <w:keepLines/>
        <w:keepNext/>
      </w:pPr>
      <w:r>
        <w:rPr>
          <w:rFonts w:ascii="Calibri" w:hAnsi="Calibri"/>
          <w:b/>
          <w:sz w:val="19"/>
        </w:rPr>
        <w:t xml:space="preserve">Q1.  </w:t>
      </w:r>
      <w:r>
        <w:rPr>
          <w:b/>
          <w:sz w:val="19"/>
        </w:rPr>
        <w:t>How does a paediatric major tray differ from an adult major tray?</w:t>
      </w:r>
    </w:p>
    <w:p>
      <w:pPr>
        <w:pStyle w:val="QBank"/>
        <w:spacing w:before="0" w:after="100"/>
        <w:ind w:start="595" w:hanging="283"/>
      </w:pPr>
      <w:r>
        <w:rPr>
          <w:rFonts w:ascii="Calibri" w:hAnsi="Calibri"/>
          <w:b/>
        </w:rPr>
        <w:t xml:space="preserve">A.  </w:t>
      </w:r>
      <w:r>
        <w:t xml:space="preserve">It contains the same six functional groups but in short, fine, light patterns and smaller quantities: a No.15 blade on a No.3 handle instead of a No.20 on a No.4; fine 11–14 cm Metzenbaum scissors; mosquito forceps as the standard haemostat rather than Crile or Kelly; fine DeBakey and Adson forceps, small Babcock and small non-crushing intestinal clamps, small bulldogs and micro clips; Senn, small Langenbeck, narrow malleable and a Denis Browne ring or small Weitlaner self-retaining retractor with loupes and a head-light; fine 13–15 cm needle holders with 4-0 to 7-0 suture; and fine vented Frazier suction with a small graduated reservoir. Beyond instruments it requires active warming — warming mattress, overhead heater, warmed fluids and theatre at 24–26 °C — continuous temperature monitoring, bipolar diathermy at low power with a correctly sized return electrode, volumetric pumps, glucose monitoring, cross-matched blood in paediatric aliquots and </w:t>
      </w:r>
      <w:r>
        <w:rPr>
          <w:b/>
        </w:rPr>
        <w:t>weighing of swabs</w:t>
      </w:r>
      <w:r>
        <w:t xml:space="preserve"> to measure blood loss against a circulating volume of only about 80 mL/kg.</w:t>
      </w:r>
    </w:p>
    <w:p>
      <w:pPr>
        <w:spacing w:before="80" w:after="20"/>
        <w:ind w:start="311" w:hanging="311"/>
        <w:keepLines/>
        <w:keepNext/>
      </w:pPr>
      <w:r>
        <w:rPr>
          <w:rFonts w:ascii="Calibri" w:hAnsi="Calibri"/>
          <w:b/>
          <w:sz w:val="19"/>
        </w:rPr>
        <w:t xml:space="preserve">Q2.  </w:t>
      </w:r>
      <w:r>
        <w:rPr>
          <w:b/>
          <w:sz w:val="19"/>
        </w:rPr>
        <w:t>Why is blood loss measured by weighing swabs in paediatric surgery?</w:t>
      </w:r>
    </w:p>
    <w:p>
      <w:pPr>
        <w:pStyle w:val="QBank"/>
        <w:spacing w:before="0" w:after="100"/>
        <w:ind w:start="595" w:hanging="283"/>
      </w:pPr>
      <w:r>
        <w:rPr>
          <w:rFonts w:ascii="Calibri" w:hAnsi="Calibri"/>
          <w:b/>
        </w:rPr>
        <w:t xml:space="preserve">A.  </w:t>
      </w:r>
      <w:r>
        <w:t>Because a neonate's total blood volume is only about 80 mL/kg — roughly 240 mL in a 3 kg baby — so a loss of 25–30 mL, which would be visually negligible in an adult, represents more than 10 % of the circulating volume. Visual estimation is far too imprecise, so swabs are weighed (1 g ≈ 1 mL) and suction volumes measured in small graduated reservoirs to allow accurate, timely replacement.</w:t>
      </w:r>
    </w:p>
    <w:p>
      <w:r>
        <w:br w:type="page"/>
      </w:r>
    </w:p>
    <w:p>
      <w:bookmarkStart w:id="1079" w:name="tray_10_2"/>
      <w:pPr>
        <w:pStyle w:val="Heading2"/>
        <w:spacing w:before="320" w:after="40"/>
        <w:keepLines/>
        <w:keepNext/>
        <w:pBdr>
          <w:bottom w:val="single" w:sz="12" w:space="3" w:color="000000"/>
        </w:pBdr>
      </w:pPr>
      <w:r>
        <w:rPr>
          <w:rFonts w:ascii="Calibri" w:hAnsi="Calibri"/>
          <w:b/>
          <w:color w:val="666666"/>
          <w:sz w:val="29"/>
        </w:rPr>
        <w:t xml:space="preserve">10.2   </w:t>
      </w:r>
      <w:r>
        <w:rPr>
          <w:rFonts w:ascii="Calibri" w:hAnsi="Calibri"/>
          <w:b/>
          <w:sz w:val="29"/>
        </w:rPr>
        <w:t>Paediatric Minor Procedures Tray</w:t>
      </w:r>
      <w:bookmarkEnd w:id="1079"/>
    </w:p>
    <w:p>
      <w:pPr>
        <w:spacing w:before="60" w:after="100"/>
      </w:pPr>
      <w:r>
        <w:rPr>
          <w:rFonts w:ascii="Calibri" w:hAnsi="Calibri"/>
          <w:b/>
          <w:caps/>
          <w:color w:val="555555"/>
          <w:sz w:val="17"/>
        </w:rPr>
        <w:t xml:space="preserve">Also called:  </w:t>
      </w:r>
      <w:r>
        <w:rPr>
          <w:i/>
          <w:color w:val="333333"/>
          <w:sz w:val="18"/>
        </w:rPr>
        <w:t>Paediatric minor set · children's day-case tray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6" w:space="0" w:color="808080"/>
          <w:left w:val="nil" w:sz="6" w:space="0" w:color="808080"/>
          <w:bottom w:val="nil" w:sz="6" w:space="0" w:color="808080"/>
          <w:right w:val="nil" w:sz="6" w:space="0" w:color="808080"/>
          <w:insideH w:val="nil" w:sz="6" w:space="0" w:color="808080"/>
          <w:insideV w:val="nil" w:sz="6" w:space="0" w:color="808080"/>
        </w:tblBorders>
        <w:tblLayout w:type="fixed"/>
      </w:tblPr>
      <w:tblGrid>
        <w:gridCol w:w="3600"/>
        <w:gridCol w:w="3600"/>
        <w:gridCol w:w="3600"/>
      </w:tblGrid>
      <w:tr>
        <w:tc>
          <w:tcPr>
            <w:tcW w:type="dxa" w:w="691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TrayLead"/>
            </w:pPr>
            <w:r>
              <w:t xml:space="preserve">The </w:t>
            </w:r>
            <w:r>
              <w:rPr>
                <w:b/>
              </w:rPr>
              <w:t>paediatric minor tray</w:t>
            </w:r>
            <w:r>
              <w:t xml:space="preserve"> is the commonest tray in a children's theatre. It is the adult basic/minor tray (1.2) in </w:t>
            </w:r>
            <w:r>
              <w:rPr>
                <w:b/>
              </w:rPr>
              <w:t>fine short patterns</w:t>
            </w:r>
            <w:r>
              <w:t xml:space="preserve">, used for the high-volume day-case operations of childhood — hernia, hydrocele, circumcision, undescended testis and minor lumps. Its instruments are simple; what distinguishes it is </w:t>
            </w:r>
            <w:r>
              <w:rPr>
                <w:b/>
              </w:rPr>
              <w:t>delicacy of handling</w:t>
            </w:r>
            <w:r>
              <w:t xml:space="preserve"> and the same warming and blood-loss discipline as the major tray.</w:t>
            </w:r>
          </w:p>
          <w:p>
            <w:pPr>
              <w:pStyle w:val="TinyLabel"/>
            </w:pPr>
            <w:r>
              <w:t>Used for / includes</w:t>
            </w:r>
          </w:p>
          <w:p>
            <w:pPr>
              <w:pStyle w:val="Bullet"/>
              <w:ind w:start="238" w:hanging="238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>Inguinal herniotomy — the commonest paediatric operation</w:t>
            </w:r>
          </w:p>
          <w:p>
            <w:pPr>
              <w:pStyle w:val="Bullet"/>
              <w:ind w:start="238" w:hanging="238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>Hydrocele repair; ligation of a patent processus vaginalis</w:t>
            </w:r>
          </w:p>
          <w:p>
            <w:pPr>
              <w:pStyle w:val="Bullet"/>
              <w:ind w:start="238" w:hanging="238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>Orchidopexy for undescended testis</w:t>
            </w:r>
          </w:p>
          <w:p>
            <w:pPr>
              <w:pStyle w:val="Bullet"/>
              <w:ind w:start="238" w:hanging="238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>Circumcision; release of preputial adhesions; meatotomy</w:t>
            </w:r>
          </w:p>
          <w:p>
            <w:pPr>
              <w:pStyle w:val="Bullet"/>
              <w:ind w:start="238" w:hanging="238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>Excision of a lymph node, dermoid, thyroglossal or branchial remnant</w:t>
            </w:r>
          </w:p>
          <w:p>
            <w:pPr>
              <w:pStyle w:val="Bullet"/>
              <w:ind w:start="238" w:hanging="238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>Incision and drainage of an abscess; wound debridement</w:t>
            </w:r>
          </w:p>
          <w:p>
            <w:pPr>
              <w:pStyle w:val="Bullet"/>
              <w:ind w:start="238" w:hanging="238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>Insertion of a central venous line or port; muscle biopsy</w:t>
            </w:r>
          </w:p>
          <w:p>
            <w:pPr>
              <w:pStyle w:val="Bullet"/>
              <w:ind w:start="238" w:hanging="238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>Tongue-tie division (frenotomy)</w:t>
            </w:r>
          </w:p>
        </w:tc>
        <w:tc>
          <w:tcPr>
            <w:tcW w:type="dxa" w:w="198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3685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center"/>
              <w:spacing w:before="40" w:after="20" w:line="240" w:lineRule="auto"/>
              <w:pBdr>
                <w:top w:val="single" w:sz="4" w:space="2" w:color="999999"/>
                <w:left w:val="single" w:sz="4" w:space="3" w:color="999999"/>
                <w:bottom w:val="single" w:sz="4" w:space="2" w:color="999999"/>
                <w:right w:val="single" w:sz="4" w:space="3" w:color="999999"/>
              </w:pBdr>
            </w:pPr>
            <w:r>
              <w:drawing>
                <wp:inline xmlns:a="http://schemas.openxmlformats.org/drawingml/2006/main" xmlns:pic="http://schemas.openxmlformats.org/drawingml/2006/picture">
                  <wp:extent cx="2286000" cy="184251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0_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8425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FigCaption"/>
              <w:jc w:val="center"/>
              <w:spacing w:before="40" w:after="120"/>
            </w:pPr>
            <w:r>
              <w:t>Fig 10.2 — Small, simple and used in large numbers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6" w:space="0" w:color="000000"/>
                <w:left w:val="single" w:sz="20" w:space="0" w:color="000000"/>
                <w:bottom w:val="single" w:sz="6" w:space="0" w:color="000000"/>
                <w:right w:val="single" w:sz="6" w:space="0" w:color="000000"/>
              </w:tblBorders>
            </w:tblPr>
            <w:tblGrid>
              <w:gridCol w:w="3685"/>
            </w:tblGrid>
            <w:tr>
              <w:tc>
                <w:tcPr>
                  <w:tcW w:type="dxa" w:w="3685"/>
                  <w:shd w:val="clear" w:color="auto" w:fill="F0F0F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pStyle w:val="BoxHead"/>
                    <w:spacing w:before="0" w:after="60"/>
                  </w:pPr>
                  <w:r>
                    <w:t>Herniotomy, not hernioplasty</w:t>
                  </w:r>
                </w:p>
                <w:p>
                  <w:pPr>
                    <w:pStyle w:val="BoxBody"/>
                    <w:spacing w:before="20" w:after="40"/>
                    <w:ind w:start="181" w:hanging="181"/>
                  </w:pPr>
                  <w:r>
                    <w:rPr>
                      <w:rFonts w:ascii="Calibri" w:hAnsi="Calibri"/>
                      <w:b/>
                    </w:rPr>
                    <w:t xml:space="preserve">▪  </w:t>
                  </w:r>
                  <w:r>
                    <w:t xml:space="preserve">In a child the hernia is a </w:t>
                  </w:r>
                  <w:r>
                    <w:rPr>
                      <w:b/>
                    </w:rPr>
                    <w:t>patent processus vaginalis</w:t>
                  </w:r>
                  <w:r>
                    <w:t>.</w:t>
                  </w:r>
                </w:p>
                <w:p>
                  <w:pPr>
                    <w:pStyle w:val="BoxBody"/>
                    <w:spacing w:before="20" w:after="40"/>
                    <w:ind w:start="181" w:hanging="181"/>
                  </w:pPr>
                  <w:r>
                    <w:rPr>
                      <w:rFonts w:ascii="Calibri" w:hAnsi="Calibri"/>
                      <w:b/>
                    </w:rPr>
                    <w:t xml:space="preserve">▪  </w:t>
                  </w:r>
                  <w:r>
                    <w:t xml:space="preserve">Treatment is </w:t>
                  </w:r>
                  <w:r>
                    <w:rPr>
                      <w:b/>
                    </w:rPr>
                    <w:t>high ligation of the sac alone — herniotomy</w:t>
                  </w:r>
                  <w:r>
                    <w:t>.</w:t>
                  </w:r>
                </w:p>
                <w:p>
                  <w:pPr>
                    <w:pStyle w:val="BoxBody"/>
                    <w:spacing w:before="20" w:after="40"/>
                    <w:ind w:start="181" w:hanging="181"/>
                  </w:pPr>
                  <w:r>
                    <w:rPr>
                      <w:rFonts w:ascii="Calibri" w:hAnsi="Calibri"/>
                      <w:b/>
                    </w:rPr>
                    <w:t xml:space="preserve">▪  </w:t>
                  </w:r>
                  <w:r>
                    <w:rPr>
                      <w:b/>
                    </w:rPr>
                    <w:t>No mesh, no canal repair</w:t>
                  </w:r>
                  <w:r>
                    <w:t xml:space="preserve"> — the adult operation is quite different.</w:t>
                  </w:r>
                </w:p>
                <w:p>
                  <w:pPr>
                    <w:pStyle w:val="BoxBody"/>
                    <w:spacing w:before="20" w:after="40"/>
                    <w:ind w:start="181" w:hanging="181"/>
                  </w:pPr>
                  <w:r>
                    <w:rPr>
                      <w:rFonts w:ascii="Calibri" w:hAnsi="Calibri"/>
                      <w:b/>
                    </w:rPr>
                    <w:t xml:space="preserve">▪  </w:t>
                  </w:r>
                  <w:r>
                    <w:t>Hence the tray needs only fine dissecting instruments and transfixion suture.</w:t>
                  </w:r>
                </w:p>
              </w:tc>
            </w:tr>
          </w:tbl>
          <w:p/>
        </w:tc>
      </w:tr>
    </w:tbl>
    <w:p>
      <w:pPr>
        <w:pStyle w:val="Heading3"/>
        <w:keepLines/>
        <w:keepNext/>
      </w:pPr>
      <w:r>
        <w:rPr>
          <w:rFonts w:ascii="Calibri" w:hAnsi="Calibri"/>
          <w:b/>
        </w:rPr>
        <w:t>Contents of the tray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12" w:space="0" w:color="000000"/>
          <w:left w:val="single" w:sz="6" w:space="0" w:color="000000"/>
          <w:bottom w:val="single" w:sz="12" w:space="0" w:color="000000"/>
          <w:right w:val="single" w:sz="6" w:space="0" w:color="000000"/>
          <w:insideH w:val="single" w:sz="4" w:space="0" w:color="BBBBBB"/>
          <w:insideV w:val="single" w:sz="4" w:space="0" w:color="BBBBBB"/>
        </w:tblBorders>
      </w:tblPr>
      <w:tblGrid>
        <w:gridCol w:w="3600"/>
        <w:gridCol w:w="3600"/>
        <w:gridCol w:w="3600"/>
      </w:tblGrid>
      <w:tr>
        <w:trPr>
          <w:tblHeader/>
          <w:cantSplit/>
        </w:trPr>
        <w:tc>
          <w:tcPr>
            <w:tcW w:type="dxa" w:w="850"/>
            <w:shd w:val="clear" w:color="auto" w:fill="D9D9D9"/>
            <w:tcMar>
              <w:top w:w="50" w:type="dxa"/>
              <w:start w:w="80" w:type="dxa"/>
              <w:bottom w:w="5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Head"/>
              <w:jc w:val="center"/>
            </w:pPr>
            <w:r>
              <w:t>Qty</w:t>
            </w:r>
          </w:p>
        </w:tc>
        <w:tc>
          <w:tcPr>
            <w:tcW w:type="dxa" w:w="4082"/>
            <w:shd w:val="clear" w:color="auto" w:fill="D9D9D9"/>
            <w:tcMar>
              <w:top w:w="50" w:type="dxa"/>
              <w:start w:w="80" w:type="dxa"/>
              <w:bottom w:w="5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Head"/>
              <w:jc w:val="left"/>
            </w:pPr>
            <w:r>
              <w:t>Instrument</w:t>
            </w:r>
          </w:p>
        </w:tc>
        <w:tc>
          <w:tcPr>
            <w:tcW w:type="dxa" w:w="5868"/>
            <w:shd w:val="clear" w:color="auto" w:fill="D9D9D9"/>
            <w:tcMar>
              <w:top w:w="50" w:type="dxa"/>
              <w:start w:w="80" w:type="dxa"/>
              <w:bottom w:w="5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Head"/>
              <w:jc w:val="left"/>
            </w:pPr>
            <w:r>
              <w:t>Notes / rationale</w:t>
            </w:r>
          </w:p>
        </w:tc>
      </w:tr>
      <w:tr>
        <w:tc>
          <w:tcPr>
            <w:tcW w:type="dxa" w:w="10800"/>
            <w:gridSpan w:val="3"/>
            <w:shd w:val="clear" w:color="auto" w:fill="E4E4E4"/>
            <w:tcMar>
              <w:top w:w="48" w:type="dxa"/>
              <w:start w:w="80" w:type="dxa"/>
              <w:bottom w:w="48" w:type="dxa"/>
              <w:end w:w="80" w:type="dxa"/>
            </w:tcMar>
          </w:tcPr>
          <w:p>
            <w:pPr>
              <w:pStyle w:val="TabHead"/>
              <w:keepLines/>
              <w:keepNext/>
            </w:pPr>
            <w:r>
              <w:rPr>
                <w:rFonts w:ascii="Calibri" w:hAnsi="Calibri"/>
                <w:b/>
                <w:sz w:val="17"/>
                <w:spacing w:val="12"/>
              </w:rPr>
              <w:t>CUTTING AND DISSECTING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2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 xml:space="preserve">Knife handle No.3 with </w:t>
            </w:r>
            <w:r>
              <w:rPr>
                <w:b/>
              </w:rPr>
              <w:t>No.15</w:t>
            </w:r>
            <w:r>
              <w:rPr>
                <w:b/>
              </w:rPr>
              <w:t xml:space="preserve"> blade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Fine Metzenbaum scissors, 11–13 cm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opening the inguinal canal, dissecting the sac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Iris / tenotomy scissors, fine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very fine trimming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Small Mayo scissors, curved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Suture scissors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Small artery-forceps-mounted swab (peanut)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blunt dissection of the sac</w:t>
            </w:r>
          </w:p>
        </w:tc>
      </w:tr>
      <w:tr>
        <w:tc>
          <w:tcPr>
            <w:tcW w:type="dxa" w:w="10800"/>
            <w:gridSpan w:val="3"/>
            <w:shd w:val="clear" w:color="auto" w:fill="E4E4E4"/>
            <w:tcMar>
              <w:top w:w="48" w:type="dxa"/>
              <w:start w:w="80" w:type="dxa"/>
              <w:bottom w:w="48" w:type="dxa"/>
              <w:end w:w="80" w:type="dxa"/>
            </w:tcMar>
          </w:tcPr>
          <w:p>
            <w:pPr>
              <w:pStyle w:val="TabHead"/>
              <w:keepLines/>
              <w:keepNext/>
            </w:pPr>
            <w:r>
              <w:rPr>
                <w:rFonts w:ascii="Calibri" w:hAnsi="Calibri"/>
                <w:b/>
                <w:sz w:val="17"/>
                <w:spacing w:val="12"/>
              </w:rPr>
              <w:t>GRASPING AND HOLDING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2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Adson forceps, 1×2 teeth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skin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2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Fine non-toothed / DeBakey forceps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rPr>
                <w:b/>
              </w:rPr>
              <w:t>atraumatic — the vas and vessels are handled with these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2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Fine dressing forceps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4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Small Allis forceps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the hernial sac and wound edges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4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Small towel clips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2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Small sponge-holding forceps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</w:p>
        </w:tc>
      </w:tr>
      <w:tr>
        <w:tc>
          <w:tcPr>
            <w:tcW w:type="dxa" w:w="10800"/>
            <w:gridSpan w:val="3"/>
            <w:shd w:val="clear" w:color="auto" w:fill="E4E4E4"/>
            <w:tcMar>
              <w:top w:w="48" w:type="dxa"/>
              <w:start w:w="80" w:type="dxa"/>
              <w:bottom w:w="48" w:type="dxa"/>
              <w:end w:w="80" w:type="dxa"/>
            </w:tcMar>
          </w:tcPr>
          <w:p>
            <w:pPr>
              <w:pStyle w:val="TabHead"/>
              <w:keepLines/>
              <w:keepNext/>
            </w:pPr>
            <w:r>
              <w:rPr>
                <w:rFonts w:ascii="Calibri" w:hAnsi="Calibri"/>
                <w:b/>
                <w:sz w:val="17"/>
                <w:spacing w:val="12"/>
              </w:rPr>
              <w:t>CLAMPING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10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Mosquito forceps, curved — the principal haemostat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4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Crile forceps, small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2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Small Kocher clamps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</w:p>
        </w:tc>
      </w:tr>
      <w:tr>
        <w:tc>
          <w:tcPr>
            <w:tcW w:type="dxa" w:w="10800"/>
            <w:gridSpan w:val="3"/>
            <w:shd w:val="clear" w:color="auto" w:fill="E4E4E4"/>
            <w:tcMar>
              <w:top w:w="48" w:type="dxa"/>
              <w:start w:w="80" w:type="dxa"/>
              <w:bottom w:w="48" w:type="dxa"/>
              <w:end w:w="80" w:type="dxa"/>
            </w:tcMar>
          </w:tcPr>
          <w:p>
            <w:pPr>
              <w:pStyle w:val="TabHead"/>
              <w:keepLines/>
              <w:keepNext/>
            </w:pPr>
            <w:r>
              <w:rPr>
                <w:rFonts w:ascii="Calibri" w:hAnsi="Calibri"/>
                <w:b/>
                <w:sz w:val="17"/>
                <w:spacing w:val="12"/>
              </w:rPr>
              <w:t>RETRACTING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2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Senn (double-ended) retractors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the standard paediatric small retractor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2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Small Langenbeck retractors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2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Army-Navy retractors, small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2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Skin hooks, fine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Small Weitlaner self-retaining retractor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Magnifying loupes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rPr>
                <w:b/>
              </w:rPr>
              <w:t>the vas deferens in an infant is about 1 mm across</w:t>
            </w:r>
          </w:p>
        </w:tc>
      </w:tr>
      <w:tr>
        <w:tc>
          <w:tcPr>
            <w:tcW w:type="dxa" w:w="10800"/>
            <w:gridSpan w:val="3"/>
            <w:shd w:val="clear" w:color="auto" w:fill="E4E4E4"/>
            <w:tcMar>
              <w:top w:w="48" w:type="dxa"/>
              <w:start w:w="80" w:type="dxa"/>
              <w:bottom w:w="48" w:type="dxa"/>
              <w:end w:w="80" w:type="dxa"/>
            </w:tcMar>
          </w:tcPr>
          <w:p>
            <w:pPr>
              <w:pStyle w:val="TabHead"/>
              <w:keepLines/>
              <w:keepNext/>
            </w:pPr>
            <w:r>
              <w:rPr>
                <w:rFonts w:ascii="Calibri" w:hAnsi="Calibri"/>
                <w:b/>
                <w:sz w:val="17"/>
                <w:spacing w:val="12"/>
              </w:rPr>
              <w:t>SUTURING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2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Needle holders, fine 13 cm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4-0 to 6-0 absorbable suture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sac transfixion, muscle and subcutaneous layers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5-0 / 6-0 absorbable subcuticular for skin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rPr>
                <w:b/>
              </w:rPr>
              <w:t>avoids the distress of suture removal in a child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Tissue adhesive / adhesive strips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atraumatic skin closure</w:t>
            </w:r>
          </w:p>
        </w:tc>
      </w:tr>
      <w:tr>
        <w:tc>
          <w:tcPr>
            <w:tcW w:type="dxa" w:w="10800"/>
            <w:gridSpan w:val="3"/>
            <w:shd w:val="clear" w:color="auto" w:fill="E4E4E4"/>
            <w:tcMar>
              <w:top w:w="48" w:type="dxa"/>
              <w:start w:w="80" w:type="dxa"/>
              <w:bottom w:w="48" w:type="dxa"/>
              <w:end w:w="80" w:type="dxa"/>
            </w:tcMar>
          </w:tcPr>
          <w:p>
            <w:pPr>
              <w:pStyle w:val="TabHead"/>
              <w:keepLines/>
              <w:keepNext/>
            </w:pPr>
            <w:r>
              <w:rPr>
                <w:rFonts w:ascii="Calibri" w:hAnsi="Calibri"/>
                <w:b/>
                <w:sz w:val="17"/>
                <w:spacing w:val="12"/>
              </w:rPr>
              <w:t>PROCEDURE-SPECIFIC ADDITIONS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Circumcision instruments — Mogen or Gomco clamp, Plastibell in assorted sizes, or a dorsal-slit set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rPr>
                <w:b/>
              </w:rPr>
              <w:t>signature item</w:t>
            </w:r>
            <w:r>
              <w:t xml:space="preserve"> for circumcision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2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Fine probe / sinus forceps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separating preputial adhesions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Orchidopexy items — fine non-toothed forceps, small Langenbeck retractors and a Dartos-pouch dissector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Nerve stimulator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identifies nerves in neck and limb procedures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Fine grooved director and probe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sinus and fistula tracts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Small drains, infant feeding tubes and catheters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Frenotomy scissors and grooved retractor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tongue-tie division</w:t>
            </w:r>
          </w:p>
        </w:tc>
      </w:tr>
      <w:tr>
        <w:tc>
          <w:tcPr>
            <w:tcW w:type="dxa" w:w="10800"/>
            <w:gridSpan w:val="3"/>
            <w:shd w:val="clear" w:color="auto" w:fill="E4E4E4"/>
            <w:tcMar>
              <w:top w:w="48" w:type="dxa"/>
              <w:start w:w="80" w:type="dxa"/>
              <w:bottom w:w="48" w:type="dxa"/>
              <w:end w:w="80" w:type="dxa"/>
            </w:tcMar>
          </w:tcPr>
          <w:p>
            <w:pPr>
              <w:pStyle w:val="TabHead"/>
              <w:keepLines/>
              <w:keepNext/>
            </w:pPr>
            <w:r>
              <w:rPr>
                <w:rFonts w:ascii="Calibri" w:hAnsi="Calibri"/>
                <w:b/>
                <w:sz w:val="17"/>
                <w:spacing w:val="12"/>
              </w:rPr>
              <w:t>ACCESSORY AND PHYSIOLOGICAL SUPPORT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Fine vented suction (Frazier)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Bipolar diathermy, fine tips, low power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rPr>
                <w:b/>
              </w:rPr>
              <w:t>essential near the vas, testicular vessels and in a circumcision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Correctly sized paediatric return electrode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Small radio-opaque swabs, counted, with a weighing scale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Warming mattress, overhead heater and warmed fluids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rPr>
                <w:b/>
              </w:rPr>
              <w:t>even a short day-case procedure cools an infant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Local anaesthetic for infiltration or a caudal / ilioinguinal block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 xml:space="preserve">weight-calculated dose; </w:t>
            </w:r>
            <w:r>
              <w:rPr>
                <w:b/>
              </w:rPr>
              <w:t>reduces opioid requirement and speeds discharge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Small kidney dish, gallipot and specimen containers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Non-adherent dressings and hypoallergenic tape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rPr>
                <w:b/>
              </w:rPr>
              <w:t>adhesive dressings damage neonatal skin</w:t>
            </w:r>
          </w:p>
        </w:tc>
      </w:tr>
    </w:tbl>
    <w:p>
      <w:pPr>
        <w:spacing w:before="0" w:after="160" w:line="240" w:lineRule="auto"/>
      </w:pPr>
    </w:p>
    <w:p>
      <w:pPr>
        <w:pStyle w:val="Heading4"/>
        <w:keepLines/>
        <w:keepNext/>
      </w:pPr>
      <w:r>
        <w:rPr>
          <w:rFonts w:ascii="Calibri" w:hAnsi="Calibri"/>
          <w:b/>
        </w:rPr>
        <w:t>Additional supplies and accessories</w:t>
      </w:r>
    </w:p>
    <w:p>
      <w:pPr>
        <w:pStyle w:val="BoxBody"/>
        <w:ind w:start="170"/>
      </w:pPr>
      <w:r>
        <w:rPr>
          <w:b/>
        </w:rPr>
        <w:t>Position</w:t>
      </w:r>
      <w:r>
        <w:t xml:space="preserve"> — Supine on a warming mattress; a small roll under the hips for inguinal and genital surgery. Limbs padded and gently secured; minimal exposure to preserve temperature.</w:t>
      </w:r>
    </w:p>
    <w:p>
      <w:pPr>
        <w:pStyle w:val="BoxBody"/>
        <w:ind w:start="170"/>
      </w:pPr>
      <w:r>
        <w:rPr>
          <w:b/>
        </w:rPr>
        <w:t>Herniotomy in a child</w:t>
      </w:r>
      <w:r>
        <w:t xml:space="preserve"> — A child's inguinal hernia is a </w:t>
      </w:r>
      <w:r>
        <w:rPr>
          <w:b/>
        </w:rPr>
        <w:t>patent processus vaginalis</w:t>
      </w:r>
      <w:r>
        <w:t xml:space="preserve"> and is treated by </w:t>
      </w:r>
      <w:r>
        <w:rPr>
          <w:b/>
        </w:rPr>
        <w:t>simple high ligation of the sac (herniotomy)</w:t>
      </w:r>
      <w:r>
        <w:t xml:space="preserve"> — </w:t>
      </w:r>
      <w:r>
        <w:rPr>
          <w:b/>
        </w:rPr>
        <w:t>no mesh and no repair of the canal</w:t>
      </w:r>
      <w:r>
        <w:t>, unlike the adult operation. This distinction is very commonly examined alongside the tray.</w:t>
      </w:r>
    </w:p>
    <w:p>
      <w:pPr>
        <w:pStyle w:val="BoxBody"/>
        <w:ind w:start="170"/>
      </w:pPr>
      <w:r>
        <w:rPr>
          <w:b/>
        </w:rPr>
        <w:t>Local anaesthetic doses</w:t>
      </w:r>
      <w:r>
        <w:t xml:space="preserve"> — All doses are </w:t>
      </w:r>
      <w:r>
        <w:rPr>
          <w:b/>
        </w:rPr>
        <w:t>weight-based</w:t>
      </w:r>
      <w:r>
        <w:t xml:space="preserve"> and the maximum is calculated and stated before injection (for example lignocaine 3 mg/kg, or 7 mg/kg with adrenaline; bupivacaine 2 mg/kg).</w:t>
      </w:r>
    </w:p>
    <w:p>
      <w:pPr>
        <w:pStyle w:val="BoxBody"/>
        <w:ind w:start="170"/>
      </w:pPr>
      <w:r>
        <w:rPr>
          <w:b/>
        </w:rPr>
        <w:t>Complications</w:t>
      </w:r>
      <w:r>
        <w:t xml:space="preserve"> — Recurrence, injury to the </w:t>
      </w:r>
      <w:r>
        <w:rPr>
          <w:b/>
        </w:rPr>
        <w:t>vas deferens or testicular vessels</w:t>
      </w:r>
      <w:r>
        <w:t xml:space="preserve"> with testicular atrophy, iatrogenic ascent of the testis, haematoma, infection, hypothermia, and — in circumcision — bleeding, meatal stenosis and excessive or insufficient skin removal.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24" w:space="0" w:color="000000"/>
          <w:bottom w:val="single" w:sz="6" w:space="0" w:color="000000"/>
          <w:right w:val="single" w:sz="6" w:space="0" w:color="000000"/>
        </w:tblBorders>
      </w:tblPr>
      <w:tblGrid>
        <w:gridCol w:w="10800"/>
      </w:tblGrid>
      <w:tr>
        <w:tc>
          <w:tcPr>
            <w:tcW w:type="dxa" w:w="10800"/>
            <w:shd w:val="clear" w:color="auto" w:fill="F0F0F0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pStyle w:val="BoxHead"/>
              <w:spacing w:before="0" w:after="60"/>
            </w:pPr>
            <w:r>
              <w:t>Examination pointers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 xml:space="preserve">Define it as the </w:t>
            </w:r>
            <w:r>
              <w:rPr>
                <w:b/>
              </w:rPr>
              <w:t>adult minor tray in fine short patterns</w:t>
            </w:r>
            <w:r>
              <w:t xml:space="preserve"> for high-volume day-case work.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rPr>
                <w:b/>
              </w:rPr>
              <w:t>Mosquito forceps and Senn retractors</w:t>
            </w:r>
            <w:r>
              <w:t xml:space="preserve"> dominate; </w:t>
            </w:r>
            <w:r>
              <w:rPr>
                <w:b/>
              </w:rPr>
              <w:t>loupes</w:t>
            </w:r>
            <w:r>
              <w:t xml:space="preserve"> are used because the vas is about </w:t>
            </w:r>
            <w:r>
              <w:rPr>
                <w:b/>
              </w:rPr>
              <w:t>1 mm</w:t>
            </w:r>
            <w:r>
              <w:t xml:space="preserve"> wide.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rPr>
                <w:b/>
              </w:rPr>
              <w:t>Absorbable subcuticular skin closure or tissue adhesive</w:t>
            </w:r>
            <w:r>
              <w:t xml:space="preserve"> — no suture removal in a child.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rPr>
                <w:b/>
              </w:rPr>
              <w:t>Herniotomy = high ligation of the sac only</w:t>
            </w:r>
            <w:r>
              <w:t>; no mesh — state this contrast explicitly.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 xml:space="preserve">Name the </w:t>
            </w:r>
            <w:r>
              <w:rPr>
                <w:b/>
              </w:rPr>
              <w:t>circumcision devices (Mogen, Gomco, Plastibell)</w:t>
            </w:r>
            <w:r>
              <w:t xml:space="preserve"> as procedure-specific additions.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rPr>
                <w:b/>
              </w:rPr>
              <w:t>Bipolar at low power</w:t>
            </w:r>
            <w:r>
              <w:t xml:space="preserve"> near the vas and vessels.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rPr>
                <w:b/>
              </w:rPr>
              <w:t>Warming and swab weighing apply even to short day cases.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rPr>
                <w:b/>
              </w:rPr>
              <w:t>Weight-based local anaesthetic dose</w:t>
            </w:r>
            <w:r>
              <w:t xml:space="preserve"> and regional blocks.</w:t>
            </w:r>
          </w:p>
        </w:tc>
      </w:tr>
    </w:tbl>
    <w:p>
      <w:pPr>
        <w:spacing w:before="0" w:after="140" w:line="240" w:lineRule="auto"/>
      </w:pPr>
    </w:p>
    <w:p>
      <w:pPr>
        <w:pStyle w:val="Heading4"/>
        <w:keepLines/>
        <w:keepNext/>
      </w:pPr>
      <w:r>
        <w:rPr>
          <w:rFonts w:ascii="Calibri" w:hAnsi="Calibri"/>
          <w:b/>
        </w:rPr>
        <w:t>Likely examination questions</w:t>
      </w:r>
    </w:p>
    <w:p>
      <w:pPr>
        <w:spacing w:before="80" w:after="20"/>
        <w:ind w:start="311" w:hanging="311"/>
        <w:keepLines/>
        <w:keepNext/>
      </w:pPr>
      <w:r>
        <w:rPr>
          <w:rFonts w:ascii="Calibri" w:hAnsi="Calibri"/>
          <w:b/>
          <w:sz w:val="19"/>
        </w:rPr>
        <w:t xml:space="preserve">Q1.  </w:t>
      </w:r>
      <w:r>
        <w:rPr>
          <w:b/>
          <w:sz w:val="19"/>
        </w:rPr>
        <w:t>Describe the paediatric minor procedures tray.</w:t>
      </w:r>
    </w:p>
    <w:p>
      <w:pPr>
        <w:pStyle w:val="QBank"/>
        <w:spacing w:before="0" w:after="100"/>
        <w:ind w:start="595" w:hanging="283"/>
      </w:pPr>
      <w:r>
        <w:rPr>
          <w:rFonts w:ascii="Calibri" w:hAnsi="Calibri"/>
          <w:b/>
        </w:rPr>
        <w:t xml:space="preserve">A.  </w:t>
      </w:r>
      <w:r>
        <w:t>The adult minor tray in fine short patterns: No.3 handle with No.15 blade, fine 11–13 cm Metzenbaum, iris and small Mayo scissors and peanut swabs; Adson fine toothed, fine DeBakey and dressing forceps with small Allis forceps, towel clips and sponge holders; about ten curved mosquito forceps as the principal haemostat with small Crile and Kocher clamps; Senn, small Langenbeck and Army-Navy retractors, fine skin hooks, a small Weitlaner and magnifying loupes; fine 13 cm needle holders with 4-0 to 6-0 absorbable suture and 5-0/6-0 absorbable subcuticular skin closure or tissue adhesive. Procedure-specific additions include circumcision devices (Mogen or Gomco clamp, Plastibell), fine probes for preputial adhesions, orchidopexy instruments, a nerve stimulator, grooved director and small drains. Accessory: fine vented Frazier suction, low-power bipolar diathermy with a correctly sized return electrode, counted small radio-opaque swabs with a weighing scale, warming mattress and warmed fluids, weight-calculated local anaesthetic for infiltration or a caudal block, and non-adherent dressings.</w:t>
      </w:r>
    </w:p>
    <w:p>
      <w:pPr>
        <w:spacing w:before="80" w:after="20"/>
        <w:ind w:start="311" w:hanging="311"/>
        <w:keepLines/>
        <w:keepNext/>
      </w:pPr>
      <w:r>
        <w:rPr>
          <w:rFonts w:ascii="Calibri" w:hAnsi="Calibri"/>
          <w:b/>
          <w:sz w:val="19"/>
        </w:rPr>
        <w:t xml:space="preserve">Q2.  </w:t>
      </w:r>
      <w:r>
        <w:rPr>
          <w:b/>
          <w:sz w:val="19"/>
        </w:rPr>
        <w:t>How does the surgical treatment of an inguinal hernia in a child differ from that in an adult, and how does this affect the tray?</w:t>
      </w:r>
    </w:p>
    <w:p>
      <w:pPr>
        <w:pStyle w:val="QBank"/>
        <w:spacing w:before="0" w:after="100"/>
        <w:ind w:start="595" w:hanging="283"/>
      </w:pPr>
      <w:r>
        <w:rPr>
          <w:rFonts w:ascii="Calibri" w:hAnsi="Calibri"/>
          <w:b/>
        </w:rPr>
        <w:t xml:space="preserve">A.  </w:t>
      </w:r>
      <w:r>
        <w:t xml:space="preserve">In a child the hernia results from a patent processus vaginalis, so treatment is </w:t>
      </w:r>
      <w:r>
        <w:rPr>
          <w:b/>
        </w:rPr>
        <w:t>herniotomy — simple high ligation and division of the sac</w:t>
      </w:r>
      <w:r>
        <w:t xml:space="preserve"> — without mesh or repair of the inguinal canal. The tray therefore needs only fine dissecting instruments (fine Metzenbaum scissors, peanut swabs, atraumatic non-toothed forceps and loupes to identify the 1 mm vas and testicular vessels) and fine absorbable transfixion suture, rather than the mesh, tackers and heavier instruments of an adult hernioplasty.</w:t>
      </w:r>
    </w:p>
    <w:p>
      <w:r>
        <w:br w:type="page"/>
      </w:r>
    </w:p>
    <w:p>
      <w:bookmarkStart w:id="1080" w:name="tray_10_3"/>
      <w:pPr>
        <w:pStyle w:val="Heading2"/>
        <w:spacing w:before="320" w:after="40"/>
        <w:keepLines/>
        <w:keepNext/>
        <w:pBdr>
          <w:bottom w:val="single" w:sz="12" w:space="3" w:color="000000"/>
        </w:pBdr>
      </w:pPr>
      <w:r>
        <w:rPr>
          <w:rFonts w:ascii="Calibri" w:hAnsi="Calibri"/>
          <w:b/>
          <w:color w:val="666666"/>
          <w:sz w:val="29"/>
        </w:rPr>
        <w:t xml:space="preserve">10.3   </w:t>
      </w:r>
      <w:r>
        <w:rPr>
          <w:rFonts w:ascii="Calibri" w:hAnsi="Calibri"/>
          <w:b/>
          <w:sz w:val="29"/>
        </w:rPr>
        <w:t>Paediatric Gastrointestinal Procedures Tray</w:t>
      </w:r>
      <w:bookmarkEnd w:id="1080"/>
    </w:p>
    <w:p>
      <w:pPr>
        <w:spacing w:before="60" w:after="100"/>
      </w:pPr>
      <w:r>
        <w:rPr>
          <w:rFonts w:ascii="Calibri" w:hAnsi="Calibri"/>
          <w:b/>
          <w:caps/>
          <w:color w:val="555555"/>
          <w:sz w:val="17"/>
        </w:rPr>
        <w:t xml:space="preserve">Also called:  </w:t>
      </w:r>
      <w:r>
        <w:rPr>
          <w:i/>
          <w:color w:val="333333"/>
          <w:sz w:val="18"/>
        </w:rPr>
        <w:t>Paediatric bowel tray · neonatal GI anastomosis set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6" w:space="0" w:color="808080"/>
          <w:left w:val="nil" w:sz="6" w:space="0" w:color="808080"/>
          <w:bottom w:val="nil" w:sz="6" w:space="0" w:color="808080"/>
          <w:right w:val="nil" w:sz="6" w:space="0" w:color="808080"/>
          <w:insideH w:val="nil" w:sz="6" w:space="0" w:color="808080"/>
          <w:insideV w:val="nil" w:sz="6" w:space="0" w:color="808080"/>
        </w:tblBorders>
        <w:tblLayout w:type="fixed"/>
      </w:tblPr>
      <w:tblGrid>
        <w:gridCol w:w="3600"/>
        <w:gridCol w:w="3600"/>
        <w:gridCol w:w="3600"/>
      </w:tblGrid>
      <w:tr>
        <w:tc>
          <w:tcPr>
            <w:tcW w:type="dxa" w:w="691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TrayLead"/>
            </w:pPr>
            <w:r>
              <w:t xml:space="preserve">The </w:t>
            </w:r>
            <w:r>
              <w:rPr>
                <w:b/>
              </w:rPr>
              <w:t>paediatric GI tray</w:t>
            </w:r>
            <w:r>
              <w:t xml:space="preserve"> applies the adult rule — </w:t>
            </w:r>
            <w:r>
              <w:rPr>
                <w:b/>
              </w:rPr>
              <w:t>crushing clamps only on the specimen side, non-crushing on bowel that must survive</w:t>
            </w:r>
            <w:r>
              <w:t xml:space="preserve"> — to a bowel that may be </w:t>
            </w:r>
            <w:r>
              <w:rPr>
                <w:b/>
              </w:rPr>
              <w:t>only a few millimetres in diameter and paper-thin</w:t>
            </w:r>
            <w:r>
              <w:t xml:space="preserve">. Because staplers are usually too large for neonatal bowel, anastomoses are </w:t>
            </w:r>
            <w:r>
              <w:rPr>
                <w:b/>
              </w:rPr>
              <w:t>hand-sewn with 5-0 to 7-0 suture under magnification</w:t>
            </w:r>
            <w:r>
              <w:t>, and this, together with contamination control and stoma provision, defines the tray.</w:t>
            </w:r>
          </w:p>
          <w:p>
            <w:pPr>
              <w:pStyle w:val="TinyLabel"/>
            </w:pPr>
            <w:r>
              <w:t>Used for / includes</w:t>
            </w:r>
          </w:p>
          <w:p>
            <w:pPr>
              <w:pStyle w:val="Bullet"/>
              <w:ind w:start="238" w:hanging="238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>Bowel resection and anastomosis for atresia, stenosis or malrotation</w:t>
            </w:r>
          </w:p>
          <w:p>
            <w:pPr>
              <w:pStyle w:val="Bullet"/>
              <w:ind w:start="238" w:hanging="238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>Necrotising enterocolitis — resection, stoma or drainage</w:t>
            </w:r>
          </w:p>
          <w:p>
            <w:pPr>
              <w:pStyle w:val="Bullet"/>
              <w:ind w:start="238" w:hanging="238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>Hirschsprung's disease — biopsy, levelling biopsies and pull-through</w:t>
            </w:r>
          </w:p>
          <w:p>
            <w:pPr>
              <w:pStyle w:val="Bullet"/>
              <w:ind w:start="238" w:hanging="238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>Anorectal malformation — colostomy and definitive repair</w:t>
            </w:r>
          </w:p>
          <w:p>
            <w:pPr>
              <w:pStyle w:val="Bullet"/>
              <w:ind w:start="238" w:hanging="238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>Pyloromyotomy (Ramstedt) for infantile hypertrophic pyloric stenosis</w:t>
            </w:r>
          </w:p>
          <w:p>
            <w:pPr>
              <w:pStyle w:val="Bullet"/>
              <w:ind w:start="238" w:hanging="238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>Repair of gastroschisis and exomphalos</w:t>
            </w:r>
          </w:p>
          <w:p>
            <w:pPr>
              <w:pStyle w:val="Bullet"/>
              <w:ind w:start="238" w:hanging="238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>Meconium ileus; intussusception requiring operation</w:t>
            </w:r>
          </w:p>
          <w:p>
            <w:pPr>
              <w:pStyle w:val="Bullet"/>
              <w:ind w:start="238" w:hanging="238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>Formation, revision and closure of an ileostomy or colostomy</w:t>
            </w:r>
          </w:p>
        </w:tc>
        <w:tc>
          <w:tcPr>
            <w:tcW w:type="dxa" w:w="198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3685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center"/>
              <w:spacing w:before="40" w:after="20" w:line="240" w:lineRule="auto"/>
              <w:pBdr>
                <w:top w:val="single" w:sz="4" w:space="2" w:color="999999"/>
                <w:left w:val="single" w:sz="4" w:space="3" w:color="999999"/>
                <w:bottom w:val="single" w:sz="4" w:space="2" w:color="999999"/>
                <w:right w:val="single" w:sz="4" w:space="3" w:color="999999"/>
              </w:pBdr>
            </w:pPr>
            <w:r>
              <w:drawing>
                <wp:inline xmlns:a="http://schemas.openxmlformats.org/drawingml/2006/main" xmlns:pic="http://schemas.openxmlformats.org/drawingml/2006/picture">
                  <wp:extent cx="2286000" cy="165049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0_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6504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FigCaption"/>
              <w:jc w:val="center"/>
              <w:spacing w:before="40" w:after="120"/>
            </w:pPr>
            <w:r>
              <w:t>Fig 10.3 — Atraumatic handling of millimetre-wide bowel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6" w:space="0" w:color="000000"/>
                <w:left w:val="single" w:sz="20" w:space="0" w:color="000000"/>
                <w:bottom w:val="single" w:sz="6" w:space="0" w:color="000000"/>
                <w:right w:val="single" w:sz="6" w:space="0" w:color="000000"/>
              </w:tblBorders>
            </w:tblPr>
            <w:tblGrid>
              <w:gridCol w:w="3685"/>
            </w:tblGrid>
            <w:tr>
              <w:tc>
                <w:tcPr>
                  <w:tcW w:type="dxa" w:w="3685"/>
                  <w:shd w:val="clear" w:color="auto" w:fill="F0F0F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pStyle w:val="BoxHead"/>
                    <w:spacing w:before="0" w:after="60"/>
                  </w:pPr>
                  <w:r>
                    <w:t>Why hand-sewn, not stapled</w:t>
                  </w:r>
                </w:p>
                <w:p>
                  <w:pPr>
                    <w:pStyle w:val="BoxBody"/>
                    <w:spacing w:before="20" w:after="40"/>
                    <w:ind w:start="181" w:hanging="181"/>
                  </w:pPr>
                  <w:r>
                    <w:rPr>
                      <w:rFonts w:ascii="Calibri" w:hAnsi="Calibri"/>
                      <w:b/>
                    </w:rPr>
                    <w:t xml:space="preserve">▪  </w:t>
                  </w:r>
                  <w:r>
                    <w:t xml:space="preserve">Neonatal bowel may be </w:t>
                  </w:r>
                  <w:r>
                    <w:rPr>
                      <w:b/>
                    </w:rPr>
                    <w:t>5–10 mm in diameter with a wall under 1 mm thick</w:t>
                  </w:r>
                  <w:r>
                    <w:t>.</w:t>
                  </w:r>
                </w:p>
                <w:p>
                  <w:pPr>
                    <w:pStyle w:val="BoxBody"/>
                    <w:spacing w:before="20" w:after="40"/>
                    <w:ind w:start="181" w:hanging="181"/>
                  </w:pPr>
                  <w:r>
                    <w:rPr>
                      <w:rFonts w:ascii="Calibri" w:hAnsi="Calibri"/>
                      <w:b/>
                    </w:rPr>
                    <w:t xml:space="preserve">▪  </w:t>
                  </w:r>
                  <w:r>
                    <w:t xml:space="preserve">Standard staplers are </w:t>
                  </w:r>
                  <w:r>
                    <w:rPr>
                      <w:b/>
                    </w:rPr>
                    <w:t>too large and too traumatic</w:t>
                  </w:r>
                  <w:r>
                    <w:t xml:space="preserve"> and would narrow the lumen.</w:t>
                  </w:r>
                </w:p>
                <w:p>
                  <w:pPr>
                    <w:pStyle w:val="BoxBody"/>
                    <w:spacing w:before="20" w:after="40"/>
                    <w:ind w:start="181" w:hanging="181"/>
                  </w:pPr>
                  <w:r>
                    <w:rPr>
                      <w:rFonts w:ascii="Calibri" w:hAnsi="Calibri"/>
                      <w:b/>
                    </w:rPr>
                    <w:t xml:space="preserve">▪  </w:t>
                  </w:r>
                  <w:r>
                    <w:t xml:space="preserve">So anastomoses are </w:t>
                  </w:r>
                  <w:r>
                    <w:rPr>
                      <w:b/>
                    </w:rPr>
                    <w:t>hand-sewn, single-layer interrupted extramucosal, with 5-0 to 7-0 suture under loupes</w:t>
                  </w:r>
                  <w:r>
                    <w:t>.</w:t>
                  </w:r>
                </w:p>
                <w:p>
                  <w:pPr>
                    <w:pStyle w:val="BoxBody"/>
                    <w:spacing w:before="20" w:after="40"/>
                    <w:ind w:start="181" w:hanging="181"/>
                  </w:pPr>
                  <w:r>
                    <w:rPr>
                      <w:rFonts w:ascii="Calibri" w:hAnsi="Calibri"/>
                      <w:b/>
                    </w:rPr>
                    <w:t xml:space="preserve">▪  </w:t>
                  </w:r>
                  <w:r>
                    <w:t>Stating this explicitly distinguishes a strong answer.</w:t>
                  </w:r>
                </w:p>
              </w:tc>
            </w:tr>
          </w:tbl>
          <w:p/>
        </w:tc>
      </w:tr>
    </w:tbl>
    <w:p>
      <w:pPr>
        <w:pStyle w:val="Heading3"/>
        <w:keepLines/>
        <w:keepNext/>
      </w:pPr>
      <w:r>
        <w:rPr>
          <w:rFonts w:ascii="Calibri" w:hAnsi="Calibri"/>
          <w:b/>
        </w:rPr>
        <w:t>Contents of the tray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12" w:space="0" w:color="000000"/>
          <w:left w:val="single" w:sz="6" w:space="0" w:color="000000"/>
          <w:bottom w:val="single" w:sz="12" w:space="0" w:color="000000"/>
          <w:right w:val="single" w:sz="6" w:space="0" w:color="000000"/>
          <w:insideH w:val="single" w:sz="4" w:space="0" w:color="BBBBBB"/>
          <w:insideV w:val="single" w:sz="4" w:space="0" w:color="BBBBBB"/>
        </w:tblBorders>
      </w:tblPr>
      <w:tblGrid>
        <w:gridCol w:w="3600"/>
        <w:gridCol w:w="3600"/>
        <w:gridCol w:w="3600"/>
      </w:tblGrid>
      <w:tr>
        <w:trPr>
          <w:tblHeader/>
          <w:cantSplit/>
        </w:trPr>
        <w:tc>
          <w:tcPr>
            <w:tcW w:type="dxa" w:w="850"/>
            <w:shd w:val="clear" w:color="auto" w:fill="D9D9D9"/>
            <w:tcMar>
              <w:top w:w="50" w:type="dxa"/>
              <w:start w:w="80" w:type="dxa"/>
              <w:bottom w:w="5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Head"/>
              <w:jc w:val="center"/>
            </w:pPr>
            <w:r>
              <w:t>Qty</w:t>
            </w:r>
          </w:p>
        </w:tc>
        <w:tc>
          <w:tcPr>
            <w:tcW w:type="dxa" w:w="4082"/>
            <w:shd w:val="clear" w:color="auto" w:fill="D9D9D9"/>
            <w:tcMar>
              <w:top w:w="50" w:type="dxa"/>
              <w:start w:w="80" w:type="dxa"/>
              <w:bottom w:w="5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Head"/>
              <w:jc w:val="left"/>
            </w:pPr>
            <w:r>
              <w:t>Instrument</w:t>
            </w:r>
          </w:p>
        </w:tc>
        <w:tc>
          <w:tcPr>
            <w:tcW w:type="dxa" w:w="5868"/>
            <w:shd w:val="clear" w:color="auto" w:fill="D9D9D9"/>
            <w:tcMar>
              <w:top w:w="50" w:type="dxa"/>
              <w:start w:w="80" w:type="dxa"/>
              <w:bottom w:w="5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Head"/>
              <w:jc w:val="left"/>
            </w:pPr>
            <w:r>
              <w:t>Notes / rationale</w:t>
            </w:r>
          </w:p>
        </w:tc>
      </w:tr>
      <w:tr>
        <w:tc>
          <w:tcPr>
            <w:tcW w:type="dxa" w:w="10800"/>
            <w:gridSpan w:val="3"/>
            <w:shd w:val="clear" w:color="auto" w:fill="E4E4E4"/>
            <w:tcMar>
              <w:top w:w="48" w:type="dxa"/>
              <w:start w:w="80" w:type="dxa"/>
              <w:bottom w:w="48" w:type="dxa"/>
              <w:end w:w="80" w:type="dxa"/>
            </w:tcMar>
          </w:tcPr>
          <w:p>
            <w:pPr>
              <w:pStyle w:val="TabHead"/>
              <w:keepLines/>
              <w:keepNext/>
            </w:pPr>
            <w:r>
              <w:rPr>
                <w:rFonts w:ascii="Calibri" w:hAnsi="Calibri"/>
                <w:b/>
                <w:sz w:val="17"/>
                <w:spacing w:val="12"/>
              </w:rPr>
              <w:t>BASE SET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Complete paediatric major procedures tray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see 10.1</w:t>
            </w:r>
          </w:p>
        </w:tc>
      </w:tr>
      <w:tr>
        <w:tc>
          <w:tcPr>
            <w:tcW w:type="dxa" w:w="10800"/>
            <w:gridSpan w:val="3"/>
            <w:shd w:val="clear" w:color="auto" w:fill="E4E4E4"/>
            <w:tcMar>
              <w:top w:w="48" w:type="dxa"/>
              <w:start w:w="80" w:type="dxa"/>
              <w:bottom w:w="48" w:type="dxa"/>
              <w:end w:w="80" w:type="dxa"/>
            </w:tcMar>
          </w:tcPr>
          <w:p>
            <w:pPr>
              <w:pStyle w:val="TabHead"/>
              <w:keepLines/>
              <w:keepNext/>
            </w:pPr>
            <w:r>
              <w:rPr>
                <w:rFonts w:ascii="Calibri" w:hAnsi="Calibri"/>
                <w:b/>
                <w:sz w:val="17"/>
                <w:spacing w:val="12"/>
              </w:rPr>
              <w:t>BOWEL CLAMPS — THE DEFINING GROUP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4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Non-crushing (Doyen-type) intestinal clamps, small and fine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rPr>
                <w:b/>
              </w:rPr>
              <w:t>signature item</w:t>
            </w:r>
            <w:r>
              <w:t xml:space="preserve"> — applied only to bowel that will be </w:t>
            </w:r>
            <w:r>
              <w:rPr>
                <w:b/>
              </w:rPr>
              <w:t>retained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4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Rubber-shod mosquito or Crile forceps / clamp guards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rPr>
                <w:b/>
              </w:rPr>
              <w:t>signature item</w:t>
            </w:r>
            <w:r>
              <w:t xml:space="preserve"> — in a neonate even a small Doyen may be too heavy; a rubber-shod fine clamp is gentler still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2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Small crushing (Kocher / Payr-type) clamps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rPr>
                <w:b/>
              </w:rPr>
              <w:t>specimen side only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4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Small Babcock forceps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atraumatic traction on bowel, appendix and tube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4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Fine DeBakey forceps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the instrument that actually holds the bowel wall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2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Fine right-angled forceps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mesenteric vessels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Soft slings / umbilical tapes, fine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gentle bowel retraction instead of a clamp</w:t>
            </w:r>
          </w:p>
        </w:tc>
      </w:tr>
      <w:tr>
        <w:tc>
          <w:tcPr>
            <w:tcW w:type="dxa" w:w="10800"/>
            <w:gridSpan w:val="3"/>
            <w:shd w:val="clear" w:color="auto" w:fill="E4E4E4"/>
            <w:tcMar>
              <w:top w:w="48" w:type="dxa"/>
              <w:start w:w="80" w:type="dxa"/>
              <w:bottom w:w="48" w:type="dxa"/>
              <w:end w:w="80" w:type="dxa"/>
            </w:tcMar>
          </w:tcPr>
          <w:p>
            <w:pPr>
              <w:pStyle w:val="TabHead"/>
              <w:keepLines/>
              <w:keepNext/>
            </w:pPr>
            <w:r>
              <w:rPr>
                <w:rFonts w:ascii="Calibri" w:hAnsi="Calibri"/>
                <w:b/>
                <w:sz w:val="17"/>
                <w:spacing w:val="12"/>
              </w:rPr>
              <w:t>ANASTOMOSIS — HAND-SEWN, UNDER MAGNIFICATION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2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Fine needle holders 13 cm and a micro (Castroviejo) needle holder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5-0, 6-0 and 7-0 absorbable suture on a fine round-bodied (taper) needle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rPr>
                <w:b/>
              </w:rPr>
              <w:t>signature requirement</w:t>
            </w:r>
            <w:r>
              <w:t xml:space="preserve"> — </w:t>
            </w:r>
            <w:r>
              <w:rPr>
                <w:b/>
              </w:rPr>
              <w:t>single-layer interrupted extramucosal (seromuscular) anastomosis</w:t>
            </w:r>
            <w:r>
              <w:t xml:space="preserve"> is standard in neonates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Stay sutures, fine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hold the ends in apposition and rotate the anastomosis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2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Magnifying loupes (2.5–4×) or the operating microscope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rPr>
                <w:b/>
              </w:rPr>
              <w:t>signature requirement</w:t>
            </w:r>
            <w:r>
              <w:t xml:space="preserve"> — a neonatal duodenum may be 5 mm wide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2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Fine curved and Potts-Smith angled scissors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Bougies / sizing catheters, small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calibrates the anastomosis and excludes distal obstruction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Small stapling devices only if size-appropriate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rPr>
                <w:b/>
              </w:rPr>
              <w:t>most neonatal staplers are too large — say so explicitly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Fibrin sealant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reinforces a delicate anastomosis</w:t>
            </w:r>
          </w:p>
        </w:tc>
      </w:tr>
      <w:tr>
        <w:tc>
          <w:tcPr>
            <w:tcW w:type="dxa" w:w="10800"/>
            <w:gridSpan w:val="3"/>
            <w:shd w:val="clear" w:color="auto" w:fill="E4E4E4"/>
            <w:tcMar>
              <w:top w:w="48" w:type="dxa"/>
              <w:start w:w="80" w:type="dxa"/>
              <w:bottom w:w="48" w:type="dxa"/>
              <w:end w:w="80" w:type="dxa"/>
            </w:tcMar>
          </w:tcPr>
          <w:p>
            <w:pPr>
              <w:pStyle w:val="TabHead"/>
              <w:keepLines/>
              <w:keepNext/>
            </w:pPr>
            <w:r>
              <w:rPr>
                <w:rFonts w:ascii="Calibri" w:hAnsi="Calibri"/>
                <w:b/>
                <w:sz w:val="17"/>
                <w:spacing w:val="12"/>
              </w:rPr>
              <w:t>PROCEDURE-SPECIFIC ADDITIONS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Pyloromyotomy spreader (Benson) and pyloric knife/blade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rPr>
                <w:b/>
              </w:rPr>
              <w:t>signature item</w:t>
            </w:r>
            <w:r>
              <w:t xml:space="preserve"> for Ramstedt pyloromyotomy — the hypertrophied muscle is split and spread </w:t>
            </w:r>
            <w:r>
              <w:rPr>
                <w:b/>
              </w:rPr>
              <w:t>without breaching the mucosa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Rectal / suction biopsy instrument (Noblett)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rPr>
                <w:b/>
              </w:rPr>
              <w:t>signature item</w:t>
            </w:r>
            <w:r>
              <w:t xml:space="preserve"> — obtains submucosa for ganglion cells in Hirschsprung's disease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Separate labelled specimen pots for levelling biopsies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rPr>
                <w:b/>
              </w:rPr>
              <w:t>each seromuscular biopsy is labelled with its distance from the anal verge</w:t>
            </w:r>
            <w:r>
              <w:t xml:space="preserve"> to locate the transition zone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Anal dilators, graded small; Hegar dilators, small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pull-through and post-operative dilatation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Small self-retaining anal retractor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Silo bag and applicator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staged reduction of gastroschisis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Stoma appliances, paediatric, with a marking pen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Contrast medium and image intensifier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on-table contrast study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Frozen-section facility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rPr>
                <w:b/>
              </w:rPr>
              <w:t>confirms ganglion cells before the pull-through anastomosis</w:t>
            </w:r>
          </w:p>
        </w:tc>
      </w:tr>
      <w:tr>
        <w:tc>
          <w:tcPr>
            <w:tcW w:type="dxa" w:w="10800"/>
            <w:gridSpan w:val="3"/>
            <w:shd w:val="clear" w:color="auto" w:fill="E4E4E4"/>
            <w:tcMar>
              <w:top w:w="48" w:type="dxa"/>
              <w:start w:w="80" w:type="dxa"/>
              <w:bottom w:w="48" w:type="dxa"/>
              <w:end w:w="80" w:type="dxa"/>
            </w:tcMar>
          </w:tcPr>
          <w:p>
            <w:pPr>
              <w:pStyle w:val="TabHead"/>
              <w:keepLines/>
              <w:keepNext/>
            </w:pPr>
            <w:r>
              <w:rPr>
                <w:rFonts w:ascii="Calibri" w:hAnsi="Calibri"/>
                <w:b/>
                <w:sz w:val="17"/>
                <w:spacing w:val="12"/>
              </w:rPr>
              <w:t>CONTAMINATION CONTROL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Separate 'dirty' bowel-technique instrument set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used after the bowel is opened, then removed from the field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Small warm moist packs and drapes to isolate the bowel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Dedicated fine suction tip for enteric content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Antiseptic-soaked small swabs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cleansing the divided ends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Separate specimen and 'dirty' receivers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Change of gloves after the enteric stage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Culture swabs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peritoneal fluid in necrotising enterocolitis</w:t>
            </w:r>
          </w:p>
        </w:tc>
      </w:tr>
      <w:tr>
        <w:tc>
          <w:tcPr>
            <w:tcW w:type="dxa" w:w="10800"/>
            <w:gridSpan w:val="3"/>
            <w:shd w:val="clear" w:color="auto" w:fill="E4E4E4"/>
            <w:tcMar>
              <w:top w:w="48" w:type="dxa"/>
              <w:start w:w="80" w:type="dxa"/>
              <w:bottom w:w="48" w:type="dxa"/>
              <w:end w:w="80" w:type="dxa"/>
            </w:tcMar>
          </w:tcPr>
          <w:p>
            <w:pPr>
              <w:pStyle w:val="TabHead"/>
              <w:keepLines/>
              <w:keepNext/>
            </w:pPr>
            <w:r>
              <w:rPr>
                <w:rFonts w:ascii="Calibri" w:hAnsi="Calibri"/>
                <w:b/>
                <w:sz w:val="17"/>
                <w:spacing w:val="12"/>
              </w:rPr>
              <w:t>PHYSIOLOGICAL SUPPORT — CRITICAL IN THIS GROUP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Nasogastric / orogastric tube, size-appropriate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decompression is essential in obstruction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Warming mattress, overhead heater, warmed irrigation and warmed intravenous fluids; theatre at 24–26 °C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rPr>
                <w:b/>
              </w:rPr>
              <w:t>exposed bowel loses heat and fluid extremely rapidly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Continuous core temperature monitoring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Volumetric pumps and syringe drivers; fluids in mL/kg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Cross-matched blood in paediatric aliquots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 xml:space="preserve">blood volume ≈ </w:t>
            </w:r>
            <w:r>
              <w:rPr>
                <w:b/>
              </w:rPr>
              <w:t>80 mL/kg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Small counted radio-opaque swabs with a weighing scale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rPr>
                <w:b/>
              </w:rPr>
              <w:t>swabs weighed to quantify loss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Glucose monitoring and dextrose infusion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Parenteral nutrition access — central line or PICC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prolonged ileus is expected after neonatal bowel surgery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Neonatal resuscitation equipment and a transport incubator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</w:p>
        </w:tc>
      </w:tr>
    </w:tbl>
    <w:p>
      <w:pPr>
        <w:spacing w:before="0" w:after="160" w:line="240" w:lineRule="auto"/>
      </w:pPr>
    </w:p>
    <w:p>
      <w:pPr>
        <w:pStyle w:val="Heading4"/>
        <w:keepLines/>
        <w:keepNext/>
      </w:pPr>
      <w:r>
        <w:rPr>
          <w:rFonts w:ascii="Calibri" w:hAnsi="Calibri"/>
          <w:b/>
        </w:rPr>
        <w:t>Additional supplies and accessories</w:t>
      </w:r>
    </w:p>
    <w:p>
      <w:pPr>
        <w:pStyle w:val="BoxBody"/>
        <w:ind w:start="170"/>
      </w:pPr>
      <w:r>
        <w:rPr>
          <w:b/>
        </w:rPr>
        <w:t>Position</w:t>
      </w:r>
      <w:r>
        <w:t xml:space="preserve"> — Supine on a warming mattress; lithotomy or prone for anorectal and pull-through procedures. Exposure is kept to the minimum area to preserve temperature.</w:t>
      </w:r>
    </w:p>
    <w:p>
      <w:pPr>
        <w:pStyle w:val="BoxBody"/>
        <w:ind w:start="170"/>
      </w:pPr>
      <w:r>
        <w:rPr>
          <w:b/>
        </w:rPr>
        <w:t>Ramstedt pyloromyotomy</w:t>
      </w:r>
      <w:r>
        <w:t xml:space="preserve"> — The </w:t>
      </w:r>
      <w:r>
        <w:rPr>
          <w:b/>
        </w:rPr>
        <w:t>seromuscular layer of the pylorus is incised and spread with a Benson spreader until the mucosa pouts through, intact</w:t>
      </w:r>
      <w:r>
        <w:t xml:space="preserve">. The tray must therefore include the spreader and a means of </w:t>
      </w:r>
      <w:r>
        <w:rPr>
          <w:b/>
        </w:rPr>
        <w:t>testing mucosal integrity</w:t>
      </w:r>
      <w:r>
        <w:t xml:space="preserve"> (insufflating air through the nasogastric tube). A breached mucosa must be recognised and repaired at once.</w:t>
      </w:r>
    </w:p>
    <w:p>
      <w:pPr>
        <w:pStyle w:val="BoxBody"/>
        <w:ind w:start="170"/>
      </w:pPr>
      <w:r>
        <w:rPr>
          <w:b/>
        </w:rPr>
        <w:t>Hirschsprung's levelling biopsies</w:t>
      </w:r>
      <w:r>
        <w:t xml:space="preserve"> — Seromuscular biopsies are taken at intervals and sent for </w:t>
      </w:r>
      <w:r>
        <w:rPr>
          <w:b/>
        </w:rPr>
        <w:t>frozen section</w:t>
      </w:r>
      <w:r>
        <w:t xml:space="preserve"> to find the level at which ganglion cells appear. </w:t>
      </w:r>
      <w:r>
        <w:rPr>
          <w:b/>
        </w:rPr>
        <w:t>Each pot must be separately labelled with its distance from the anal verge</w:t>
      </w:r>
      <w:r>
        <w:t xml:space="preserve"> — mislabelling leads to resection at the wrong level.</w:t>
      </w:r>
    </w:p>
    <w:p>
      <w:pPr>
        <w:pStyle w:val="BoxBody"/>
        <w:ind w:start="170"/>
      </w:pPr>
      <w:r>
        <w:rPr>
          <w:b/>
        </w:rPr>
        <w:t>Complications</w:t>
      </w:r>
      <w:r>
        <w:t xml:space="preserve"> — Anastomotic leak and stricture, </w:t>
      </w:r>
      <w:r>
        <w:rPr>
          <w:b/>
        </w:rPr>
        <w:t>mucosal perforation in pyloromyotomy</w:t>
      </w:r>
      <w:r>
        <w:t>, adhesive obstruction, short-bowel syndrome, stoma complications, wound dehiscence, sepsis, hypothermia and hypoglycaemia, and prolonged parenteral-nutrition dependence.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24" w:space="0" w:color="000000"/>
          <w:bottom w:val="single" w:sz="6" w:space="0" w:color="000000"/>
          <w:right w:val="single" w:sz="6" w:space="0" w:color="000000"/>
        </w:tblBorders>
      </w:tblPr>
      <w:tblGrid>
        <w:gridCol w:w="10800"/>
      </w:tblGrid>
      <w:tr>
        <w:tc>
          <w:tcPr>
            <w:tcW w:type="dxa" w:w="10800"/>
            <w:shd w:val="clear" w:color="auto" w:fill="F0F0F0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pStyle w:val="BoxHead"/>
              <w:spacing w:before="0" w:after="60"/>
            </w:pPr>
            <w:r>
              <w:t>Examination pointers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 xml:space="preserve">Restate the </w:t>
            </w:r>
            <w:r>
              <w:rPr>
                <w:b/>
              </w:rPr>
              <w:t>crushing versus non-crushing</w:t>
            </w:r>
            <w:r>
              <w:t xml:space="preserve"> rule, then explain that in a neonate even a Doyen may be too heavy — hence </w:t>
            </w:r>
            <w:r>
              <w:rPr>
                <w:b/>
              </w:rPr>
              <w:t>rubber-shod fine clamps</w:t>
            </w:r>
            <w:r>
              <w:t>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rPr>
                <w:b/>
              </w:rPr>
              <w:t>Anastomoses are hand-sewn, single-layer interrupted extramucosal, 5-0 to 7-0, under loupes</w:t>
            </w:r>
            <w:r>
              <w:t xml:space="preserve"> — staplers are usually too large.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rPr>
                <w:b/>
              </w:rPr>
              <w:t>Benson pyloromyotomy spreader</w:t>
            </w:r>
            <w:r>
              <w:t xml:space="preserve"> and </w:t>
            </w:r>
            <w:r>
              <w:rPr>
                <w:b/>
              </w:rPr>
              <w:t>testing mucosal integrity</w:t>
            </w:r>
            <w:r>
              <w:t xml:space="preserve"> for Ramstedt's operation.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rPr>
                <w:b/>
              </w:rPr>
              <w:t>Noblett suction rectal biopsy</w:t>
            </w:r>
            <w:r>
              <w:t xml:space="preserve"> and </w:t>
            </w:r>
            <w:r>
              <w:rPr>
                <w:b/>
              </w:rPr>
              <w:t>separately labelled levelling biopsies with frozen section</w:t>
            </w:r>
            <w:r>
              <w:t xml:space="preserve"> for Hirschsprung's.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rPr>
                <w:b/>
              </w:rPr>
              <w:t>Contamination control with a separate 'dirty' set and glove change.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rPr>
                <w:b/>
              </w:rPr>
              <w:t>Warming, swab weighing and 80 mL/kg</w:t>
            </w:r>
            <w:r>
              <w:t xml:space="preserve"> — the paediatric constants apply with even greater force when bowel is exposed.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rPr>
                <w:b/>
              </w:rPr>
              <w:t>Nasogastric decompression and central access for parenteral nutrition</w:t>
            </w:r>
            <w:r>
              <w:t xml:space="preserve"> are part of preparation.</w:t>
            </w:r>
          </w:p>
        </w:tc>
      </w:tr>
    </w:tbl>
    <w:p>
      <w:pPr>
        <w:spacing w:before="0" w:after="14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24" w:space="0" w:color="000000"/>
          <w:bottom w:val="single" w:sz="6" w:space="0" w:color="000000"/>
          <w:right w:val="single" w:sz="6" w:space="0" w:color="000000"/>
        </w:tblBorders>
      </w:tblPr>
      <w:tblGrid>
        <w:gridCol w:w="10800"/>
      </w:tblGrid>
      <w:tr>
        <w:tc>
          <w:tcPr>
            <w:tcW w:type="dxa" w:w="10800"/>
            <w:shd w:val="clear" w:color="auto" w:fill="E4E4E4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pStyle w:val="BoxHead"/>
              <w:spacing w:before="0" w:after="60"/>
            </w:pPr>
            <w:r>
              <w:t>Common mistakes to avoid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✗  </w:t>
            </w:r>
            <w:r>
              <w:t>Applying a crushing clamp to bowel that will be retained.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✗  </w:t>
            </w:r>
            <w:r>
              <w:t>Assuming adult staplers can be used in a neonate.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✗  </w:t>
            </w:r>
            <w:r>
              <w:t>Failing to label levelling biopsies with the distance from the anal verge.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✗  </w:t>
            </w:r>
            <w:r>
              <w:t>Omitting warming, swab weighing and glucose monitoring.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✗  </w:t>
            </w:r>
            <w:r>
              <w:t>Forgetting to test mucosal integrity after pyloromyotomy.</w:t>
            </w:r>
          </w:p>
        </w:tc>
      </w:tr>
    </w:tbl>
    <w:p>
      <w:pPr>
        <w:spacing w:before="0" w:after="140" w:line="240" w:lineRule="auto"/>
      </w:pPr>
    </w:p>
    <w:p>
      <w:pPr>
        <w:pStyle w:val="Heading4"/>
        <w:keepLines/>
        <w:keepNext/>
      </w:pPr>
      <w:r>
        <w:rPr>
          <w:rFonts w:ascii="Calibri" w:hAnsi="Calibri"/>
          <w:b/>
        </w:rPr>
        <w:t>Likely examination questions</w:t>
      </w:r>
    </w:p>
    <w:p>
      <w:pPr>
        <w:spacing w:before="80" w:after="20"/>
        <w:ind w:start="311" w:hanging="311"/>
        <w:keepLines/>
        <w:keepNext/>
      </w:pPr>
      <w:r>
        <w:rPr>
          <w:rFonts w:ascii="Calibri" w:hAnsi="Calibri"/>
          <w:b/>
          <w:sz w:val="19"/>
        </w:rPr>
        <w:t xml:space="preserve">Q1.  </w:t>
      </w:r>
      <w:r>
        <w:rPr>
          <w:b/>
          <w:sz w:val="19"/>
        </w:rPr>
        <w:t>Describe the paediatric gastrointestinal procedures tray.</w:t>
      </w:r>
    </w:p>
    <w:p>
      <w:pPr>
        <w:pStyle w:val="QBank"/>
        <w:spacing w:before="0" w:after="100"/>
        <w:ind w:start="595" w:hanging="283"/>
      </w:pPr>
      <w:r>
        <w:rPr>
          <w:rFonts w:ascii="Calibri" w:hAnsi="Calibri"/>
          <w:b/>
        </w:rPr>
        <w:t xml:space="preserve">A.  </w:t>
      </w:r>
      <w:r>
        <w:t xml:space="preserve">A complete paediatric major tray plus: </w:t>
      </w:r>
      <w:r>
        <w:rPr>
          <w:b/>
        </w:rPr>
        <w:t>bowel clamps</w:t>
      </w:r>
      <w:r>
        <w:t xml:space="preserve"> — small fine non-crushing Doyen-type clamps and rubber-shod fine clamps for retained bowel, small crushing clamps for the specimen side, small Babcock and fine DeBakey forceps, fine right-angled forceps and soft slings; </w:t>
      </w:r>
      <w:r>
        <w:rPr>
          <w:b/>
        </w:rPr>
        <w:t>anastomosis</w:t>
      </w:r>
      <w:r>
        <w:t xml:space="preserve"> — fine and micro needle holders with 5-0 to 7-0 absorbable suture on fine round-bodied needles for a single-layer interrupted extramucosal anastomosis, stay sutures, loupes or the microscope, fine curved and Potts scissors, small sizing bougies, size-appropriate staplers only if suitable, and fibrin sealant; </w:t>
      </w:r>
      <w:r>
        <w:rPr>
          <w:b/>
        </w:rPr>
        <w:t>procedure-specific</w:t>
      </w:r>
      <w:r>
        <w:t xml:space="preserve"> — Benson pyloromyotomy spreader with a pyloric blade, Noblett suction rectal biopsy instrument, separately labelled pots for levelling biopsies with frozen section, small graded anal and Hegar dilators, a silo bag, paediatric stoma appliances and contrast with an image intensifier; </w:t>
      </w:r>
      <w:r>
        <w:rPr>
          <w:b/>
        </w:rPr>
        <w:t>contamination control</w:t>
      </w:r>
      <w:r>
        <w:t xml:space="preserve"> — a separate 'dirty' bowel set, isolation packs, dedicated suction, separate receivers, glove change and culture swabs; and </w:t>
      </w:r>
      <w:r>
        <w:rPr>
          <w:b/>
        </w:rPr>
        <w:t>physiological support</w:t>
      </w:r>
      <w:r>
        <w:t xml:space="preserve"> — nasogastric decompression, active warming with warmed fluids and theatre at 24–26 °C, core temperature monitoring, volumetric pumps, cross-matched blood in paediatric aliquots, counted swabs with a weighing scale, glucose monitoring and central access for parenteral nutrition.</w:t>
      </w:r>
    </w:p>
    <w:p>
      <w:pPr>
        <w:spacing w:before="80" w:after="20"/>
        <w:ind w:start="311" w:hanging="311"/>
        <w:keepLines/>
        <w:keepNext/>
      </w:pPr>
      <w:r>
        <w:rPr>
          <w:rFonts w:ascii="Calibri" w:hAnsi="Calibri"/>
          <w:b/>
          <w:sz w:val="19"/>
        </w:rPr>
        <w:t xml:space="preserve">Q2.  </w:t>
      </w:r>
      <w:r>
        <w:rPr>
          <w:b/>
          <w:sz w:val="19"/>
        </w:rPr>
        <w:t>Why are neonatal bowel anastomoses hand-sewn rather than stapled?</w:t>
      </w:r>
    </w:p>
    <w:p>
      <w:pPr>
        <w:pStyle w:val="QBank"/>
        <w:spacing w:before="0" w:after="100"/>
        <w:ind w:start="595" w:hanging="283"/>
      </w:pPr>
      <w:r>
        <w:rPr>
          <w:rFonts w:ascii="Calibri" w:hAnsi="Calibri"/>
          <w:b/>
        </w:rPr>
        <w:t xml:space="preserve">A.  </w:t>
      </w:r>
      <w:r>
        <w:t>Neonatal bowel may be only 5–10 mm in diameter with a wall less than a millimetre thick. Standard stapling devices are too bulky to introduce, would crush a disproportionate amount of tissue and would significantly narrow the lumen, risking stricture. A hand-sewn single-layer interrupted extramucosal anastomosis with 5-0 to 7-0 absorbable suture, performed under magnifying loupes, gives accurate serosa-to-serosa apposition without compromising the lumen.</w:t>
      </w:r>
    </w:p>
    <w:sectPr w:rsidR="00FC693F" w:rsidRPr="0006063C" w:rsidSect="00034616">
      <w:headerReference w:type="default" r:id="rId9"/>
      <w:footerReference w:type="default" r:id="rId10"/>
      <w:pgSz w:w="12240" w:h="20160"/>
      <w:pgMar w:top="720" w:right="720" w:bottom="720" w:left="720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2" w:color="AAAAAA"/>
      </w:pBdr>
      <w:spacing w:before="60"/>
    </w:pPr>
    <w:r/>
    <w:r>
      <w:rPr>
        <w:rFonts w:ascii="Calibri" w:hAnsi="Calibri"/>
        <w:color w:val="555555"/>
        <w:sz w:val="19"/>
      </w:rPr>
      <w:t xml:space="preserve">— </w:t>
    </w:r>
    <w:r>
      <w:fldChar w:fldCharType="begin"/>
    </w:r>
    <w:r>
      <w:instrText xml:space="preserve">PAGE</w:instrText>
    </w:r>
    <w:r>
      <w:fldChar w:fldCharType="separate"/>
    </w:r>
    <w:r>
      <w:rPr>
        <w:rFonts w:ascii="Calibri" w:hAnsi="Calibri"/>
        <w:b/>
        <w:sz w:val="19"/>
      </w:rPr>
      <w:t>1</w:t>
    </w:r>
    <w:r>
      <w:fldChar w:fldCharType="end"/>
    </w:r>
    <w:r>
      <w:rPr>
        <w:rFonts w:ascii="Calibri" w:hAnsi="Calibri"/>
        <w:color w:val="555555"/>
        <w:sz w:val="19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800" w:val="right"/>
      </w:tabs>
      <w:pBdr>
        <w:bottom w:val="single" w:sz="6" w:space="2" w:color="AAAAAA"/>
      </w:pBdr>
      <w:spacing w:after="80"/>
    </w:pPr>
    <w:r/>
    <w:r>
      <w:rPr>
        <w:rFonts w:ascii="Calibri" w:hAnsi="Calibri"/>
        <w:b/>
        <w:caps/>
        <w:color w:val="444444"/>
        <w:sz w:val="16"/>
      </w:rPr>
      <w:t>Preparation of Instrument Trays</w:t>
    </w:r>
    <w:r>
      <w:rPr>
        <w:rFonts w:ascii="Calibri" w:hAnsi="Calibri"/>
        <w:i/>
        <w:color w:val="666666"/>
        <w:sz w:val="16"/>
      </w:rPr>
      <w:tab/>
      <w:t>Complete Examination Notes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9" w:lineRule="auto"/>
    </w:pPr>
    <w:rPr>
      <w:rFonts w:ascii="Georgia" w:hAnsi="Georgia"/>
      <w:sz w:val="21"/>
      <w:rFonts w:ascii="Georgia" w:hAnsi="Georgia" w:cs="Georgia" w:eastAsia="Georgi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Calibri" w:hAnsi="Calibri"/>
      <w:b/>
      <w:bCs/>
      <w:caps/>
      <w:color w:val="FFFFF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A1A1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rayLead">
    <w:name w:val="TrayLead"/>
    <w:pPr>
      <w:spacing w:before="0" w:after="80" w:line="274" w:lineRule="auto"/>
    </w:pPr>
    <w:rPr>
      <w:rFonts w:ascii="Georgia" w:hAnsi="Georgia" w:cs="Georgia" w:eastAsia="Georgia"/>
      <w:b w:val="0"/>
      <w:i w:val="0"/>
      <w:color w:val="000000"/>
      <w:sz w:val="21"/>
    </w:rPr>
  </w:style>
  <w:style w:type="paragraph" w:customStyle="1" w:styleId="TinyLabel">
    <w:name w:val="TinyLabel"/>
    <w:pPr>
      <w:spacing w:before="0" w:after="20" w:line="269" w:lineRule="auto"/>
      <w:keepNext/>
      <w:keepLines/>
    </w:pPr>
    <w:rPr>
      <w:rFonts w:ascii="Calibri" w:hAnsi="Calibri" w:cs="Calibri" w:eastAsia="Calibri"/>
      <w:b/>
      <w:i w:val="0"/>
      <w:caps/>
      <w:color w:val="333333"/>
      <w:sz w:val="16"/>
      <w:spacing w:val="12"/>
    </w:rPr>
  </w:style>
  <w:style w:type="paragraph" w:customStyle="1" w:styleId="Bullet">
    <w:name w:val="Bullet"/>
    <w:pPr>
      <w:spacing w:before="0" w:after="40" w:line="264" w:lineRule="auto"/>
    </w:pPr>
    <w:rPr>
      <w:rFonts w:ascii="Georgia" w:hAnsi="Georgia" w:cs="Georgia" w:eastAsia="Georgia"/>
      <w:b w:val="0"/>
      <w:i w:val="0"/>
      <w:color w:val="000000"/>
      <w:sz w:val="20"/>
    </w:rPr>
  </w:style>
  <w:style w:type="paragraph" w:customStyle="1" w:styleId="SubBullet">
    <w:name w:val="SubBullet"/>
    <w:pPr>
      <w:spacing w:before="0" w:after="20" w:line="259" w:lineRule="auto"/>
    </w:pPr>
    <w:rPr>
      <w:rFonts w:ascii="Georgia" w:hAnsi="Georgia" w:cs="Georgia" w:eastAsia="Georgia"/>
      <w:b w:val="0"/>
      <w:i w:val="0"/>
      <w:color w:val="000000"/>
      <w:sz w:val="19"/>
    </w:rPr>
  </w:style>
  <w:style w:type="paragraph" w:customStyle="1" w:styleId="BoxHead">
    <w:name w:val="BoxHead"/>
    <w:pPr>
      <w:spacing w:before="0" w:after="40" w:line="269" w:lineRule="auto"/>
      <w:keepNext/>
      <w:keepLines/>
    </w:pPr>
    <w:rPr>
      <w:rFonts w:ascii="Calibri" w:hAnsi="Calibri" w:cs="Calibri" w:eastAsia="Calibri"/>
      <w:b/>
      <w:i w:val="0"/>
      <w:caps/>
      <w:color w:val="000000"/>
      <w:sz w:val="19"/>
      <w:spacing w:val="10"/>
    </w:rPr>
  </w:style>
  <w:style w:type="paragraph" w:customStyle="1" w:styleId="BoxBody">
    <w:name w:val="BoxBody"/>
    <w:pPr>
      <w:spacing w:before="0" w:after="40" w:line="264" w:lineRule="auto"/>
    </w:pPr>
    <w:rPr>
      <w:rFonts w:ascii="Georgia" w:hAnsi="Georgia" w:cs="Georgia" w:eastAsia="Georgia"/>
      <w:b w:val="0"/>
      <w:i w:val="0"/>
      <w:color w:val="000000"/>
      <w:sz w:val="19"/>
    </w:rPr>
  </w:style>
  <w:style w:type="paragraph" w:customStyle="1" w:styleId="TabHead">
    <w:name w:val="TabHead"/>
    <w:pPr>
      <w:spacing w:before="20" w:after="20" w:line="252" w:lineRule="auto"/>
      <w:keepNext/>
      <w:keepLines/>
    </w:pPr>
    <w:rPr>
      <w:rFonts w:ascii="Calibri" w:hAnsi="Calibri" w:cs="Calibri" w:eastAsia="Calibri"/>
      <w:b/>
      <w:i w:val="0"/>
      <w:color w:val="000000"/>
      <w:sz w:val="18"/>
    </w:rPr>
  </w:style>
  <w:style w:type="paragraph" w:customStyle="1" w:styleId="TabCell">
    <w:name w:val="TabCell"/>
    <w:pPr>
      <w:spacing w:before="20" w:after="20" w:line="254" w:lineRule="auto"/>
    </w:pPr>
    <w:rPr>
      <w:rFonts w:ascii="Georgia" w:hAnsi="Georgia" w:cs="Georgia" w:eastAsia="Georgia"/>
      <w:b w:val="0"/>
      <w:i w:val="0"/>
      <w:color w:val="000000"/>
      <w:sz w:val="18"/>
    </w:rPr>
  </w:style>
  <w:style w:type="paragraph" w:customStyle="1" w:styleId="TabCellSm">
    <w:name w:val="TabCellSm"/>
    <w:pPr>
      <w:spacing w:before="20" w:after="20" w:line="252" w:lineRule="auto"/>
    </w:pPr>
    <w:rPr>
      <w:rFonts w:ascii="Georgia" w:hAnsi="Georgia" w:cs="Georgia" w:eastAsia="Georgia"/>
      <w:b w:val="0"/>
      <w:i w:val="0"/>
      <w:color w:val="000000"/>
      <w:sz w:val="17"/>
    </w:rPr>
  </w:style>
  <w:style w:type="paragraph" w:customStyle="1" w:styleId="FigCaption">
    <w:name w:val="FigCaption"/>
    <w:pPr>
      <w:spacing w:before="40" w:after="120" w:line="252" w:lineRule="auto"/>
      <w:jc w:val="center"/>
    </w:pPr>
    <w:rPr>
      <w:rFonts w:ascii="Calibri" w:hAnsi="Calibri" w:cs="Calibri" w:eastAsia="Calibri"/>
      <w:b w:val="0"/>
      <w:i/>
      <w:color w:val="333333"/>
      <w:sz w:val="16"/>
    </w:rPr>
  </w:style>
  <w:style w:type="paragraph" w:customStyle="1" w:styleId="TOCHead">
    <w:name w:val="TOCHead"/>
    <w:pPr>
      <w:spacing w:before="0" w:after="80" w:line="269" w:lineRule="auto"/>
      <w:jc w:val="center"/>
    </w:pPr>
    <w:rPr>
      <w:rFonts w:ascii="Calibri" w:hAnsi="Calibri" w:cs="Calibri" w:eastAsia="Calibri"/>
      <w:b/>
      <w:i w:val="0"/>
      <w:caps/>
      <w:color w:val="000000"/>
      <w:sz w:val="40"/>
      <w:spacing w:val="24"/>
    </w:rPr>
  </w:style>
  <w:style w:type="paragraph" w:customStyle="1" w:styleId="CoverTitle">
    <w:name w:val="CoverTitle"/>
    <w:pPr>
      <w:spacing w:before="0" w:after="0" w:line="240" w:lineRule="auto"/>
      <w:jc w:val="center"/>
    </w:pPr>
    <w:rPr>
      <w:rFonts w:ascii="Calibri" w:hAnsi="Calibri" w:cs="Calibri" w:eastAsia="Calibri"/>
      <w:b/>
      <w:i w:val="0"/>
      <w:color w:val="000000"/>
      <w:sz w:val="68"/>
    </w:rPr>
  </w:style>
  <w:style w:type="paragraph" w:customStyle="1" w:styleId="CoverSub">
    <w:name w:val="CoverSub"/>
    <w:pPr>
      <w:spacing w:before="0" w:after="0" w:line="269" w:lineRule="auto"/>
      <w:jc w:val="center"/>
    </w:pPr>
    <w:rPr>
      <w:rFonts w:ascii="Calibri" w:hAnsi="Calibri" w:cs="Calibri" w:eastAsia="Calibri"/>
      <w:b w:val="0"/>
      <w:i w:val="0"/>
      <w:color w:val="333333"/>
      <w:sz w:val="26"/>
    </w:rPr>
  </w:style>
  <w:style w:type="paragraph" w:customStyle="1" w:styleId="Mnemonic">
    <w:name w:val="Mnemonic"/>
    <w:pPr>
      <w:spacing w:before="0" w:after="40" w:line="264" w:lineRule="auto"/>
    </w:pPr>
    <w:rPr>
      <w:rFonts w:ascii="Consolas" w:hAnsi="Consolas" w:cs="Consolas" w:eastAsia="Consolas"/>
      <w:b/>
      <w:i w:val="0"/>
      <w:color w:val="000000"/>
      <w:sz w:val="19"/>
    </w:rPr>
  </w:style>
  <w:style w:type="paragraph" w:customStyle="1" w:styleId="QBank">
    <w:name w:val="QBank"/>
    <w:pPr>
      <w:spacing w:before="0" w:after="60" w:line="264" w:lineRule="auto"/>
    </w:pPr>
    <w:rPr>
      <w:rFonts w:ascii="Georgia" w:hAnsi="Georgia" w:cs="Georgia" w:eastAsia="Georgia"/>
      <w:b w:val="0"/>
      <w:i w:val="0"/>
      <w:color w:val="00000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