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0 — INSTRUMENT TRAYS</w:t>
            </w:r>
          </w:p>
          <w:p>
            <w:pPr>
              <w:pStyle w:val="CoverTitle"/>
              <w:spacing w:before="40" w:after="160"/>
            </w:pPr>
            <w:r>
              <w:t>FOUNDATIONS OF INSTRUMENT TRAY PREPARATION</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pPr>
        <w:pStyle w:val="TOCHead"/>
        <w:spacing w:before="80" w:after="40"/>
      </w:pPr>
      <w:bookmarkStart w:id="1001" w:name="toc"/>
      <w:r>
        <w:t>Table of Contents</w:t>
      </w:r>
      <w:bookmarkEnd w:id="1001"/>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The page numbers are live fields, shown as “—” until they are filled in.  **To update them: press Ctrl+A then F9** (on a Mac, Cmd+A then Fn+F9) — or right-click any number and choose “Update Field”. Word normally offers to do this when the file opens. Once updated, each number is also a link: Ctrl+click it to jump to that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FOUNDATIONS OF INSTRUMENT TRAY PREPARATION</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part_0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0.1   Introduction, Definitions and Terminology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0.2   Classification of Surgical Instruments</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0.3   Parts of an Instrument and How It Is Handled</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0.4   Principles of Tray Preparation</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0.5   Decontamination, Packing and Sterilisation</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0.6   Setting the Back Table and Mayo Stand</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0.7   The Surgical Count</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0.8   Care, Handling and Maintenance of Instruments</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0.9   How the Trays Relate to One Another</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tray_0_9 \h </w:instrText>
            </w:r>
            <w:r>
              <w:fldChar w:fldCharType="separate"/>
            </w:r>
            <w:r>
              <w:rPr>
                <w:rFonts w:ascii="Calibri" w:hAnsi="Calibri"/>
                <w:sz w:val="19"/>
              </w:rPr>
              <w:t>—</w:t>
            </w:r>
            <w:r>
              <w:fldChar w:fldCharType="end"/>
            </w:r>
          </w:p>
        </w:tc>
      </w:tr>
    </w:tbl>
    <w:p>
      <w:pPr>
        <w:spacing w:before="0" w:after="120" w:line="240" w:lineRule="auto"/>
      </w:pPr>
    </w:p>
    <w:p>
      <w:r>
        <w:br w:type="page"/>
      </w:r>
    </w:p>
    <w:p>
      <w:pPr>
        <w:pStyle w:val="TOCHead"/>
        <w:spacing w:before="80" w:after="40"/>
      </w:pPr>
      <w:bookmarkStart w:id="1002" w:name="how_to_read"/>
      <w:r>
        <w:t>How to Read These Notes</w:t>
      </w:r>
      <w:bookmarkEnd w:id="1002"/>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0</w:t>
            </w:r>
          </w:p>
          <w:p>
            <w:pPr>
              <w:pStyle w:val="Heading1"/>
              <w:jc w:val="left"/>
              <w:spacing w:before="0" w:after="0"/>
            </w:pPr>
            <w:bookmarkStart w:id="1003" w:name="part_0"/>
            <w:r>
              <w:rPr>
                <w:rFonts w:ascii="Calibri" w:hAnsi="Calibri"/>
                <w:b/>
                <w:color w:val="FFFFFF"/>
                <w:sz w:val="38"/>
              </w:rPr>
              <w:t>Foundations of Instrument Tray Preparation</w:t>
            </w:r>
            <w:bookmarkEnd w:id="1003"/>
          </w:p>
          <w:p>
            <w:pPr>
              <w:spacing w:before="80" w:after="0"/>
            </w:pPr>
            <w:r>
              <w:rPr>
                <w:rFonts w:ascii="Calibri" w:hAnsi="Calibri"/>
                <w:i/>
                <w:color w:val="D6D6D6"/>
                <w:sz w:val="19"/>
              </w:rPr>
              <w:t>Terminology · classification · reprocessing · set-up · counting · care</w:t>
            </w:r>
          </w:p>
        </w:tc>
      </w:tr>
    </w:tbl>
    <w:p>
      <w:pPr>
        <w:spacing w:before="0" w:after="160" w:line="240" w:lineRule="auto"/>
      </w:pPr>
    </w:p>
    <w:p>
      <w:pPr>
        <w:pStyle w:val="TrayLead"/>
        <w:spacing w:before="40" w:after="160"/>
      </w:pPr>
      <w:r>
        <w:t xml:space="preserve">Before any individual tray can be memorised, the </w:t>
      </w:r>
      <w:r>
        <w:rPr>
          <w:i/>
        </w:rPr>
        <w:t>logic</w:t>
      </w:r>
      <w:r>
        <w:t xml:space="preserve"> behind every tray must be clear. A tray is never a random collection of steel: it is a </w:t>
      </w:r>
      <w:r>
        <w:rPr>
          <w:b/>
        </w:rPr>
        <w:t>planned, reproducible set</w:t>
      </w:r>
      <w:r>
        <w:t xml:space="preserve"> that guarantees the surgeon an instrument for every action the operation may demand, in a state that is sterile, functional and accounted for. Part 0 establishes that logic; Parts I–X then apply it speciality by speciality.</w:t>
      </w:r>
    </w:p>
    <w:p>
      <w:pPr>
        <w:pStyle w:val="Heading2"/>
        <w:spacing w:before="320" w:after="40"/>
        <w:keepLines/>
        <w:keepNext/>
        <w:pBdr>
          <w:bottom w:val="single" w:sz="12" w:space="3" w:color="000000"/>
        </w:pBdr>
      </w:pPr>
      <w:bookmarkStart w:id="1004" w:name="tray_0_1"/>
      <w:r>
        <w:rPr>
          <w:rFonts w:ascii="Calibri" w:hAnsi="Calibri"/>
          <w:b/>
          <w:color w:val="666666"/>
          <w:sz w:val="29"/>
        </w:rPr>
        <w:t xml:space="preserve">0.1   </w:t>
      </w:r>
      <w:r>
        <w:rPr>
          <w:rFonts w:ascii="Calibri" w:hAnsi="Calibri"/>
          <w:b/>
          <w:sz w:val="29"/>
        </w:rPr>
        <w:t>Introduction, Definitions and Terminology</w:t>
      </w:r>
      <w:bookmarkEnd w:id="1004"/>
    </w:p>
    <w:p>
      <w:pPr>
        <w:spacing w:before="60" w:after="100"/>
      </w:pPr>
      <w:r>
        <w:rPr>
          <w:rFonts w:ascii="Calibri" w:hAnsi="Calibri"/>
          <w:b/>
          <w:caps/>
          <w:color w:val="555555"/>
          <w:sz w:val="17"/>
        </w:rPr>
        <w:t xml:space="preserve">Also called:  </w:t>
      </w:r>
      <w:r>
        <w:rPr>
          <w:i/>
          <w:color w:val="333333"/>
          <w:sz w:val="18"/>
        </w:rPr>
        <w:t>Basic vocabulary of instrumentation</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An </w:t>
            </w:r>
            <w:r>
              <w:rPr>
                <w:b/>
              </w:rPr>
              <w:t>instrument tray</w:t>
            </w:r>
            <w:r>
              <w:t xml:space="preserve"> (also </w:t>
            </w:r>
            <w:r>
              <w:rPr>
                <w:i/>
              </w:rPr>
              <w:t>set</w:t>
            </w:r>
            <w:r>
              <w:t xml:space="preserve">, </w:t>
            </w:r>
            <w:r>
              <w:rPr>
                <w:i/>
              </w:rPr>
              <w:t>pack</w:t>
            </w:r>
            <w:r>
              <w:t xml:space="preserve"> or </w:t>
            </w:r>
            <w:r>
              <w:rPr>
                <w:i/>
              </w:rPr>
              <w:t>setup</w:t>
            </w:r>
            <w:r>
              <w:t xml:space="preserve">) is a standardised, pre-assembled and sterilised collection of surgical instruments and accessories, listed on a </w:t>
            </w:r>
            <w:r>
              <w:rPr>
                <w:b/>
              </w:rPr>
              <w:t>count sheet</w:t>
            </w:r>
            <w:r>
              <w:t>, that provides everything routinely required for a defined operation or class of operations. Standardisation is what makes the theatre safe and fast: the scrub person knows exactly what is present, the sterile services department knows exactly what to reassemble, and any missing item is immediately obvious.</w:t>
            </w:r>
          </w:p>
          <w:p>
            <w:pPr>
              <w:pStyle w:val="TinyLabel"/>
            </w:pPr>
            <w:r>
              <w:t>Used for / includes</w:t>
            </w:r>
          </w:p>
          <w:p>
            <w:pPr>
              <w:pStyle w:val="Bullet"/>
              <w:ind w:start="238" w:hanging="238"/>
            </w:pPr>
            <w:r>
              <w:rPr>
                <w:rFonts w:ascii="Calibri" w:hAnsi="Calibri"/>
                <w:b/>
              </w:rPr>
              <w:t xml:space="preserve">▪  </w:t>
            </w:r>
            <w:r>
              <w:t xml:space="preserve">Guarantees </w:t>
            </w:r>
            <w:r>
              <w:rPr>
                <w:b/>
              </w:rPr>
              <w:t>availability</w:t>
            </w:r>
            <w:r>
              <w:t xml:space="preserve"> — no instrument hunting mid-case</w:t>
            </w:r>
          </w:p>
          <w:p>
            <w:pPr>
              <w:pStyle w:val="Bullet"/>
              <w:ind w:start="238" w:hanging="238"/>
            </w:pPr>
            <w:r>
              <w:rPr>
                <w:rFonts w:ascii="Calibri" w:hAnsi="Calibri"/>
                <w:b/>
              </w:rPr>
              <w:t xml:space="preserve">▪  </w:t>
            </w:r>
            <w:r>
              <w:t xml:space="preserve">Guarantees </w:t>
            </w:r>
            <w:r>
              <w:rPr>
                <w:b/>
              </w:rPr>
              <w:t>sterility</w:t>
            </w:r>
            <w:r>
              <w:t xml:space="preserve"> — one validated cycle for the whole set</w:t>
            </w:r>
          </w:p>
          <w:p>
            <w:pPr>
              <w:pStyle w:val="Bullet"/>
              <w:ind w:start="238" w:hanging="238"/>
            </w:pPr>
            <w:r>
              <w:rPr>
                <w:rFonts w:ascii="Calibri" w:hAnsi="Calibri"/>
                <w:b/>
              </w:rPr>
              <w:t xml:space="preserve">▪  </w:t>
            </w:r>
            <w:r>
              <w:t xml:space="preserve">Guarantees </w:t>
            </w:r>
            <w:r>
              <w:rPr>
                <w:b/>
              </w:rPr>
              <w:t>accountability</w:t>
            </w:r>
            <w:r>
              <w:t xml:space="preserve"> — a fixed count sheet makes retained items detectable</w:t>
            </w:r>
          </w:p>
          <w:p>
            <w:pPr>
              <w:pStyle w:val="Bullet"/>
              <w:ind w:start="238" w:hanging="238"/>
            </w:pPr>
            <w:r>
              <w:rPr>
                <w:rFonts w:ascii="Calibri" w:hAnsi="Calibri"/>
                <w:b/>
              </w:rPr>
              <w:t xml:space="preserve">▪  </w:t>
            </w:r>
            <w:r>
              <w:t xml:space="preserve">Guarantees </w:t>
            </w:r>
            <w:r>
              <w:rPr>
                <w:b/>
              </w:rPr>
              <w:t>economy</w:t>
            </w:r>
            <w:r>
              <w:t xml:space="preserve"> — only instruments actually needed are processed</w:t>
            </w:r>
          </w:p>
          <w:p>
            <w:pPr>
              <w:pStyle w:val="Bullet"/>
              <w:ind w:start="238" w:hanging="238"/>
            </w:pPr>
            <w:r>
              <w:rPr>
                <w:rFonts w:ascii="Calibri" w:hAnsi="Calibri"/>
                <w:b/>
              </w:rPr>
              <w:t xml:space="preserve">▪  </w:t>
            </w:r>
            <w:r>
              <w:t xml:space="preserve">Guarantees </w:t>
            </w:r>
            <w:r>
              <w:rPr>
                <w:b/>
              </w:rPr>
              <w:t>speed</w:t>
            </w:r>
            <w:r>
              <w:t xml:space="preserve"> — a predictable layout allows instruments to be passed without looking</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15568"/>
                  <wp:docPr id="1" name="Picture 1"/>
                  <wp:cNvGraphicFramePr>
                    <a:graphicFrameLocks noChangeAspect="1"/>
                  </wp:cNvGraphicFramePr>
                  <a:graphic>
                    <a:graphicData uri="http://schemas.openxmlformats.org/drawingml/2006/picture">
                      <pic:pic>
                        <pic:nvPicPr>
                          <pic:cNvPr id="0" name="plate_0_1.png"/>
                          <pic:cNvPicPr/>
                        </pic:nvPicPr>
                        <pic:blipFill>
                          <a:blip r:embed="rId11"/>
                          <a:stretch>
                            <a:fillRect/>
                          </a:stretch>
                        </pic:blipFill>
                        <pic:spPr>
                          <a:xfrm>
                            <a:off x="0" y="0"/>
                            <a:ext cx="2286000" cy="1115568"/>
                          </a:xfrm>
                          <a:prstGeom prst="rect"/>
                        </pic:spPr>
                      </pic:pic>
                    </a:graphicData>
                  </a:graphic>
                </wp:inline>
              </w:drawing>
            </w:r>
          </w:p>
          <w:p>
            <w:pPr>
              <w:pStyle w:val="FigCaption"/>
              <w:jc w:val="center"/>
              <w:spacing w:before="40" w:after="120"/>
            </w:pPr>
            <w:r>
              <w:t>Fig 0.1 — From single instrument to complete set</w:t>
            </w:r>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CORE VOCABULARY YOU MUST BE ABLE TO DEFINE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Instrument set / tray</w:t>
            </w:r>
          </w:p>
        </w:tc>
        <w:tc>
          <w:tcPr>
            <w:tcW w:type="dxa" w:w="5754"/>
            <w:vAlign w:val="top"/>
            <w:tcMar>
              <w:top w:w="36" w:type="dxa"/>
              <w:start w:w="80" w:type="dxa"/>
              <w:bottom w:w="36" w:type="dxa"/>
              <w:end w:w="80" w:type="dxa"/>
            </w:tcMar>
          </w:tcPr>
          <w:p>
            <w:pPr>
              <w:pStyle w:val="TabCellSm"/>
              <w:jc w:val="left"/>
            </w:pPr>
            <w:r>
              <w:t>The complete, counted, sterilised collection for a defined procedure.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Count sheet (tray list)</w:t>
            </w:r>
          </w:p>
        </w:tc>
        <w:tc>
          <w:tcPr>
            <w:tcW w:type="dxa" w:w="5754"/>
            <w:shd w:val="clear" w:color="auto" w:fill="F6F6F6"/>
            <w:vAlign w:val="top"/>
            <w:tcMar>
              <w:top w:w="36" w:type="dxa"/>
              <w:start w:w="80" w:type="dxa"/>
              <w:bottom w:w="36" w:type="dxa"/>
              <w:end w:w="80" w:type="dxa"/>
            </w:tcMar>
          </w:tcPr>
          <w:p>
            <w:pPr>
              <w:pStyle w:val="TabCellSm"/>
              <w:jc w:val="left"/>
            </w:pPr>
            <w:r>
              <w:t>The master inventory document packed with the set; the legal record of contents.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standard set</w:t>
            </w:r>
          </w:p>
        </w:tc>
        <w:tc>
          <w:tcPr>
            <w:tcW w:type="dxa" w:w="5754"/>
            <w:vAlign w:val="top"/>
            <w:tcMar>
              <w:top w:w="36" w:type="dxa"/>
              <w:start w:w="80" w:type="dxa"/>
              <w:bottom w:w="36" w:type="dxa"/>
              <w:end w:w="80" w:type="dxa"/>
            </w:tcMar>
          </w:tcPr>
          <w:p>
            <w:pPr>
              <w:pStyle w:val="TabCellSm"/>
              <w:jc w:val="left"/>
            </w:pPr>
            <w:r>
              <w:t>The core group of instruments common to most operations of a speciality.</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Add-on / speciality items</w:t>
            </w:r>
          </w:p>
        </w:tc>
        <w:tc>
          <w:tcPr>
            <w:tcW w:type="dxa" w:w="5754"/>
            <w:shd w:val="clear" w:color="auto" w:fill="F6F6F6"/>
            <w:vAlign w:val="top"/>
            <w:tcMar>
              <w:top w:w="36" w:type="dxa"/>
              <w:start w:w="80" w:type="dxa"/>
              <w:bottom w:w="36" w:type="dxa"/>
              <w:end w:w="80" w:type="dxa"/>
            </w:tcMar>
          </w:tcPr>
          <w:p>
            <w:pPr>
              <w:pStyle w:val="TabCellSm"/>
              <w:jc w:val="left"/>
            </w:pPr>
            <w:r>
              <w:t>Instruments opened separately and added to a basic set for a particular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Back table</w:t>
            </w:r>
          </w:p>
        </w:tc>
        <w:tc>
          <w:tcPr>
            <w:tcW w:type="dxa" w:w="5754"/>
            <w:vAlign w:val="top"/>
            <w:tcMar>
              <w:top w:w="36" w:type="dxa"/>
              <w:start w:w="80" w:type="dxa"/>
              <w:bottom w:w="36" w:type="dxa"/>
              <w:end w:w="80" w:type="dxa"/>
            </w:tcMar>
          </w:tcPr>
          <w:p>
            <w:pPr>
              <w:pStyle w:val="TabCellSm"/>
              <w:jc w:val="left"/>
            </w:pPr>
            <w:r>
              <w:t>The large sterile table holding the bulk of the set, supplies and drapes.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Mayo stand</w:t>
            </w:r>
          </w:p>
        </w:tc>
        <w:tc>
          <w:tcPr>
            <w:tcW w:type="dxa" w:w="5754"/>
            <w:shd w:val="clear" w:color="auto" w:fill="F6F6F6"/>
            <w:vAlign w:val="top"/>
            <w:tcMar>
              <w:top w:w="36" w:type="dxa"/>
              <w:start w:w="80" w:type="dxa"/>
              <w:bottom w:w="36" w:type="dxa"/>
              <w:end w:w="80" w:type="dxa"/>
            </w:tcMar>
          </w:tcPr>
          <w:p>
            <w:pPr>
              <w:pStyle w:val="TabCellSm"/>
              <w:jc w:val="left"/>
            </w:pPr>
            <w:r>
              <w:t>The small movable stand carrying only the instruments needed for the current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Sterile field</w:t>
            </w:r>
          </w:p>
        </w:tc>
        <w:tc>
          <w:tcPr>
            <w:tcW w:type="dxa" w:w="5754"/>
            <w:vAlign w:val="top"/>
            <w:tcMar>
              <w:top w:w="36" w:type="dxa"/>
              <w:start w:w="80" w:type="dxa"/>
              <w:bottom w:w="36" w:type="dxa"/>
              <w:end w:w="80" w:type="dxa"/>
            </w:tcMar>
          </w:tcPr>
          <w:p>
            <w:pPr>
              <w:pStyle w:val="TabCellSm"/>
              <w:jc w:val="left"/>
            </w:pPr>
            <w:r>
              <w:t>The area around the incision kept free of micro-organisms; includes draped tables and gowned personnel.</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Stringer / rack</w:t>
            </w:r>
          </w:p>
        </w:tc>
        <w:tc>
          <w:tcPr>
            <w:tcW w:type="dxa" w:w="5754"/>
            <w:shd w:val="clear" w:color="auto" w:fill="F6F6F6"/>
            <w:vAlign w:val="top"/>
            <w:tcMar>
              <w:top w:w="36" w:type="dxa"/>
              <w:start w:w="80" w:type="dxa"/>
              <w:bottom w:w="36" w:type="dxa"/>
              <w:end w:w="80" w:type="dxa"/>
            </w:tcMar>
          </w:tcPr>
          <w:p>
            <w:pPr>
              <w:pStyle w:val="TabCellSm"/>
              <w:jc w:val="left"/>
            </w:pPr>
            <w:r>
              <w:t>A pin or rack threading ring-handled instruments so they stay open and ordered.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Tip guard / protector</w:t>
            </w:r>
          </w:p>
        </w:tc>
        <w:tc>
          <w:tcPr>
            <w:tcW w:type="dxa" w:w="5754"/>
            <w:vAlign w:val="top"/>
            <w:tcMar>
              <w:top w:w="36" w:type="dxa"/>
              <w:start w:w="80" w:type="dxa"/>
              <w:bottom w:w="36" w:type="dxa"/>
              <w:end w:w="80" w:type="dxa"/>
            </w:tcMar>
          </w:tcPr>
          <w:p>
            <w:pPr>
              <w:pStyle w:val="TabCellSm"/>
              <w:jc w:val="left"/>
            </w:pPr>
            <w:r>
              <w:t>A latex or silicone sleeve shielding delicate or sharp tips during processing.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Peel pouch</w:t>
            </w:r>
          </w:p>
        </w:tc>
        <w:tc>
          <w:tcPr>
            <w:tcW w:type="dxa" w:w="5754"/>
            <w:shd w:val="clear" w:color="auto" w:fill="F6F6F6"/>
            <w:vAlign w:val="top"/>
            <w:tcMar>
              <w:top w:w="36" w:type="dxa"/>
              <w:start w:w="80" w:type="dxa"/>
              <w:bottom w:w="36" w:type="dxa"/>
              <w:end w:w="80" w:type="dxa"/>
            </w:tcMar>
          </w:tcPr>
          <w:p>
            <w:pPr>
              <w:pStyle w:val="TabCellSm"/>
              <w:jc w:val="left"/>
            </w:pPr>
            <w:r>
              <w:t>A paper–plastic sealed package used for single or few small items.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Rigid container</w:t>
            </w:r>
          </w:p>
        </w:tc>
        <w:tc>
          <w:tcPr>
            <w:tcW w:type="dxa" w:w="5754"/>
            <w:vAlign w:val="top"/>
            <w:tcMar>
              <w:top w:w="36" w:type="dxa"/>
              <w:start w:w="80" w:type="dxa"/>
              <w:bottom w:w="36" w:type="dxa"/>
              <w:end w:w="80" w:type="dxa"/>
            </w:tcMar>
          </w:tcPr>
          <w:p>
            <w:pPr>
              <w:pStyle w:val="TabCellSm"/>
              <w:jc w:val="left"/>
            </w:pPr>
            <w:r>
              <w:t>A reusable perforated metal box with filters, replacing textile wrapping.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Event-related sterility</w:t>
            </w:r>
          </w:p>
        </w:tc>
        <w:tc>
          <w:tcPr>
            <w:tcW w:type="dxa" w:w="5754"/>
            <w:shd w:val="clear" w:color="auto" w:fill="F6F6F6"/>
            <w:vAlign w:val="top"/>
            <w:tcMar>
              <w:top w:w="36" w:type="dxa"/>
              <w:start w:w="80" w:type="dxa"/>
              <w:bottom w:w="36" w:type="dxa"/>
              <w:end w:w="80" w:type="dxa"/>
            </w:tcMar>
          </w:tcPr>
          <w:p>
            <w:pPr>
              <w:pStyle w:val="TabCellSm"/>
              <w:jc w:val="left"/>
            </w:pPr>
            <w:r>
              <w:t xml:space="preserve">The modern concept that a pack stays sterile until an </w:t>
            </w:r>
            <w:r>
              <w:rPr>
                <w:i/>
              </w:rPr>
              <w:t>event</w:t>
            </w:r>
            <w:r>
              <w:t xml:space="preserve"> (wet, torn, dropped) compromises it — not until a fixed date.</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A tray is defined by </w:t>
            </w:r>
            <w:r>
              <w:rPr>
                <w:b/>
              </w:rPr>
              <w:t>function, not by number of pieces</w:t>
            </w:r>
            <w:r>
              <w:t xml:space="preserve"> — the same operation may be covered by a 40-piece or a 90-piece set depending on the hospital's standardisation.</w:t>
            </w:r>
          </w:p>
          <w:p>
            <w:pPr>
              <w:pStyle w:val="BoxBody"/>
              <w:spacing w:before="20" w:after="40"/>
              <w:ind w:start="204" w:hanging="204"/>
            </w:pPr>
            <w:r>
              <w:rPr>
                <w:rFonts w:ascii="Calibri" w:hAnsi="Calibri"/>
                <w:b/>
              </w:rPr>
              <w:t xml:space="preserve">▪  </w:t>
            </w:r>
            <w:r>
              <w:t xml:space="preserve">The count sheet is a </w:t>
            </w:r>
            <w:r>
              <w:rPr>
                <w:b/>
              </w:rPr>
              <w:t>legal document</w:t>
            </w:r>
            <w:r>
              <w:t>. It travels with the set and is signed.</w:t>
            </w:r>
          </w:p>
          <w:p>
            <w:pPr>
              <w:pStyle w:val="BoxBody"/>
              <w:spacing w:before="20" w:after="40"/>
              <w:ind w:start="204" w:hanging="204"/>
            </w:pPr>
            <w:r>
              <w:rPr>
                <w:rFonts w:ascii="Calibri" w:hAnsi="Calibri"/>
                <w:b/>
              </w:rPr>
              <w:t xml:space="preserve">▪  </w:t>
            </w:r>
            <w:r>
              <w:t xml:space="preserve">Names are often </w:t>
            </w:r>
            <w:r>
              <w:rPr>
                <w:b/>
              </w:rPr>
              <w:t>eponymous</w:t>
            </w:r>
            <w:r>
              <w:t xml:space="preserve"> (Kelly, Kocher, Allis) and vary regionally; always learn the </w:t>
            </w:r>
            <w:r>
              <w:rPr>
                <w:b/>
              </w:rPr>
              <w:t>descriptive</w:t>
            </w:r>
            <w:r>
              <w:t xml:space="preserve"> name too (e.g. Kocher = </w:t>
            </w:r>
            <w:r>
              <w:rPr>
                <w:i/>
              </w:rPr>
              <w:t>toothed artery forceps</w:t>
            </w:r>
            <w:r>
              <w:t>).</w:t>
            </w:r>
          </w:p>
          <w:p>
            <w:pPr>
              <w:pStyle w:val="BoxBody"/>
              <w:spacing w:before="20" w:after="40"/>
              <w:ind w:start="204" w:hanging="204"/>
            </w:pPr>
            <w:r>
              <w:rPr>
                <w:rFonts w:ascii="Calibri" w:hAnsi="Calibri"/>
                <w:b/>
              </w:rPr>
              <w:t xml:space="preserve">▪  </w:t>
            </w:r>
            <w:r>
              <w:rPr>
                <w:i/>
              </w:rPr>
              <w:t>Sterile</w:t>
            </w:r>
            <w:r>
              <w:t xml:space="preserve"> (free of all microbial life) is not the same as </w:t>
            </w:r>
            <w:r>
              <w:rPr>
                <w:i/>
              </w:rPr>
              <w:t>disinfected</w:t>
            </w:r>
            <w:r>
              <w:t xml:space="preserve"> (free of most pathogens) or </w:t>
            </w:r>
            <w:r>
              <w:rPr>
                <w:i/>
              </w:rPr>
              <w:t>clean</w:t>
            </w:r>
            <w:r>
              <w:t xml:space="preserve"> (free of visible soil).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Define an instrument tray.</w:t>
      </w:r>
    </w:p>
    <w:p>
      <w:pPr>
        <w:pStyle w:val="QBank"/>
        <w:spacing w:before="0" w:after="100"/>
        <w:ind w:start="595" w:hanging="283"/>
      </w:pPr>
      <w:r>
        <w:rPr>
          <w:rFonts w:ascii="Calibri" w:hAnsi="Calibri"/>
          <w:b/>
        </w:rPr>
        <w:t xml:space="preserve">A.  </w:t>
      </w:r>
      <w:r>
        <w:t>A standardised, pre-assembled, sterilised and counted collection of instruments and accessories, documented on a count sheet, sufficient for a defined operation.</w:t>
      </w:r>
    </w:p>
    <w:p>
      <w:pPr>
        <w:spacing w:before="80" w:after="20"/>
        <w:ind w:start="311" w:hanging="311"/>
        <w:keepLines/>
        <w:keepNext/>
      </w:pPr>
      <w:r>
        <w:rPr>
          <w:rFonts w:ascii="Calibri" w:hAnsi="Calibri"/>
          <w:b/>
          <w:sz w:val="19"/>
        </w:rPr>
        <w:t xml:space="preserve">Q2.  </w:t>
      </w:r>
      <w:r>
        <w:rPr>
          <w:b/>
          <w:sz w:val="19"/>
        </w:rPr>
        <w:t>Why is standardisation of trays essential?</w:t>
      </w:r>
    </w:p>
    <w:p>
      <w:pPr>
        <w:pStyle w:val="QBank"/>
        <w:spacing w:before="0" w:after="100"/>
        <w:ind w:start="595" w:hanging="283"/>
      </w:pPr>
      <w:r>
        <w:rPr>
          <w:rFonts w:ascii="Calibri" w:hAnsi="Calibri"/>
          <w:b/>
        </w:rPr>
        <w:t xml:space="preserve">A.  </w:t>
      </w:r>
      <w:r>
        <w:t>It ensures availability, sterility, accountability, economy and speed, and it makes any missing or retained item immediately detectable.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5" w:name="tray_0_2"/>
      <w:r>
        <w:rPr>
          <w:rFonts w:ascii="Calibri" w:hAnsi="Calibri"/>
          <w:b/>
          <w:color w:val="666666"/>
          <w:sz w:val="29"/>
        </w:rPr>
        <w:t xml:space="preserve">0.2   </w:t>
      </w:r>
      <w:r>
        <w:rPr>
          <w:rFonts w:ascii="Calibri" w:hAnsi="Calibri"/>
          <w:b/>
          <w:sz w:val="29"/>
        </w:rPr>
        <w:t>Classification of Surgical Instruments</w:t>
      </w:r>
      <w:bookmarkEnd w:id="1005"/>
    </w:p>
    <w:p>
      <w:pPr>
        <w:spacing w:before="60" w:after="100"/>
      </w:pPr>
      <w:r>
        <w:rPr>
          <w:rFonts w:ascii="Calibri" w:hAnsi="Calibri"/>
          <w:b/>
          <w:caps/>
          <w:color w:val="555555"/>
          <w:sz w:val="17"/>
        </w:rPr>
        <w:t xml:space="preserve">Also called:  </w:t>
      </w:r>
      <w:r>
        <w:rPr>
          <w:i/>
          <w:color w:val="333333"/>
          <w:sz w:val="18"/>
        </w:rPr>
        <w:t>The six functional groups</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Every instrument in every tray in this syllabus belongs to one of </w:t>
            </w:r>
            <w:r>
              <w:rPr>
                <w:b/>
              </w:rPr>
              <w:t>six functional groups</w:t>
            </w:r>
            <w:r>
              <w:t xml:space="preserve">. This single framework is the most valuable thing in the whole topic: if you can place an unfamiliar instrument into its group, you can deduce its purpose, how it is passed, how it is cleaned, and why it is in that particular tray. Examiners frequently ask you to </w:t>
            </w:r>
            <w:r>
              <w:rPr>
                <w:i/>
              </w:rPr>
              <w:t>classify</w:t>
            </w:r>
            <w:r>
              <w:t xml:space="preserve"> rather than merely list.</w:t>
            </w:r>
          </w:p>
          <w:p>
            <w:pPr>
              <w:pStyle w:val="TinyLabel"/>
            </w:pPr>
            <w:r>
              <w:t>Used for / includes</w:t>
            </w:r>
          </w:p>
          <w:p>
            <w:pPr>
              <w:pStyle w:val="Bullet"/>
              <w:ind w:start="238" w:hanging="238"/>
            </w:pPr>
            <w:r>
              <w:rPr>
                <w:rFonts w:ascii="Calibri" w:hAnsi="Calibri"/>
                <w:b/>
              </w:rPr>
              <w:t xml:space="preserve">▪  </w:t>
            </w:r>
            <w:r>
              <w:t xml:space="preserve">Group 1 — </w:t>
            </w:r>
            <w:r>
              <w:rPr>
                <w:b/>
              </w:rPr>
              <w:t>Cutting and dissecting</w:t>
            </w:r>
          </w:p>
          <w:p>
            <w:pPr>
              <w:pStyle w:val="Bullet"/>
              <w:ind w:start="238" w:hanging="238"/>
            </w:pPr>
            <w:r>
              <w:rPr>
                <w:rFonts w:ascii="Calibri" w:hAnsi="Calibri"/>
                <w:b/>
              </w:rPr>
              <w:t xml:space="preserve">▪  </w:t>
            </w:r>
            <w:r>
              <w:t xml:space="preserve">Group 2 — </w:t>
            </w:r>
            <w:r>
              <w:rPr>
                <w:b/>
              </w:rPr>
              <w:t>Grasping and holding</w:t>
            </w:r>
          </w:p>
          <w:p>
            <w:pPr>
              <w:pStyle w:val="Bullet"/>
              <w:ind w:start="238" w:hanging="238"/>
            </w:pPr>
            <w:r>
              <w:rPr>
                <w:rFonts w:ascii="Calibri" w:hAnsi="Calibri"/>
                <w:b/>
              </w:rPr>
              <w:t xml:space="preserve">▪  </w:t>
            </w:r>
            <w:r>
              <w:t xml:space="preserve">Group 3 — </w:t>
            </w:r>
            <w:r>
              <w:rPr>
                <w:b/>
              </w:rPr>
              <w:t>Clamping and occluding</w:t>
            </w:r>
          </w:p>
          <w:p>
            <w:pPr>
              <w:pStyle w:val="Bullet"/>
              <w:ind w:start="238" w:hanging="238"/>
            </w:pPr>
            <w:r>
              <w:rPr>
                <w:rFonts w:ascii="Calibri" w:hAnsi="Calibri"/>
                <w:b/>
              </w:rPr>
              <w:t xml:space="preserve">▪  </w:t>
            </w:r>
            <w:r>
              <w:t xml:space="preserve">Group 4 — </w:t>
            </w:r>
            <w:r>
              <w:rPr>
                <w:b/>
              </w:rPr>
              <w:t>Exposing and retracting</w:t>
            </w:r>
          </w:p>
          <w:p>
            <w:pPr>
              <w:pStyle w:val="Bullet"/>
              <w:ind w:start="238" w:hanging="238"/>
            </w:pPr>
            <w:r>
              <w:rPr>
                <w:rFonts w:ascii="Calibri" w:hAnsi="Calibri"/>
                <w:b/>
              </w:rPr>
              <w:t xml:space="preserve">▪  </w:t>
            </w:r>
            <w:r>
              <w:t xml:space="preserve">Group 5 — </w:t>
            </w:r>
            <w:r>
              <w:rPr>
                <w:b/>
              </w:rPr>
              <w:t>Suturing and stapling</w:t>
            </w:r>
          </w:p>
          <w:p>
            <w:pPr>
              <w:pStyle w:val="Bullet"/>
              <w:ind w:start="238" w:hanging="238"/>
            </w:pPr>
            <w:r>
              <w:rPr>
                <w:rFonts w:ascii="Calibri" w:hAnsi="Calibri"/>
                <w:b/>
              </w:rPr>
              <w:t xml:space="preserve">▪  </w:t>
            </w:r>
            <w:r>
              <w:t xml:space="preserve">Group 6 — </w:t>
            </w:r>
            <w:r>
              <w:rPr>
                <w:b/>
              </w:rPr>
              <w:t>Suctioning and accessory / viewing</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88820"/>
                  <wp:docPr id="2" name="Picture 2"/>
                  <wp:cNvGraphicFramePr>
                    <a:graphicFrameLocks noChangeAspect="1"/>
                  </wp:cNvGraphicFramePr>
                  <a:graphic>
                    <a:graphicData uri="http://schemas.openxmlformats.org/drawingml/2006/picture">
                      <pic:pic>
                        <pic:nvPicPr>
                          <pic:cNvPr id="0" name="plate_0_2.png"/>
                          <pic:cNvPicPr/>
                        </pic:nvPicPr>
                        <pic:blipFill>
                          <a:blip r:embed="rId12"/>
                          <a:stretch>
                            <a:fillRect/>
                          </a:stretch>
                        </pic:blipFill>
                        <pic:spPr>
                          <a:xfrm>
                            <a:off x="0" y="0"/>
                            <a:ext cx="2286000" cy="1988820"/>
                          </a:xfrm>
                          <a:prstGeom prst="rect"/>
                        </pic:spPr>
                      </pic:pic>
                    </a:graphicData>
                  </a:graphic>
                </wp:inline>
              </w:drawing>
            </w:r>
          </w:p>
          <w:p>
            <w:pPr>
              <w:pStyle w:val="FigCaption"/>
              <w:jc w:val="center"/>
              <w:spacing w:before="40" w:after="120"/>
            </w:pPr>
            <w:r>
              <w:t>Fig 0.3 — A complete tray must satisfy all six groups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Memory hook</w:t>
            </w:r>
          </w:p>
          <w:p>
            <w:pPr>
              <w:pStyle w:val="BoxBody"/>
              <w:spacing w:before="20" w:after="40"/>
              <w:ind w:start="204" w:hanging="204"/>
            </w:pPr>
            <w:r>
              <w:rPr>
                <w:rFonts w:ascii="Calibri" w:hAnsi="Calibri"/>
                <w:b/>
              </w:rPr>
              <w:t xml:space="preserve">▪  </w:t>
            </w:r>
            <w:r>
              <w:rPr>
                <w:b/>
              </w:rPr>
              <w:t>C-G-C-E-S-S</w:t>
            </w:r>
            <w:r>
              <w:t xml:space="preserve"> — </w:t>
            </w:r>
            <w:r>
              <w:rPr>
                <w:i/>
              </w:rPr>
              <w:t>Cut, Grasp, Clamp, Expose, Stitch, Suck</w:t>
            </w:r>
            <w:r>
              <w:t>.</w:t>
            </w:r>
          </w:p>
          <w:p>
            <w:pPr>
              <w:pStyle w:val="BoxBody"/>
              <w:spacing w:before="20" w:after="40"/>
              <w:ind w:start="204" w:hanging="204"/>
            </w:pPr>
            <w:r>
              <w:rPr>
                <w:rFonts w:ascii="Calibri" w:hAnsi="Calibri"/>
                <w:b/>
              </w:rPr>
              <w:t xml:space="preserve">▪  </w:t>
            </w:r>
            <w:r>
              <w:t>Check any tray against these six letters; a gap means the tray is incomplete.</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1 — CUTTING AND DISSECTING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Scalpels (knife handle + blade)</w:t>
            </w:r>
          </w:p>
        </w:tc>
        <w:tc>
          <w:tcPr>
            <w:tcW w:type="dxa" w:w="5754"/>
            <w:vAlign w:val="top"/>
            <w:tcMar>
              <w:top w:w="36" w:type="dxa"/>
              <w:start w:w="80" w:type="dxa"/>
              <w:bottom w:w="36" w:type="dxa"/>
              <w:end w:w="80" w:type="dxa"/>
            </w:tcMar>
          </w:tcPr>
          <w:p>
            <w:pPr>
              <w:pStyle w:val="TabCellSm"/>
              <w:jc w:val="left"/>
            </w:pPr>
            <w:r>
              <w:t>No.3 handle takes blades 10, 11, 12, 15; No.4 handle takes 20–25; No.7 is the long fine handle.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Scissors</w:t>
            </w:r>
          </w:p>
        </w:tc>
        <w:tc>
          <w:tcPr>
            <w:tcW w:type="dxa" w:w="5754"/>
            <w:shd w:val="clear" w:color="auto" w:fill="F6F6F6"/>
            <w:vAlign w:val="top"/>
            <w:tcMar>
              <w:top w:w="36" w:type="dxa"/>
              <w:start w:w="80" w:type="dxa"/>
              <w:bottom w:w="36" w:type="dxa"/>
              <w:end w:w="80" w:type="dxa"/>
            </w:tcMar>
          </w:tcPr>
          <w:p>
            <w:pPr>
              <w:pStyle w:val="TabCellSm"/>
              <w:jc w:val="left"/>
            </w:pPr>
            <w:r>
              <w:t>Mayo (heavy tissue/suture), Metzenbaum (delicate dissection), iris/tenotomy (fine), Potts (vascular), wire and bandage scissors.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Bone cutters</w:t>
            </w:r>
          </w:p>
        </w:tc>
        <w:tc>
          <w:tcPr>
            <w:tcW w:type="dxa" w:w="5754"/>
            <w:vAlign w:val="top"/>
            <w:tcMar>
              <w:top w:w="36" w:type="dxa"/>
              <w:start w:w="80" w:type="dxa"/>
              <w:bottom w:w="36" w:type="dxa"/>
              <w:end w:w="80" w:type="dxa"/>
            </w:tcMar>
          </w:tcPr>
          <w:p>
            <w:pPr>
              <w:pStyle w:val="TabCellSm"/>
              <w:jc w:val="left"/>
            </w:pPr>
            <w:r>
              <w:t>Osteotome, chisel, gouge, rongeur, saw, rasp, curette.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Others</w:t>
            </w:r>
          </w:p>
        </w:tc>
        <w:tc>
          <w:tcPr>
            <w:tcW w:type="dxa" w:w="5754"/>
            <w:shd w:val="clear" w:color="auto" w:fill="F6F6F6"/>
            <w:vAlign w:val="top"/>
            <w:tcMar>
              <w:top w:w="36" w:type="dxa"/>
              <w:start w:w="80" w:type="dxa"/>
              <w:bottom w:w="36" w:type="dxa"/>
              <w:end w:w="80" w:type="dxa"/>
            </w:tcMar>
          </w:tcPr>
          <w:p>
            <w:pPr>
              <w:pStyle w:val="TabCellSm"/>
              <w:jc w:val="left"/>
            </w:pPr>
            <w:r>
              <w:t>Curettes, biopsy punches, dermatome, snares, electrosurgical pencil, laser and ultrasonic devices.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2 — GRASPING AND HOLDING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Thumb (spring) forceps</w:t>
            </w:r>
          </w:p>
        </w:tc>
        <w:tc>
          <w:tcPr>
            <w:tcW w:type="dxa" w:w="5754"/>
            <w:vAlign w:val="top"/>
            <w:tcMar>
              <w:top w:w="36" w:type="dxa"/>
              <w:start w:w="80" w:type="dxa"/>
              <w:bottom w:w="36" w:type="dxa"/>
              <w:end w:w="80" w:type="dxa"/>
            </w:tcMar>
          </w:tcPr>
          <w:p>
            <w:pPr>
              <w:pStyle w:val="TabCellSm"/>
              <w:jc w:val="left"/>
            </w:pPr>
            <w:r>
              <w:t>Toothed = grips tough tissue; smooth/serrated = delicate tissue; Adson for skin; DeBakey atraumatic for vessels and bowel.</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Ring-handled tissue clamps</w:t>
            </w:r>
          </w:p>
        </w:tc>
        <w:tc>
          <w:tcPr>
            <w:tcW w:type="dxa" w:w="5754"/>
            <w:shd w:val="clear" w:color="auto" w:fill="F6F6F6"/>
            <w:vAlign w:val="top"/>
            <w:tcMar>
              <w:top w:w="36" w:type="dxa"/>
              <w:start w:w="80" w:type="dxa"/>
              <w:bottom w:w="36" w:type="dxa"/>
              <w:end w:w="80" w:type="dxa"/>
            </w:tcMar>
          </w:tcPr>
          <w:p>
            <w:pPr>
              <w:pStyle w:val="TabCellSm"/>
              <w:jc w:val="left"/>
            </w:pPr>
            <w:r>
              <w:t>Allis (sharp interlocking teeth, tough tissue), Babcock (fenestrated atraumatic loop, bowel/tube), Kocher (1×2 teeth, fascia), tenaculum (single sharp hook).</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Bone and organ holders</w:t>
            </w:r>
          </w:p>
        </w:tc>
        <w:tc>
          <w:tcPr>
            <w:tcW w:type="dxa" w:w="5754"/>
            <w:vAlign w:val="top"/>
            <w:tcMar>
              <w:top w:w="36" w:type="dxa"/>
              <w:start w:w="80" w:type="dxa"/>
              <w:bottom w:w="36" w:type="dxa"/>
              <w:end w:w="80" w:type="dxa"/>
            </w:tcMar>
          </w:tcPr>
          <w:p>
            <w:pPr>
              <w:pStyle w:val="TabCellSm"/>
              <w:jc w:val="left"/>
            </w:pPr>
            <w:r>
              <w:t>Bone-holding forceps, Lahey (thyroid), stone forceps, lung/kidney clamps.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 holders</w:t>
            </w:r>
          </w:p>
        </w:tc>
        <w:tc>
          <w:tcPr>
            <w:tcW w:type="dxa" w:w="5754"/>
            <w:shd w:val="clear" w:color="auto" w:fill="F6F6F6"/>
            <w:vAlign w:val="top"/>
            <w:tcMar>
              <w:top w:w="36" w:type="dxa"/>
              <w:start w:w="80" w:type="dxa"/>
              <w:bottom w:w="36" w:type="dxa"/>
              <w:end w:w="80" w:type="dxa"/>
            </w:tcMar>
          </w:tcPr>
          <w:p>
            <w:pPr>
              <w:pStyle w:val="TabCellSm"/>
              <w:jc w:val="left"/>
            </w:pPr>
            <w:r>
              <w:t>Sponge-holding forceps (fenestrated jaws), towel clips, needle books.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3 — CLAMPING AND OCCLUDING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Haemostats (artery forceps)</w:t>
            </w:r>
          </w:p>
        </w:tc>
        <w:tc>
          <w:tcPr>
            <w:tcW w:type="dxa" w:w="5754"/>
            <w:vAlign w:val="top"/>
            <w:tcMar>
              <w:top w:w="36" w:type="dxa"/>
              <w:start w:w="80" w:type="dxa"/>
              <w:bottom w:w="36" w:type="dxa"/>
              <w:end w:w="80" w:type="dxa"/>
            </w:tcMar>
          </w:tcPr>
          <w:p>
            <w:pPr>
              <w:pStyle w:val="TabCellSm"/>
              <w:jc w:val="left"/>
            </w:pPr>
            <w:r>
              <w:t>Mosquito/Halsted (finest), Crile (fully serrated, straight or curved), Kelly (serrations only over the distal half), Rochester-Péan (largest).</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Right-angled and tonsil clamps</w:t>
            </w:r>
          </w:p>
        </w:tc>
        <w:tc>
          <w:tcPr>
            <w:tcW w:type="dxa" w:w="5754"/>
            <w:shd w:val="clear" w:color="auto" w:fill="F6F6F6"/>
            <w:vAlign w:val="top"/>
            <w:tcMar>
              <w:top w:w="36" w:type="dxa"/>
              <w:start w:w="80" w:type="dxa"/>
              <w:bottom w:w="36" w:type="dxa"/>
              <w:end w:w="80" w:type="dxa"/>
            </w:tcMar>
          </w:tcPr>
          <w:p>
            <w:pPr>
              <w:pStyle w:val="TabCellSm"/>
              <w:jc w:val="left"/>
            </w:pPr>
            <w:r>
              <w:t>Mixter, Lahey and tonsil (Schnidt) for passing ligatures behind a pedicle.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Crushing vs non-crushing</w:t>
            </w:r>
          </w:p>
        </w:tc>
        <w:tc>
          <w:tcPr>
            <w:tcW w:type="dxa" w:w="5754"/>
            <w:vAlign w:val="top"/>
            <w:tcMar>
              <w:top w:w="36" w:type="dxa"/>
              <w:start w:w="80" w:type="dxa"/>
              <w:bottom w:w="36" w:type="dxa"/>
              <w:end w:w="80" w:type="dxa"/>
            </w:tcMar>
          </w:tcPr>
          <w:p>
            <w:pPr>
              <w:pStyle w:val="TabCellSm"/>
              <w:jc w:val="left"/>
            </w:pPr>
            <w:r>
              <w:t>Crushing (Kocher, Payr) on tissue to be removed; non-crushing/atraumatic (Doyen, DeBakey, bulldog, Satinsky) on tissue that must survive.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Vascular occluders</w:t>
            </w:r>
          </w:p>
        </w:tc>
        <w:tc>
          <w:tcPr>
            <w:tcW w:type="dxa" w:w="5754"/>
            <w:shd w:val="clear" w:color="auto" w:fill="F6F6F6"/>
            <w:vAlign w:val="top"/>
            <w:tcMar>
              <w:top w:w="36" w:type="dxa"/>
              <w:start w:w="80" w:type="dxa"/>
              <w:bottom w:w="36" w:type="dxa"/>
              <w:end w:w="80" w:type="dxa"/>
            </w:tcMar>
          </w:tcPr>
          <w:p>
            <w:pPr>
              <w:pStyle w:val="TabCellSm"/>
              <w:jc w:val="left"/>
            </w:pPr>
            <w:r>
              <w:t>Bulldog, Satinsky (side-biting), aortic cross-clamps, Fogarty inserts, vessel loops.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4 — EXPOSING AND RETRACTING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Hand-held retractors</w:t>
            </w:r>
          </w:p>
        </w:tc>
        <w:tc>
          <w:tcPr>
            <w:tcW w:type="dxa" w:w="5754"/>
            <w:vAlign w:val="top"/>
            <w:tcMar>
              <w:top w:w="36" w:type="dxa"/>
              <w:start w:w="80" w:type="dxa"/>
              <w:bottom w:w="36" w:type="dxa"/>
              <w:end w:w="80" w:type="dxa"/>
            </w:tcMar>
          </w:tcPr>
          <w:p>
            <w:pPr>
              <w:pStyle w:val="TabCellSm"/>
              <w:jc w:val="left"/>
            </w:pPr>
            <w:r>
              <w:t>Army-Navy, Richardson, Deaver, malleable/ribbon, Senn, rake, Volkmann, skin hooks — held by an assistant.</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Self-retaining retractors</w:t>
            </w:r>
          </w:p>
        </w:tc>
        <w:tc>
          <w:tcPr>
            <w:tcW w:type="dxa" w:w="5754"/>
            <w:shd w:val="clear" w:color="auto" w:fill="F6F6F6"/>
            <w:vAlign w:val="top"/>
            <w:tcMar>
              <w:top w:w="36" w:type="dxa"/>
              <w:start w:w="80" w:type="dxa"/>
              <w:bottom w:w="36" w:type="dxa"/>
              <w:end w:w="80" w:type="dxa"/>
            </w:tcMar>
          </w:tcPr>
          <w:p>
            <w:pPr>
              <w:pStyle w:val="TabCellSm"/>
              <w:jc w:val="left"/>
            </w:pPr>
            <w:r>
              <w:t>Weitlaner, mastoid, cerebellar, Balfour, Finochietto, Gelpi — hold themselves open by ratchet or rack.</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Specula</w:t>
            </w:r>
          </w:p>
        </w:tc>
        <w:tc>
          <w:tcPr>
            <w:tcW w:type="dxa" w:w="5754"/>
            <w:vAlign w:val="top"/>
            <w:tcMar>
              <w:top w:w="36" w:type="dxa"/>
              <w:start w:w="80" w:type="dxa"/>
              <w:bottom w:w="36" w:type="dxa"/>
              <w:end w:w="80" w:type="dxa"/>
            </w:tcMar>
          </w:tcPr>
          <w:p>
            <w:pPr>
              <w:pStyle w:val="TabCellSm"/>
              <w:jc w:val="left"/>
            </w:pPr>
            <w:r>
              <w:t>Graves/Cusco bivalve, Sims, nasal, aural, eyelid — hold a natural orifice open.</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 exposure</w:t>
            </w:r>
          </w:p>
        </w:tc>
        <w:tc>
          <w:tcPr>
            <w:tcW w:type="dxa" w:w="5754"/>
            <w:shd w:val="clear" w:color="auto" w:fill="F6F6F6"/>
            <w:vAlign w:val="top"/>
            <w:tcMar>
              <w:top w:w="36" w:type="dxa"/>
              <w:start w:w="80" w:type="dxa"/>
              <w:bottom w:w="36" w:type="dxa"/>
              <w:end w:w="80" w:type="dxa"/>
            </w:tcMar>
          </w:tcPr>
          <w:p>
            <w:pPr>
              <w:pStyle w:val="TabCellSm"/>
              <w:jc w:val="left"/>
            </w:pPr>
            <w:r>
              <w:t>Malleable ribbon, laparotomy pads, vein retractors, fibre-optic lighted retractors.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5 — SUTURING AND STAPLING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Needle holders</w:t>
            </w:r>
          </w:p>
        </w:tc>
        <w:tc>
          <w:tcPr>
            <w:tcW w:type="dxa" w:w="5754"/>
            <w:vAlign w:val="top"/>
            <w:tcMar>
              <w:top w:w="36" w:type="dxa"/>
              <w:start w:w="80" w:type="dxa"/>
              <w:bottom w:w="36" w:type="dxa"/>
              <w:end w:w="80" w:type="dxa"/>
            </w:tcMar>
          </w:tcPr>
          <w:p>
            <w:pPr>
              <w:pStyle w:val="TabCellSm"/>
              <w:jc w:val="left"/>
            </w:pPr>
            <w:r>
              <w:t>Mayo-Hegar and Crile-Wood (ring-handled), Castroviejo (spring, microsurgery), Heaney (angled, gynaecology). Tungsten-carbide inserts give the longest life.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Needles and suture</w:t>
            </w:r>
          </w:p>
        </w:tc>
        <w:tc>
          <w:tcPr>
            <w:tcW w:type="dxa" w:w="5754"/>
            <w:shd w:val="clear" w:color="auto" w:fill="F6F6F6"/>
            <w:vAlign w:val="top"/>
            <w:tcMar>
              <w:top w:w="36" w:type="dxa"/>
              <w:start w:w="80" w:type="dxa"/>
              <w:bottom w:w="36" w:type="dxa"/>
              <w:end w:w="80" w:type="dxa"/>
            </w:tcMar>
          </w:tcPr>
          <w:p>
            <w:pPr>
              <w:pStyle w:val="TabCellSm"/>
              <w:jc w:val="left"/>
            </w:pPr>
            <w:r>
              <w:t>Cutting/reverse-cutting for skin and fascia, taper for viscera and vessels, blunt for friable liver/kidney.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Staplers and clips</w:t>
            </w:r>
          </w:p>
        </w:tc>
        <w:tc>
          <w:tcPr>
            <w:tcW w:type="dxa" w:w="5754"/>
            <w:vAlign w:val="top"/>
            <w:tcMar>
              <w:top w:w="36" w:type="dxa"/>
              <w:start w:w="80" w:type="dxa"/>
              <w:bottom w:w="36" w:type="dxa"/>
              <w:end w:w="80" w:type="dxa"/>
            </w:tcMar>
          </w:tcPr>
          <w:p>
            <w:pPr>
              <w:pStyle w:val="TabCellSm"/>
              <w:jc w:val="left"/>
            </w:pPr>
            <w:r>
              <w:t>Linear, linear cutter (GIA), circular (EEA), skin stapler; ligating clips and appliers.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w:t>
            </w:r>
          </w:p>
        </w:tc>
        <w:tc>
          <w:tcPr>
            <w:tcW w:type="dxa" w:w="5754"/>
            <w:shd w:val="clear" w:color="auto" w:fill="F6F6F6"/>
            <w:vAlign w:val="top"/>
            <w:tcMar>
              <w:top w:w="36" w:type="dxa"/>
              <w:start w:w="80" w:type="dxa"/>
              <w:bottom w:w="36" w:type="dxa"/>
              <w:end w:w="80" w:type="dxa"/>
            </w:tcMar>
          </w:tcPr>
          <w:p>
            <w:pPr>
              <w:pStyle w:val="TabCellSm"/>
              <w:jc w:val="left"/>
            </w:pPr>
            <w:r>
              <w:t>Ligature carrier (Deschamps), suture boots, knot pushers.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6 — SUCTIONING, VIEWING AND ACCESSORY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Suction tips</w:t>
            </w:r>
          </w:p>
        </w:tc>
        <w:tc>
          <w:tcPr>
            <w:tcW w:type="dxa" w:w="5754"/>
            <w:vAlign w:val="top"/>
            <w:tcMar>
              <w:top w:w="36" w:type="dxa"/>
              <w:start w:w="80" w:type="dxa"/>
              <w:bottom w:w="36" w:type="dxa"/>
              <w:end w:w="80" w:type="dxa"/>
            </w:tcMar>
          </w:tcPr>
          <w:p>
            <w:pPr>
              <w:pStyle w:val="TabCellSm"/>
              <w:jc w:val="left"/>
            </w:pPr>
            <w:r>
              <w:t>Yankauer (oral/general, bulbous fenestrated tip), Poole (perforated shield, free fluid in a cavity), Frazier (fine, angled, thumb vent — neuro/ENT/plastics).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Viewing / endoscopic</w:t>
            </w:r>
          </w:p>
        </w:tc>
        <w:tc>
          <w:tcPr>
            <w:tcW w:type="dxa" w:w="5754"/>
            <w:shd w:val="clear" w:color="auto" w:fill="F6F6F6"/>
            <w:vAlign w:val="top"/>
            <w:tcMar>
              <w:top w:w="36" w:type="dxa"/>
              <w:start w:w="80" w:type="dxa"/>
              <w:bottom w:w="36" w:type="dxa"/>
              <w:end w:w="80" w:type="dxa"/>
            </w:tcMar>
          </w:tcPr>
          <w:p>
            <w:pPr>
              <w:pStyle w:val="TabCellSm"/>
              <w:jc w:val="left"/>
            </w:pPr>
            <w:r>
              <w:t>Sigmoidoscope, proctoscope, laparoscope, arthroscope, bronchoscope, mediastinoscope, choledochoscope, cystoscope, operating microscope.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Dilating and probing</w:t>
            </w:r>
          </w:p>
        </w:tc>
        <w:tc>
          <w:tcPr>
            <w:tcW w:type="dxa" w:w="5754"/>
            <w:vAlign w:val="top"/>
            <w:tcMar>
              <w:top w:w="36" w:type="dxa"/>
              <w:start w:w="80" w:type="dxa"/>
              <w:bottom w:w="36" w:type="dxa"/>
              <w:end w:w="80" w:type="dxa"/>
            </w:tcMar>
          </w:tcPr>
          <w:p>
            <w:pPr>
              <w:pStyle w:val="TabCellSm"/>
              <w:jc w:val="left"/>
            </w:pPr>
            <w:r>
              <w:t>Hegar and Bakes dilators, uterine sound, probes, grooved director, lacrimal probes.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Measuring and accessory</w:t>
            </w:r>
          </w:p>
        </w:tc>
        <w:tc>
          <w:tcPr>
            <w:tcW w:type="dxa" w:w="5754"/>
            <w:shd w:val="clear" w:color="auto" w:fill="F6F6F6"/>
            <w:vAlign w:val="top"/>
            <w:tcMar>
              <w:top w:w="36" w:type="dxa"/>
              <w:start w:w="80" w:type="dxa"/>
              <w:bottom w:w="36" w:type="dxa"/>
              <w:end w:w="80" w:type="dxa"/>
            </w:tcMar>
          </w:tcPr>
          <w:p>
            <w:pPr>
              <w:pStyle w:val="TabCellSm"/>
              <w:jc w:val="left"/>
            </w:pPr>
            <w:r>
              <w:t>Rulers, calipers, kidney dish, gallipot, medicine cup, magnets, light cords, irrigation sets.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3338749"/>
            <wp:docPr id="3" name="Picture 3"/>
            <wp:cNvGraphicFramePr>
              <a:graphicFrameLocks noChangeAspect="1"/>
            </wp:cNvGraphicFramePr>
            <a:graphic>
              <a:graphicData uri="http://schemas.openxmlformats.org/drawingml/2006/picture">
                <pic:pic>
                  <pic:nvPicPr>
                    <pic:cNvPr id="0" name="fig_classification.png"/>
                    <pic:cNvPicPr/>
                  </pic:nvPicPr>
                  <pic:blipFill>
                    <a:blip r:embed="rId13"/>
                    <a:stretch>
                      <a:fillRect/>
                    </a:stretch>
                  </pic:blipFill>
                  <pic:spPr>
                    <a:xfrm>
                      <a:off x="0" y="0"/>
                      <a:ext cx="4752000" cy="3338749"/>
                    </a:xfrm>
                    <a:prstGeom prst="rect"/>
                  </pic:spPr>
                </pic:pic>
              </a:graphicData>
            </a:graphic>
          </wp:inline>
        </w:drawing>
      </w:r>
    </w:p>
    <w:p>
      <w:pPr>
        <w:pStyle w:val="FigCaption"/>
        <w:jc w:val="center"/>
        <w:spacing w:before="40" w:after="120"/>
      </w:pPr>
      <w:r>
        <w:t>Fig 0.2 — The six functional groups with examples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Crushing clamp</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Non-crushing (atraumatic) clamp</w:t>
            </w:r>
          </w:p>
        </w:tc>
      </w:tr>
      <w:tr>
        <w:tc>
          <w:tcPr>
            <w:tcW w:type="dxa" w:w="3600"/>
            <w:vAlign w:val="top"/>
            <w:tcMar>
              <w:top w:w="36" w:type="dxa"/>
              <w:start w:w="80" w:type="dxa"/>
              <w:bottom w:w="36" w:type="dxa"/>
              <w:end w:w="80" w:type="dxa"/>
            </w:tcMar>
          </w:tcPr>
          <w:p>
            <w:pPr>
              <w:pStyle w:val="TabCell"/>
            </w:pPr>
            <w:r>
              <w:rPr>
                <w:b/>
              </w:rPr>
              <w:t>Jaw serration</w:t>
            </w:r>
          </w:p>
        </w:tc>
        <w:tc>
          <w:tcPr>
            <w:tcW w:type="dxa" w:w="3600"/>
            <w:vAlign w:val="top"/>
            <w:tcMar>
              <w:top w:w="36" w:type="dxa"/>
              <w:start w:w="80" w:type="dxa"/>
              <w:bottom w:w="36" w:type="dxa"/>
              <w:end w:w="80" w:type="dxa"/>
            </w:tcMar>
          </w:tcPr>
          <w:p>
            <w:pPr>
              <w:pStyle w:val="TabCell"/>
            </w:pPr>
            <w:r>
              <w:t>Deep transverse teeth, may have 1×2 tooth</w:t>
            </w:r>
          </w:p>
        </w:tc>
        <w:tc>
          <w:tcPr>
            <w:tcW w:type="dxa" w:w="3600"/>
            <w:vAlign w:val="top"/>
            <w:tcMar>
              <w:top w:w="36" w:type="dxa"/>
              <w:start w:w="80" w:type="dxa"/>
              <w:bottom w:w="36" w:type="dxa"/>
              <w:end w:w="80" w:type="dxa"/>
            </w:tcMar>
          </w:tcPr>
          <w:p>
            <w:pPr>
              <w:pStyle w:val="TabCell"/>
            </w:pPr>
            <w:r>
              <w:t>Fine longitudinal rows, or smooth</w:t>
            </w:r>
          </w:p>
        </w:tc>
      </w:tr>
      <w:tr>
        <w:tc>
          <w:tcPr>
            <w:tcW w:type="dxa" w:w="3600"/>
            <w:shd w:val="clear" w:color="auto" w:fill="F6F6F6"/>
            <w:vAlign w:val="top"/>
            <w:tcMar>
              <w:top w:w="36" w:type="dxa"/>
              <w:start w:w="80" w:type="dxa"/>
              <w:bottom w:w="36" w:type="dxa"/>
              <w:end w:w="80" w:type="dxa"/>
            </w:tcMar>
          </w:tcPr>
          <w:p>
            <w:pPr>
              <w:pStyle w:val="TabCell"/>
            </w:pPr>
            <w:r>
              <w:rPr>
                <w:b/>
              </w:rPr>
              <w:t>Effect on tissue</w:t>
            </w:r>
          </w:p>
        </w:tc>
        <w:tc>
          <w:tcPr>
            <w:tcW w:type="dxa" w:w="3600"/>
            <w:shd w:val="clear" w:color="auto" w:fill="F6F6F6"/>
            <w:vAlign w:val="top"/>
            <w:tcMar>
              <w:top w:w="36" w:type="dxa"/>
              <w:start w:w="80" w:type="dxa"/>
              <w:bottom w:w="36" w:type="dxa"/>
              <w:end w:w="80" w:type="dxa"/>
            </w:tcMar>
          </w:tcPr>
          <w:p>
            <w:pPr>
              <w:pStyle w:val="TabCell"/>
            </w:pPr>
            <w:r>
              <w:t>Deliberately crushes and devitalises</w:t>
            </w:r>
          </w:p>
        </w:tc>
        <w:tc>
          <w:tcPr>
            <w:tcW w:type="dxa" w:w="3600"/>
            <w:shd w:val="clear" w:color="auto" w:fill="F6F6F6"/>
            <w:vAlign w:val="top"/>
            <w:tcMar>
              <w:top w:w="36" w:type="dxa"/>
              <w:start w:w="80" w:type="dxa"/>
              <w:bottom w:w="36" w:type="dxa"/>
              <w:end w:w="80" w:type="dxa"/>
            </w:tcMar>
          </w:tcPr>
          <w:p>
            <w:pPr>
              <w:pStyle w:val="TabCell"/>
            </w:pPr>
            <w:r>
              <w:t>Preserves wall viability and blood supply</w:t>
            </w:r>
          </w:p>
        </w:tc>
      </w:tr>
      <w:tr>
        <w:tc>
          <w:tcPr>
            <w:tcW w:type="dxa" w:w="3600"/>
            <w:vAlign w:val="top"/>
            <w:tcMar>
              <w:top w:w="36" w:type="dxa"/>
              <w:start w:w="80" w:type="dxa"/>
              <w:bottom w:w="36" w:type="dxa"/>
              <w:end w:w="80" w:type="dxa"/>
            </w:tcMar>
          </w:tcPr>
          <w:p>
            <w:pPr>
              <w:pStyle w:val="TabCell"/>
            </w:pPr>
            <w:r>
              <w:rPr>
                <w:b/>
              </w:rPr>
              <w:t>Typical examples</w:t>
            </w:r>
          </w:p>
        </w:tc>
        <w:tc>
          <w:tcPr>
            <w:tcW w:type="dxa" w:w="3600"/>
            <w:vAlign w:val="top"/>
            <w:tcMar>
              <w:top w:w="36" w:type="dxa"/>
              <w:start w:w="80" w:type="dxa"/>
              <w:bottom w:w="36" w:type="dxa"/>
              <w:end w:w="80" w:type="dxa"/>
            </w:tcMar>
          </w:tcPr>
          <w:p>
            <w:pPr>
              <w:pStyle w:val="TabCell"/>
            </w:pPr>
            <w:r>
              <w:t>Kocher, Payr, Rochester-Péan</w:t>
            </w:r>
          </w:p>
        </w:tc>
        <w:tc>
          <w:tcPr>
            <w:tcW w:type="dxa" w:w="3600"/>
            <w:vAlign w:val="top"/>
            <w:tcMar>
              <w:top w:w="36" w:type="dxa"/>
              <w:start w:w="80" w:type="dxa"/>
              <w:bottom w:w="36" w:type="dxa"/>
              <w:end w:w="80" w:type="dxa"/>
            </w:tcMar>
          </w:tcPr>
          <w:p>
            <w:pPr>
              <w:pStyle w:val="TabCell"/>
            </w:pPr>
            <w:r>
              <w:t>Doyen, DeBakey, bulldog, Satinsky</w:t>
            </w:r>
          </w:p>
        </w:tc>
      </w:tr>
      <w:tr>
        <w:tc>
          <w:tcPr>
            <w:tcW w:type="dxa" w:w="3600"/>
            <w:shd w:val="clear" w:color="auto" w:fill="F6F6F6"/>
            <w:vAlign w:val="top"/>
            <w:tcMar>
              <w:top w:w="36" w:type="dxa"/>
              <w:start w:w="80" w:type="dxa"/>
              <w:bottom w:w="36" w:type="dxa"/>
              <w:end w:w="80" w:type="dxa"/>
            </w:tcMar>
          </w:tcPr>
          <w:p>
            <w:pPr>
              <w:pStyle w:val="TabCell"/>
            </w:pPr>
            <w:r>
              <w:rPr>
                <w:b/>
              </w:rPr>
              <w:t>Applied to</w:t>
            </w:r>
          </w:p>
        </w:tc>
        <w:tc>
          <w:tcPr>
            <w:tcW w:type="dxa" w:w="3600"/>
            <w:shd w:val="clear" w:color="auto" w:fill="F6F6F6"/>
            <w:vAlign w:val="top"/>
            <w:tcMar>
              <w:top w:w="36" w:type="dxa"/>
              <w:start w:w="80" w:type="dxa"/>
              <w:bottom w:w="36" w:type="dxa"/>
              <w:end w:w="80" w:type="dxa"/>
            </w:tcMar>
          </w:tcPr>
          <w:p>
            <w:pPr>
              <w:pStyle w:val="TabCell"/>
            </w:pPr>
            <w:r>
              <w:t>Tissue that will be excised or ligated</w:t>
            </w:r>
          </w:p>
        </w:tc>
        <w:tc>
          <w:tcPr>
            <w:tcW w:type="dxa" w:w="3600"/>
            <w:shd w:val="clear" w:color="auto" w:fill="F6F6F6"/>
            <w:vAlign w:val="top"/>
            <w:tcMar>
              <w:top w:w="36" w:type="dxa"/>
              <w:start w:w="80" w:type="dxa"/>
              <w:bottom w:w="36" w:type="dxa"/>
              <w:end w:w="80" w:type="dxa"/>
            </w:tcMar>
          </w:tcPr>
          <w:p>
            <w:pPr>
              <w:pStyle w:val="TabCell"/>
            </w:pPr>
            <w:r>
              <w:t>Bowel, vessel or duct that must survive</w:t>
            </w:r>
          </w:p>
        </w:tc>
      </w:tr>
      <w:tr>
        <w:tc>
          <w:tcPr>
            <w:tcW w:type="dxa" w:w="3600"/>
            <w:vAlign w:val="top"/>
            <w:tcMar>
              <w:top w:w="36" w:type="dxa"/>
              <w:start w:w="80" w:type="dxa"/>
              <w:bottom w:w="36" w:type="dxa"/>
              <w:end w:w="80" w:type="dxa"/>
            </w:tcMar>
          </w:tcPr>
          <w:p>
            <w:pPr>
              <w:pStyle w:val="TabCell"/>
            </w:pPr>
            <w:r>
              <w:rPr>
                <w:b/>
              </w:rPr>
              <w:t>Consequence of error</w:t>
            </w:r>
          </w:p>
        </w:tc>
        <w:tc>
          <w:tcPr>
            <w:tcW w:type="dxa" w:w="3600"/>
            <w:vAlign w:val="top"/>
            <w:tcMar>
              <w:top w:w="36" w:type="dxa"/>
              <w:start w:w="80" w:type="dxa"/>
              <w:bottom w:w="36" w:type="dxa"/>
              <w:end w:w="80" w:type="dxa"/>
            </w:tcMar>
          </w:tcPr>
          <w:p>
            <w:pPr>
              <w:pStyle w:val="TabCell"/>
            </w:pPr>
            <w:r>
              <w:t>Necrosis, leak, anastomotic breakdown</w:t>
            </w:r>
          </w:p>
        </w:tc>
        <w:tc>
          <w:tcPr>
            <w:tcW w:type="dxa" w:w="3600"/>
            <w:vAlign w:val="top"/>
            <w:tcMar>
              <w:top w:w="36" w:type="dxa"/>
              <w:start w:w="80" w:type="dxa"/>
              <w:bottom w:w="36" w:type="dxa"/>
              <w:end w:w="80" w:type="dxa"/>
            </w:tcMar>
          </w:tcPr>
          <w:p>
            <w:pPr>
              <w:pStyle w:val="TabCell"/>
            </w:pPr>
            <w:r>
              <w:t>Slippage and haemorrhage if too gentle</w:t>
            </w:r>
          </w:p>
        </w:tc>
      </w:tr>
    </w:tbl>
    <w:p>
      <w:pPr>
        <w:spacing w:before="0" w:after="160" w:line="240" w:lineRule="auto"/>
      </w:pPr>
    </w:p>
    <w:p>
      <w:pPr>
        <w:pStyle w:val="FigCaption"/>
        <w:jc w:val="center"/>
      </w:pPr>
      <w:r>
        <w:t>Table 0.1 — Crushing versus non-crushing clamps: the single most examined distinction in Group 3</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the </w:t>
            </w:r>
            <w:r>
              <w:rPr>
                <w:b/>
              </w:rPr>
              <w:t>six groups</w:t>
            </w:r>
            <w:r>
              <w:t xml:space="preserve"> as your default answer skeleton for 'describe the contents of X tray'.</w:t>
            </w:r>
          </w:p>
          <w:p>
            <w:pPr>
              <w:pStyle w:val="BoxBody"/>
              <w:spacing w:before="20" w:after="40"/>
              <w:ind w:start="204" w:hanging="204"/>
            </w:pPr>
            <w:r>
              <w:rPr>
                <w:rFonts w:ascii="Calibri" w:hAnsi="Calibri"/>
                <w:b/>
              </w:rPr>
              <w:t xml:space="preserve">▪  </w:t>
            </w:r>
            <w:r>
              <w:rPr>
                <w:b/>
              </w:rPr>
              <w:t>Handle–blade pairing</w:t>
            </w:r>
            <w:r>
              <w:t xml:space="preserve"> is a favourite one-mark question: No.3 handle → blades 10/11/12/15; No.4 handle → blades 20–25.</w:t>
            </w:r>
          </w:p>
          <w:p>
            <w:pPr>
              <w:pStyle w:val="BoxBody"/>
              <w:spacing w:before="20" w:after="40"/>
              <w:ind w:start="204" w:hanging="204"/>
            </w:pPr>
            <w:r>
              <w:rPr>
                <w:rFonts w:ascii="Calibri" w:hAnsi="Calibri"/>
                <w:b/>
              </w:rPr>
              <w:t xml:space="preserve">▪  </w:t>
            </w:r>
            <w:r>
              <w:t xml:space="preserve">Distinguish </w:t>
            </w:r>
            <w:r>
              <w:rPr>
                <w:b/>
              </w:rPr>
              <w:t>Crile</w:t>
            </w:r>
            <w:r>
              <w:t xml:space="preserve"> (serrations along the </w:t>
            </w:r>
            <w:r>
              <w:rPr>
                <w:i/>
              </w:rPr>
              <w:t>whole</w:t>
            </w:r>
            <w:r>
              <w:t xml:space="preserve"> jaw) from </w:t>
            </w:r>
            <w:r>
              <w:rPr>
                <w:b/>
              </w:rPr>
              <w:t>Kelly</w:t>
            </w:r>
            <w:r>
              <w:t xml:space="preserve"> (serrations over the </w:t>
            </w:r>
            <w:r>
              <w:rPr>
                <w:i/>
              </w:rPr>
              <w:t>distal half</w:t>
            </w:r>
            <w:r>
              <w:t xml:space="preserve"> only).</w:t>
            </w:r>
          </w:p>
          <w:p>
            <w:pPr>
              <w:pStyle w:val="BoxBody"/>
              <w:spacing w:before="20" w:after="40"/>
              <w:ind w:start="204" w:hanging="204"/>
            </w:pPr>
            <w:r>
              <w:rPr>
                <w:rFonts w:ascii="Calibri" w:hAnsi="Calibri"/>
                <w:b/>
              </w:rPr>
              <w:t xml:space="preserve">▪  </w:t>
            </w:r>
            <w:r>
              <w:rPr>
                <w:b/>
              </w:rPr>
              <w:t>Allis vs Babcock</w:t>
            </w:r>
            <w:r>
              <w:t>: Allis has sharp interlocking teeth for tough tissue; Babcock has a smooth fenestrated loop for delicate hollow structures.</w:t>
            </w:r>
          </w:p>
          <w:p>
            <w:pPr>
              <w:pStyle w:val="BoxBody"/>
              <w:spacing w:before="20" w:after="40"/>
              <w:ind w:start="204" w:hanging="204"/>
            </w:pPr>
            <w:r>
              <w:rPr>
                <w:rFonts w:ascii="Calibri" w:hAnsi="Calibri"/>
                <w:b/>
              </w:rPr>
              <w:t xml:space="preserve">▪  </w:t>
            </w:r>
            <w:r>
              <w:t xml:space="preserve">Suction choice follows the site: </w:t>
            </w:r>
            <w:r>
              <w:rPr>
                <w:b/>
              </w:rPr>
              <w:t>Yankauer</w:t>
            </w:r>
            <w:r>
              <w:t xml:space="preserve"> oral/general, </w:t>
            </w:r>
            <w:r>
              <w:rPr>
                <w:b/>
              </w:rPr>
              <w:t>Poole</w:t>
            </w:r>
            <w:r>
              <w:t xml:space="preserve"> free peritoneal fluid, </w:t>
            </w:r>
            <w:r>
              <w:rPr>
                <w:b/>
              </w:rPr>
              <w:t>Frazier</w:t>
            </w:r>
            <w:r>
              <w:t xml:space="preserve"> fine and vented for neuro/ENT.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Classify surgical instruments functionally.</w:t>
      </w:r>
    </w:p>
    <w:p>
      <w:pPr>
        <w:pStyle w:val="QBank"/>
        <w:spacing w:before="0" w:after="100"/>
        <w:ind w:start="595" w:hanging="283"/>
      </w:pPr>
      <w:r>
        <w:rPr>
          <w:rFonts w:ascii="Calibri" w:hAnsi="Calibri"/>
          <w:b/>
        </w:rPr>
        <w:t xml:space="preserve">A.  </w:t>
      </w:r>
      <w:r>
        <w:t>Cutting and dissecting; grasping and holding; clamping and occluding; exposing and retracting; suturing and stapling; suctioning, viewing and accessory.</w:t>
      </w:r>
    </w:p>
    <w:p>
      <w:pPr>
        <w:spacing w:before="80" w:after="20"/>
        <w:ind w:start="311" w:hanging="311"/>
        <w:keepLines/>
        <w:keepNext/>
      </w:pPr>
      <w:r>
        <w:rPr>
          <w:rFonts w:ascii="Calibri" w:hAnsi="Calibri"/>
          <w:b/>
          <w:sz w:val="19"/>
        </w:rPr>
        <w:t xml:space="preserve">Q2.  </w:t>
      </w:r>
      <w:r>
        <w:rPr>
          <w:b/>
          <w:sz w:val="19"/>
        </w:rPr>
        <w:t>Differentiate Allis from Babcock forceps.</w:t>
      </w:r>
    </w:p>
    <w:p>
      <w:pPr>
        <w:pStyle w:val="QBank"/>
        <w:spacing w:before="0" w:after="100"/>
        <w:ind w:start="595" w:hanging="283"/>
      </w:pPr>
      <w:r>
        <w:rPr>
          <w:rFonts w:ascii="Calibri" w:hAnsi="Calibri"/>
          <w:b/>
        </w:rPr>
        <w:t xml:space="preserve">A.  </w:t>
      </w:r>
      <w:r>
        <w:t>Allis has short sharp interlocking teeth and is traumatic — used on fascia, skin edges and tissue to be excised. Babcock has a broad fenestrated atraumatic loop — used on bowel, appendix, ureter and fallopian tube.</w:t>
      </w:r>
    </w:p>
    <w:p>
      <w:pPr>
        <w:spacing w:before="80" w:after="20"/>
        <w:ind w:start="311" w:hanging="311"/>
        <w:keepLines/>
        <w:keepNext/>
      </w:pPr>
      <w:r>
        <w:rPr>
          <w:rFonts w:ascii="Calibri" w:hAnsi="Calibri"/>
          <w:b/>
          <w:sz w:val="19"/>
        </w:rPr>
        <w:t xml:space="preserve">Q3.  </w:t>
      </w:r>
      <w:r>
        <w:rPr>
          <w:b/>
          <w:sz w:val="19"/>
        </w:rPr>
        <w:t>Which suction tip is used for free fluid in the peritoneal cavity, and why?</w:t>
      </w:r>
    </w:p>
    <w:p>
      <w:pPr>
        <w:pStyle w:val="QBank"/>
        <w:spacing w:before="0" w:after="100"/>
        <w:ind w:start="595" w:hanging="283"/>
      </w:pPr>
      <w:r>
        <w:rPr>
          <w:rFonts w:ascii="Calibri" w:hAnsi="Calibri"/>
          <w:b/>
        </w:rPr>
        <w:t xml:space="preserve">A.  </w:t>
      </w:r>
      <w:r>
        <w:t>Poole suction — its perforated outer shield distributes suction over many holes so omentum and bowel are not drawn into and occluded by the tip.</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6" w:name="tray_0_3"/>
      <w:r>
        <w:rPr>
          <w:rFonts w:ascii="Calibri" w:hAnsi="Calibri"/>
          <w:b/>
          <w:color w:val="666666"/>
          <w:sz w:val="29"/>
        </w:rPr>
        <w:t xml:space="preserve">0.3   </w:t>
      </w:r>
      <w:r>
        <w:rPr>
          <w:rFonts w:ascii="Calibri" w:hAnsi="Calibri"/>
          <w:b/>
          <w:sz w:val="29"/>
        </w:rPr>
        <w:t>Parts of an Instrument and How It Is Handled</w:t>
      </w:r>
      <w:bookmarkEnd w:id="1006"/>
    </w:p>
    <w:p>
      <w:pPr>
        <w:spacing w:before="60" w:after="100"/>
      </w:pPr>
      <w:r>
        <w:rPr>
          <w:rFonts w:ascii="Calibri" w:hAnsi="Calibri"/>
          <w:b/>
          <w:caps/>
          <w:color w:val="555555"/>
          <w:sz w:val="17"/>
        </w:rPr>
        <w:t xml:space="preserve">Also called:  </w:t>
      </w:r>
      <w:r>
        <w:rPr>
          <w:i/>
          <w:color w:val="333333"/>
          <w:sz w:val="18"/>
        </w:rPr>
        <w:t>Instrument anatomy · grips · passing technique</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Naming the </w:t>
            </w:r>
            <w:r>
              <w:rPr>
                <w:b/>
              </w:rPr>
              <w:t>parts</w:t>
            </w:r>
            <w:r>
              <w:t xml:space="preserve"> of an instrument lets you describe faults precisely (a sprung box lock, a worn ratchet, misaligned tips) and is regularly asked as a labelled diagram. The ring-handled (haemostatic) pattern is the reference design from which most clamps, scissors and needle holders are derived.</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45920"/>
                  <wp:docPr id="4" name="Picture 4"/>
                  <wp:cNvGraphicFramePr>
                    <a:graphicFrameLocks noChangeAspect="1"/>
                  </wp:cNvGraphicFramePr>
                  <a:graphic>
                    <a:graphicData uri="http://schemas.openxmlformats.org/drawingml/2006/picture">
                      <pic:pic>
                        <pic:nvPicPr>
                          <pic:cNvPr id="0" name="plate_0_3.png"/>
                          <pic:cNvPicPr/>
                        </pic:nvPicPr>
                        <pic:blipFill>
                          <a:blip r:embed="rId14"/>
                          <a:stretch>
                            <a:fillRect/>
                          </a:stretch>
                        </pic:blipFill>
                        <pic:spPr>
                          <a:xfrm>
                            <a:off x="0" y="0"/>
                            <a:ext cx="2286000" cy="1645920"/>
                          </a:xfrm>
                          <a:prstGeom prst="rect"/>
                        </pic:spPr>
                      </pic:pic>
                    </a:graphicData>
                  </a:graphic>
                </wp:inline>
              </w:drawing>
            </w:r>
          </w:p>
          <w:p>
            <w:pPr>
              <w:pStyle w:val="FigCaption"/>
              <w:jc w:val="center"/>
              <w:spacing w:before="40" w:after="120"/>
            </w:pPr>
            <w:r>
              <w:t>Fig 0.6 — The jaw, not the handle, defines the use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Functional tests before packing</w:t>
            </w:r>
          </w:p>
          <w:p>
            <w:pPr>
              <w:pStyle w:val="BoxBody"/>
              <w:spacing w:before="20" w:after="40"/>
              <w:ind w:start="204" w:hanging="204"/>
            </w:pPr>
            <w:r>
              <w:rPr>
                <w:rFonts w:ascii="Calibri" w:hAnsi="Calibri"/>
                <w:b/>
              </w:rPr>
              <w:t xml:space="preserve">▪  </w:t>
            </w:r>
            <w:r>
              <w:rPr>
                <w:b/>
              </w:rPr>
              <w:t>Tips</w:t>
            </w:r>
            <w:r>
              <w:t xml:space="preserve"> must meet exactly with no light gap.</w:t>
            </w:r>
          </w:p>
          <w:p>
            <w:pPr>
              <w:pStyle w:val="BoxBody"/>
              <w:spacing w:before="20" w:after="40"/>
              <w:ind w:start="204" w:hanging="204"/>
            </w:pPr>
            <w:r>
              <w:rPr>
                <w:rFonts w:ascii="Calibri" w:hAnsi="Calibri"/>
                <w:b/>
              </w:rPr>
              <w:t xml:space="preserve">▪  </w:t>
            </w:r>
            <w:r>
              <w:rPr>
                <w:b/>
              </w:rPr>
              <w:t>Ratchet</w:t>
            </w:r>
            <w:r>
              <w:t xml:space="preserve"> must hold on the first tooth when tapped on a hard surface.</w:t>
            </w:r>
          </w:p>
          <w:p>
            <w:pPr>
              <w:pStyle w:val="BoxBody"/>
              <w:spacing w:before="20" w:after="40"/>
              <w:ind w:start="204" w:hanging="204"/>
            </w:pPr>
            <w:r>
              <w:rPr>
                <w:rFonts w:ascii="Calibri" w:hAnsi="Calibri"/>
                <w:b/>
              </w:rPr>
              <w:t xml:space="preserve">▪  </w:t>
            </w:r>
            <w:r>
              <w:rPr>
                <w:b/>
              </w:rPr>
              <w:t>Box lock</w:t>
            </w:r>
            <w:r>
              <w:t xml:space="preserve"> must have no side-to-side play.</w:t>
            </w:r>
          </w:p>
          <w:p>
            <w:pPr>
              <w:pStyle w:val="BoxBody"/>
              <w:spacing w:before="20" w:after="40"/>
              <w:ind w:start="204" w:hanging="204"/>
            </w:pPr>
            <w:r>
              <w:rPr>
                <w:rFonts w:ascii="Calibri" w:hAnsi="Calibri"/>
                <w:b/>
              </w:rPr>
              <w:t xml:space="preserve">▪  </w:t>
            </w:r>
            <w:r>
              <w:rPr>
                <w:b/>
              </w:rPr>
              <w:t>Scissors</w:t>
            </w:r>
            <w:r>
              <w:t xml:space="preserve"> must cut cleanly to the very tip (test on gauze, not paper).</w:t>
            </w:r>
          </w:p>
          <w:p>
            <w:pPr>
              <w:pStyle w:val="BoxBody"/>
              <w:spacing w:before="20" w:after="40"/>
              <w:ind w:start="204" w:hanging="204"/>
            </w:pPr>
            <w:r>
              <w:rPr>
                <w:rFonts w:ascii="Calibri" w:hAnsi="Calibri"/>
                <w:b/>
              </w:rPr>
              <w:t xml:space="preserve">▪  </w:t>
            </w:r>
            <w:r>
              <w:rPr>
                <w:b/>
              </w:rPr>
              <w:t>Needle holder</w:t>
            </w:r>
            <w:r>
              <w:t xml:space="preserve"> must grip a needle without the needle rotating.</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PARTS OF A RING-HANDLED INSTRUMENT</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Ring / bow (finger ring)</w:t>
            </w:r>
          </w:p>
        </w:tc>
        <w:tc>
          <w:tcPr>
            <w:tcW w:type="dxa" w:w="5754"/>
            <w:vAlign w:val="top"/>
            <w:tcMar>
              <w:top w:w="36" w:type="dxa"/>
              <w:start w:w="80" w:type="dxa"/>
              <w:bottom w:w="36" w:type="dxa"/>
              <w:end w:w="80" w:type="dxa"/>
            </w:tcMar>
          </w:tcPr>
          <w:p>
            <w:pPr>
              <w:pStyle w:val="TabCellSm"/>
              <w:jc w:val="left"/>
            </w:pPr>
            <w:r>
              <w:t>Takes thumb and ring finger; size must suit the operator's hand.</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Ratchet (lock)</w:t>
            </w:r>
          </w:p>
        </w:tc>
        <w:tc>
          <w:tcPr>
            <w:tcW w:type="dxa" w:w="5754"/>
            <w:shd w:val="clear" w:color="auto" w:fill="F6F6F6"/>
            <w:vAlign w:val="top"/>
            <w:tcMar>
              <w:top w:w="36" w:type="dxa"/>
              <w:start w:w="80" w:type="dxa"/>
              <w:bottom w:w="36" w:type="dxa"/>
              <w:end w:w="80" w:type="dxa"/>
            </w:tcMar>
          </w:tcPr>
          <w:p>
            <w:pPr>
              <w:pStyle w:val="TabCellSm"/>
              <w:jc w:val="left"/>
            </w:pPr>
            <w:r>
              <w:t>Interlocking teeth on the shanks that hold the jaws closed at graded tension. Usually 3–4 teeth.</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Shank</w:t>
            </w:r>
          </w:p>
        </w:tc>
        <w:tc>
          <w:tcPr>
            <w:tcW w:type="dxa" w:w="5754"/>
            <w:vAlign w:val="top"/>
            <w:tcMar>
              <w:top w:w="36" w:type="dxa"/>
              <w:start w:w="80" w:type="dxa"/>
              <w:bottom w:w="36" w:type="dxa"/>
              <w:end w:w="80" w:type="dxa"/>
            </w:tcMar>
          </w:tcPr>
          <w:p>
            <w:pPr>
              <w:pStyle w:val="TabCellSm"/>
              <w:jc w:val="left"/>
            </w:pPr>
            <w:r>
              <w:t>The arm between ring and joint. Its length determines the working depth of the instrument.</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Box lock (joint)</w:t>
            </w:r>
          </w:p>
        </w:tc>
        <w:tc>
          <w:tcPr>
            <w:tcW w:type="dxa" w:w="5754"/>
            <w:shd w:val="clear" w:color="auto" w:fill="F6F6F6"/>
            <w:vAlign w:val="top"/>
            <w:tcMar>
              <w:top w:w="36" w:type="dxa"/>
              <w:start w:w="80" w:type="dxa"/>
              <w:bottom w:w="36" w:type="dxa"/>
              <w:end w:w="80" w:type="dxa"/>
            </w:tcMar>
          </w:tcPr>
          <w:p>
            <w:pPr>
              <w:pStyle w:val="TabCellSm"/>
              <w:jc w:val="left"/>
            </w:pPr>
            <w:r>
              <w:t xml:space="preserve">The hinge. A </w:t>
            </w:r>
            <w:r>
              <w:rPr>
                <w:i/>
              </w:rPr>
              <w:t>box</w:t>
            </w:r>
            <w:r>
              <w:t xml:space="preserve"> lock (one shank passing through the other) is stronger than a screw or pin joint and is the commonest wear point.</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Jaw / blade</w:t>
            </w:r>
          </w:p>
        </w:tc>
        <w:tc>
          <w:tcPr>
            <w:tcW w:type="dxa" w:w="5754"/>
            <w:vAlign w:val="top"/>
            <w:tcMar>
              <w:top w:w="36" w:type="dxa"/>
              <w:start w:w="80" w:type="dxa"/>
              <w:bottom w:w="36" w:type="dxa"/>
              <w:end w:w="80" w:type="dxa"/>
            </w:tcMar>
          </w:tcPr>
          <w:p>
            <w:pPr>
              <w:pStyle w:val="TabCellSm"/>
              <w:jc w:val="left"/>
            </w:pPr>
            <w:r>
              <w:t>The working end. Serration pattern, curvature, teeth and fenestration define the instrument's identity.</w:t>
            </w:r>
          </w:p>
        </w:tc>
      </w:tr>
      <w:tr>
        <w:tc>
          <w:tcPr>
            <w:tcW w:type="dxa" w:w="510"/>
            <w:shd w:val="clear" w:color="auto" w:fill="F6F6F6"/>
            <w:vAlign w:val="top"/>
            <w:tcMar>
              <w:top w:w="36" w:type="dxa"/>
              <w:start w:w="80" w:type="dxa"/>
              <w:bottom w:w="36" w:type="dxa"/>
              <w:end w:w="80" w:type="dxa"/>
            </w:tcMar>
          </w:tcPr>
          <w:p>
            <w:pPr>
              <w:pStyle w:val="TabCell"/>
              <w:jc w:val="center"/>
            </w:pPr>
            <w:r>
              <w:t>6</w:t>
            </w:r>
          </w:p>
        </w:tc>
        <w:tc>
          <w:tcPr>
            <w:tcW w:type="dxa" w:w="4535"/>
            <w:shd w:val="clear" w:color="auto" w:fill="F6F6F6"/>
            <w:vAlign w:val="top"/>
            <w:tcMar>
              <w:top w:w="36" w:type="dxa"/>
              <w:start w:w="80" w:type="dxa"/>
              <w:bottom w:w="36" w:type="dxa"/>
              <w:end w:w="80" w:type="dxa"/>
            </w:tcMar>
          </w:tcPr>
          <w:p>
            <w:pPr>
              <w:pStyle w:val="TabCell"/>
              <w:jc w:val="left"/>
            </w:pPr>
            <w:r>
              <w:rPr>
                <w:b/>
              </w:rPr>
              <w:t>Tip</w:t>
            </w:r>
          </w:p>
        </w:tc>
        <w:tc>
          <w:tcPr>
            <w:tcW w:type="dxa" w:w="5754"/>
            <w:shd w:val="clear" w:color="auto" w:fill="F6F6F6"/>
            <w:vAlign w:val="top"/>
            <w:tcMar>
              <w:top w:w="36" w:type="dxa"/>
              <w:start w:w="80" w:type="dxa"/>
              <w:bottom w:w="36" w:type="dxa"/>
              <w:end w:w="80" w:type="dxa"/>
            </w:tcMar>
          </w:tcPr>
          <w:p>
            <w:pPr>
              <w:pStyle w:val="TabCellSm"/>
              <w:jc w:val="left"/>
            </w:pPr>
            <w:r>
              <w:t>The extreme end; must be in perfect apposition. Tip alignment is the key functional test.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STANDARD GRIPS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Pencil grip</w:t>
            </w:r>
          </w:p>
        </w:tc>
        <w:tc>
          <w:tcPr>
            <w:tcW w:type="dxa" w:w="5754"/>
            <w:vAlign w:val="top"/>
            <w:tcMar>
              <w:top w:w="36" w:type="dxa"/>
              <w:start w:w="80" w:type="dxa"/>
              <w:bottom w:w="36" w:type="dxa"/>
              <w:end w:w="80" w:type="dxa"/>
            </w:tcMar>
          </w:tcPr>
          <w:p>
            <w:pPr>
              <w:pStyle w:val="TabCellSm"/>
              <w:jc w:val="left"/>
            </w:pPr>
            <w:r>
              <w:t>Scalpel with No.15/No.11 blade, fine dissection, electrosurgical pencil. Maximum control, short cuts.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Palmar (table-knife) grip</w:t>
            </w:r>
          </w:p>
        </w:tc>
        <w:tc>
          <w:tcPr>
            <w:tcW w:type="dxa" w:w="5754"/>
            <w:shd w:val="clear" w:color="auto" w:fill="F6F6F6"/>
            <w:vAlign w:val="top"/>
            <w:tcMar>
              <w:top w:w="36" w:type="dxa"/>
              <w:start w:w="80" w:type="dxa"/>
              <w:bottom w:w="36" w:type="dxa"/>
              <w:end w:w="80" w:type="dxa"/>
            </w:tcMar>
          </w:tcPr>
          <w:p>
            <w:pPr>
              <w:pStyle w:val="TabCellSm"/>
              <w:jc w:val="left"/>
            </w:pPr>
            <w:r>
              <w:t>Scalpel with No.20/No.10 blade for long skin incisions; power and a single smooth stroke.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Tripod / ring grip</w:t>
            </w:r>
          </w:p>
        </w:tc>
        <w:tc>
          <w:tcPr>
            <w:tcW w:type="dxa" w:w="5754"/>
            <w:vAlign w:val="top"/>
            <w:tcMar>
              <w:top w:w="36" w:type="dxa"/>
              <w:start w:w="80" w:type="dxa"/>
              <w:bottom w:w="36" w:type="dxa"/>
              <w:end w:w="80" w:type="dxa"/>
            </w:tcMar>
          </w:tcPr>
          <w:p>
            <w:pPr>
              <w:pStyle w:val="TabCellSm"/>
              <w:jc w:val="left"/>
            </w:pPr>
            <w:r>
              <w:t>Thumb and ring finger in the bows, index finger along the shank to steady; used for all ring-handled instruments.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Thumb-forceps grip</w:t>
            </w:r>
          </w:p>
        </w:tc>
        <w:tc>
          <w:tcPr>
            <w:tcW w:type="dxa" w:w="5754"/>
            <w:shd w:val="clear" w:color="auto" w:fill="F6F6F6"/>
            <w:vAlign w:val="top"/>
            <w:tcMar>
              <w:top w:w="36" w:type="dxa"/>
              <w:start w:w="80" w:type="dxa"/>
              <w:bottom w:w="36" w:type="dxa"/>
              <w:end w:w="80" w:type="dxa"/>
            </w:tcMar>
          </w:tcPr>
          <w:p>
            <w:pPr>
              <w:pStyle w:val="TabCellSm"/>
              <w:jc w:val="left"/>
            </w:pPr>
            <w:r>
              <w:t>Held like a pen between thumb and index; the non-dominant hand's default instrument.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PASSING INSTRUMENTS (THE SCRUB PERSON'S CRAFT)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Pass decisively</w:t>
            </w:r>
          </w:p>
        </w:tc>
        <w:tc>
          <w:tcPr>
            <w:tcW w:type="dxa" w:w="5754"/>
            <w:vAlign w:val="top"/>
            <w:tcMar>
              <w:top w:w="36" w:type="dxa"/>
              <w:start w:w="80" w:type="dxa"/>
              <w:bottom w:w="36" w:type="dxa"/>
              <w:end w:w="80" w:type="dxa"/>
            </w:tcMar>
          </w:tcPr>
          <w:p>
            <w:pPr>
              <w:pStyle w:val="TabCellSm"/>
              <w:jc w:val="left"/>
            </w:pPr>
            <w:r>
              <w:t>A firm slap into the palm tells the surgeon the instrument has arrived without them looking away from the field.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Pass ready to use</w:t>
            </w:r>
          </w:p>
        </w:tc>
        <w:tc>
          <w:tcPr>
            <w:tcW w:type="dxa" w:w="5754"/>
            <w:shd w:val="clear" w:color="auto" w:fill="F6F6F6"/>
            <w:vAlign w:val="top"/>
            <w:tcMar>
              <w:top w:w="36" w:type="dxa"/>
              <w:start w:w="80" w:type="dxa"/>
              <w:bottom w:w="36" w:type="dxa"/>
              <w:end w:w="80" w:type="dxa"/>
            </w:tcMar>
          </w:tcPr>
          <w:p>
            <w:pPr>
              <w:pStyle w:val="TabCellSm"/>
              <w:jc w:val="left"/>
            </w:pPr>
            <w:r>
              <w:t>Curved jaws point in the direction of use; the handle meets the palm; the surgeon should not have to reorient it.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Pass sharps safely</w:t>
            </w:r>
          </w:p>
        </w:tc>
        <w:tc>
          <w:tcPr>
            <w:tcW w:type="dxa" w:w="5754"/>
            <w:vAlign w:val="top"/>
            <w:tcMar>
              <w:top w:w="36" w:type="dxa"/>
              <w:start w:w="80" w:type="dxa"/>
              <w:bottom w:w="36" w:type="dxa"/>
              <w:end w:w="80" w:type="dxa"/>
            </w:tcMar>
          </w:tcPr>
          <w:p>
            <w:pPr>
              <w:pStyle w:val="TabCellSm"/>
              <w:jc w:val="left"/>
            </w:pPr>
            <w:r>
              <w:t xml:space="preserve">Use a </w:t>
            </w:r>
            <w:r>
              <w:rPr>
                <w:b/>
              </w:rPr>
              <w:t>neutral / hands-free zone</w:t>
            </w:r>
            <w:r>
              <w:t xml:space="preserve"> (magnetic pad or kidney dish) for blades and needles — never hand to hand.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Anticipate</w:t>
            </w:r>
          </w:p>
        </w:tc>
        <w:tc>
          <w:tcPr>
            <w:tcW w:type="dxa" w:w="5754"/>
            <w:shd w:val="clear" w:color="auto" w:fill="F6F6F6"/>
            <w:vAlign w:val="top"/>
            <w:tcMar>
              <w:top w:w="36" w:type="dxa"/>
              <w:start w:w="80" w:type="dxa"/>
              <w:bottom w:w="36" w:type="dxa"/>
              <w:end w:w="80" w:type="dxa"/>
            </w:tcMar>
          </w:tcPr>
          <w:p>
            <w:pPr>
              <w:pStyle w:val="TabCellSm"/>
              <w:jc w:val="left"/>
            </w:pPr>
            <w:r>
              <w:t>Watch the field, not the tray; the next instrument should already be in your hand.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Keep it clean</w:t>
            </w:r>
          </w:p>
        </w:tc>
        <w:tc>
          <w:tcPr>
            <w:tcW w:type="dxa" w:w="5754"/>
            <w:vAlign w:val="top"/>
            <w:tcMar>
              <w:top w:w="36" w:type="dxa"/>
              <w:start w:w="80" w:type="dxa"/>
              <w:bottom w:w="36" w:type="dxa"/>
              <w:end w:w="80" w:type="dxa"/>
            </w:tcMar>
          </w:tcPr>
          <w:p>
            <w:pPr>
              <w:pStyle w:val="TabCellSm"/>
              <w:jc w:val="left"/>
            </w:pPr>
            <w:r>
              <w:t>Wipe blood from jaws with a damp sponge as soon as an instrument returns; dried blood is the hardest soil to remove.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529217"/>
            <wp:docPr id="5" name="Picture 5"/>
            <wp:cNvGraphicFramePr>
              <a:graphicFrameLocks noChangeAspect="1"/>
            </wp:cNvGraphicFramePr>
            <a:graphic>
              <a:graphicData uri="http://schemas.openxmlformats.org/drawingml/2006/picture">
                <pic:pic>
                  <pic:nvPicPr>
                    <pic:cNvPr id="0" name="fig_hemostat_anatomy.png"/>
                    <pic:cNvPicPr/>
                  </pic:nvPicPr>
                  <pic:blipFill>
                    <a:blip r:embed="rId15"/>
                    <a:stretch>
                      <a:fillRect/>
                    </a:stretch>
                  </pic:blipFill>
                  <pic:spPr>
                    <a:xfrm>
                      <a:off x="0" y="0"/>
                      <a:ext cx="4752000" cy="2529217"/>
                    </a:xfrm>
                    <a:prstGeom prst="rect"/>
                  </pic:spPr>
                </pic:pic>
              </a:graphicData>
            </a:graphic>
          </wp:inline>
        </w:drawing>
      </w:r>
    </w:p>
    <w:p>
      <w:pPr>
        <w:pStyle w:val="FigCaption"/>
        <w:jc w:val="center"/>
        <w:spacing w:before="40" w:after="120"/>
      </w:pPr>
      <w:r>
        <w:t>Fig 0.4 — Named parts of a ring-handled instrument</w:t>
      </w: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1920924"/>
            <wp:docPr id="6" name="Picture 6"/>
            <wp:cNvGraphicFramePr>
              <a:graphicFrameLocks noChangeAspect="1"/>
            </wp:cNvGraphicFramePr>
            <a:graphic>
              <a:graphicData uri="http://schemas.openxmlformats.org/drawingml/2006/picture">
                <pic:pic>
                  <pic:nvPicPr>
                    <pic:cNvPr id="0" name="fig_grip.png"/>
                    <pic:cNvPicPr/>
                  </pic:nvPicPr>
                  <pic:blipFill>
                    <a:blip r:embed="rId16"/>
                    <a:stretch>
                      <a:fillRect/>
                    </a:stretch>
                  </pic:blipFill>
                  <pic:spPr>
                    <a:xfrm>
                      <a:off x="0" y="0"/>
                      <a:ext cx="4752000" cy="1920924"/>
                    </a:xfrm>
                    <a:prstGeom prst="rect"/>
                  </pic:spPr>
                </pic:pic>
              </a:graphicData>
            </a:graphic>
          </wp:inline>
        </w:drawing>
      </w:r>
    </w:p>
    <w:p>
      <w:pPr>
        <w:pStyle w:val="FigCaption"/>
        <w:jc w:val="center"/>
        <w:spacing w:before="40" w:after="120"/>
      </w:pPr>
      <w:r>
        <w:t>Fig 0.5 — The three standard grips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box lock</w:t>
            </w:r>
            <w:r>
              <w:t xml:space="preserve"> is the commonest site of wear and of retained soil — it must be cleaned open and lubricated.</w:t>
            </w:r>
          </w:p>
          <w:p>
            <w:pPr>
              <w:pStyle w:val="BoxBody"/>
              <w:spacing w:before="20" w:after="40"/>
              <w:ind w:start="204" w:hanging="204"/>
            </w:pPr>
            <w:r>
              <w:rPr>
                <w:rFonts w:ascii="Calibri" w:hAnsi="Calibri"/>
                <w:b/>
              </w:rPr>
              <w:t xml:space="preserve">▪  </w:t>
            </w:r>
            <w:r>
              <w:t xml:space="preserve">A ratchet that springs open when tapped is </w:t>
            </w:r>
            <w:r>
              <w:rPr>
                <w:b/>
              </w:rPr>
              <w:t>condemned</w:t>
            </w:r>
            <w:r>
              <w:t>, not repaired at ward level.</w:t>
            </w:r>
          </w:p>
          <w:p>
            <w:pPr>
              <w:pStyle w:val="BoxBody"/>
              <w:spacing w:before="20" w:after="40"/>
              <w:ind w:start="204" w:hanging="204"/>
            </w:pPr>
            <w:r>
              <w:rPr>
                <w:rFonts w:ascii="Calibri" w:hAnsi="Calibri"/>
                <w:b/>
              </w:rPr>
              <w:t xml:space="preserve">▪  </w:t>
            </w:r>
            <w:r>
              <w:t xml:space="preserve">Instruments are sterilised with jaws </w:t>
            </w:r>
            <w:r>
              <w:rPr>
                <w:b/>
              </w:rPr>
              <w:t>open</w:t>
            </w:r>
            <w:r>
              <w:t xml:space="preserve"> (unlocked) — a locked ratchet prevents steam reaching the joint surfaces.</w:t>
            </w:r>
          </w:p>
          <w:p>
            <w:pPr>
              <w:pStyle w:val="BoxBody"/>
              <w:spacing w:before="20" w:after="40"/>
              <w:ind w:start="204" w:hanging="204"/>
            </w:pPr>
            <w:r>
              <w:rPr>
                <w:rFonts w:ascii="Calibri" w:hAnsi="Calibri"/>
                <w:b/>
              </w:rPr>
              <w:t xml:space="preserve">▪  </w:t>
            </w:r>
            <w:r>
              <w:t xml:space="preserve">Curved instruments are passed with the </w:t>
            </w:r>
            <w:r>
              <w:rPr>
                <w:b/>
              </w:rPr>
              <w:t>curve pointing the way the surgeon will work</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Draw and label the parts of an artery forceps.</w:t>
      </w:r>
    </w:p>
    <w:p>
      <w:pPr>
        <w:pStyle w:val="QBank"/>
        <w:spacing w:before="0" w:after="100"/>
        <w:ind w:start="595" w:hanging="283"/>
      </w:pPr>
      <w:r>
        <w:rPr>
          <w:rFonts w:ascii="Calibri" w:hAnsi="Calibri"/>
          <w:b/>
        </w:rPr>
        <w:t xml:space="preserve">A.  </w:t>
      </w:r>
      <w:r>
        <w:t>Ring/bow, ratchet, shank, box lock (joint), jaw, tip — see Fig 0.4.</w:t>
      </w:r>
    </w:p>
    <w:p>
      <w:pPr>
        <w:spacing w:before="80" w:after="20"/>
        <w:ind w:start="311" w:hanging="311"/>
        <w:keepLines/>
        <w:keepNext/>
      </w:pPr>
      <w:r>
        <w:rPr>
          <w:rFonts w:ascii="Calibri" w:hAnsi="Calibri"/>
          <w:b/>
          <w:sz w:val="19"/>
        </w:rPr>
        <w:t xml:space="preserve">Q2.  </w:t>
      </w:r>
      <w:r>
        <w:rPr>
          <w:b/>
          <w:sz w:val="19"/>
        </w:rPr>
        <w:t>Why are ring-handled instruments sterilised in the open position?</w:t>
      </w:r>
    </w:p>
    <w:p>
      <w:pPr>
        <w:pStyle w:val="QBank"/>
        <w:spacing w:before="0" w:after="100"/>
        <w:ind w:start="595" w:hanging="283"/>
      </w:pPr>
      <w:r>
        <w:rPr>
          <w:rFonts w:ascii="Calibri" w:hAnsi="Calibri"/>
          <w:b/>
        </w:rPr>
        <w:t xml:space="preserve">A.  </w:t>
      </w:r>
      <w:r>
        <w:t>A closed ratchet shields the box-lock and jaw surfaces from steam contact, so sterilisation cannot be assured; it also stresses the joint.</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7" w:name="tray_0_4"/>
      <w:r>
        <w:rPr>
          <w:rFonts w:ascii="Calibri" w:hAnsi="Calibri"/>
          <w:b/>
          <w:color w:val="666666"/>
          <w:sz w:val="29"/>
        </w:rPr>
        <w:t xml:space="preserve">0.4   </w:t>
      </w:r>
      <w:r>
        <w:rPr>
          <w:rFonts w:ascii="Calibri" w:hAnsi="Calibri"/>
          <w:b/>
          <w:sz w:val="29"/>
        </w:rPr>
        <w:t>Principles of Tray Preparation</w:t>
      </w:r>
      <w:bookmarkEnd w:id="1007"/>
    </w:p>
    <w:p>
      <w:pPr>
        <w:spacing w:before="60" w:after="100"/>
      </w:pPr>
      <w:r>
        <w:rPr>
          <w:rFonts w:ascii="Calibri" w:hAnsi="Calibri"/>
          <w:b/>
          <w:caps/>
          <w:color w:val="555555"/>
          <w:sz w:val="17"/>
        </w:rPr>
        <w:t xml:space="preserve">Also called:  </w:t>
      </w:r>
      <w:r>
        <w:rPr>
          <w:i/>
          <w:color w:val="333333"/>
          <w:sz w:val="18"/>
        </w:rPr>
        <w:t>Rules that govern the assembly of every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Tray preparation is governed by a small number of principles that apply equally to a 6-item limited tray and a 120-item cardiac set. Answer any 'principles of tray preparation' question with this list, then illustrate it with the specific tray you have been asked about.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7" name="Picture 7"/>
                  <wp:cNvGraphicFramePr>
                    <a:graphicFrameLocks noChangeAspect="1"/>
                  </wp:cNvGraphicFramePr>
                  <a:graphic>
                    <a:graphicData uri="http://schemas.openxmlformats.org/drawingml/2006/picture">
                      <pic:pic>
                        <pic:nvPicPr>
                          <pic:cNvPr id="0" name="plate_0_4.png"/>
                          <pic:cNvPicPr/>
                        </pic:nvPicPr>
                        <pic:blipFill>
                          <a:blip r:embed="rId17"/>
                          <a:stretch>
                            <a:fillRect/>
                          </a:stretch>
                        </pic:blipFill>
                        <pic:spPr>
                          <a:xfrm>
                            <a:off x="0" y="0"/>
                            <a:ext cx="2286000" cy="1403604"/>
                          </a:xfrm>
                          <a:prstGeom prst="rect"/>
                        </pic:spPr>
                      </pic:pic>
                    </a:graphicData>
                  </a:graphic>
                </wp:inline>
              </w:drawing>
            </w:r>
          </w:p>
          <w:p>
            <w:pPr>
              <w:pStyle w:val="FigCaption"/>
              <w:jc w:val="center"/>
              <w:spacing w:before="40" w:after="120"/>
            </w:pPr>
            <w:r>
              <w:t>Fig 0.8 — Assemble downward in weight, upward in delicacy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Reject an item at inspection if…</w:t>
            </w:r>
          </w:p>
          <w:p>
            <w:pPr>
              <w:pStyle w:val="BoxBody"/>
              <w:spacing w:before="20" w:after="40"/>
              <w:ind w:start="204" w:hanging="204"/>
            </w:pPr>
            <w:r>
              <w:rPr>
                <w:rFonts w:ascii="Calibri" w:hAnsi="Calibri"/>
                <w:b/>
              </w:rPr>
              <w:t xml:space="preserve">▪  </w:t>
            </w:r>
            <w:r>
              <w:t>Tips do not meet, or overlap</w:t>
            </w:r>
          </w:p>
          <w:p>
            <w:pPr>
              <w:pStyle w:val="BoxBody"/>
              <w:spacing w:before="20" w:after="40"/>
              <w:ind w:start="204" w:hanging="204"/>
            </w:pPr>
            <w:r>
              <w:rPr>
                <w:rFonts w:ascii="Calibri" w:hAnsi="Calibri"/>
                <w:b/>
              </w:rPr>
              <w:t xml:space="preserve">▪  </w:t>
            </w:r>
            <w:r>
              <w:t>Ratchet springs open on tapping</w:t>
            </w:r>
          </w:p>
          <w:p>
            <w:pPr>
              <w:pStyle w:val="BoxBody"/>
              <w:spacing w:before="20" w:after="40"/>
              <w:ind w:start="204" w:hanging="204"/>
            </w:pPr>
            <w:r>
              <w:rPr>
                <w:rFonts w:ascii="Calibri" w:hAnsi="Calibri"/>
                <w:b/>
              </w:rPr>
              <w:t xml:space="preserve">▪  </w:t>
            </w:r>
            <w:r>
              <w:t>Box lock is loose or gritty</w:t>
            </w:r>
          </w:p>
          <w:p>
            <w:pPr>
              <w:pStyle w:val="BoxBody"/>
              <w:spacing w:before="20" w:after="40"/>
              <w:ind w:start="204" w:hanging="204"/>
            </w:pPr>
            <w:r>
              <w:rPr>
                <w:rFonts w:ascii="Calibri" w:hAnsi="Calibri"/>
                <w:b/>
              </w:rPr>
              <w:t xml:space="preserve">▪  </w:t>
            </w:r>
            <w:r>
              <w:t>Scissors chew instead of cutting</w:t>
            </w:r>
          </w:p>
          <w:p>
            <w:pPr>
              <w:pStyle w:val="BoxBody"/>
              <w:spacing w:before="20" w:after="40"/>
              <w:ind w:start="204" w:hanging="204"/>
            </w:pPr>
            <w:r>
              <w:rPr>
                <w:rFonts w:ascii="Calibri" w:hAnsi="Calibri"/>
                <w:b/>
              </w:rPr>
              <w:t xml:space="preserve">▪  </w:t>
            </w:r>
            <w:r>
              <w:t>Any crack, pit, rust, chip or burr</w:t>
            </w:r>
          </w:p>
          <w:p>
            <w:pPr>
              <w:pStyle w:val="BoxBody"/>
              <w:spacing w:before="20" w:after="40"/>
              <w:ind w:start="204" w:hanging="204"/>
            </w:pPr>
            <w:r>
              <w:rPr>
                <w:rFonts w:ascii="Calibri" w:hAnsi="Calibri"/>
                <w:b/>
              </w:rPr>
              <w:t xml:space="preserve">▪  </w:t>
            </w:r>
            <w:r>
              <w:t>Illegible or missing identification</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 · SELECTION PRINCIPLES</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Match the tray to the procedure</w:t>
            </w:r>
          </w:p>
        </w:tc>
        <w:tc>
          <w:tcPr>
            <w:tcW w:type="dxa" w:w="5754"/>
            <w:vAlign w:val="top"/>
            <w:tcMar>
              <w:top w:w="36" w:type="dxa"/>
              <w:start w:w="80" w:type="dxa"/>
              <w:bottom w:w="36" w:type="dxa"/>
              <w:end w:w="80" w:type="dxa"/>
            </w:tcMar>
          </w:tcPr>
          <w:p>
            <w:pPr>
              <w:pStyle w:val="TabCellSm"/>
              <w:jc w:val="left"/>
            </w:pPr>
            <w:r>
              <w:t xml:space="preserve">Include what is </w:t>
            </w:r>
            <w:r>
              <w:rPr>
                <w:i/>
              </w:rPr>
              <w:t>routinely</w:t>
            </w:r>
            <w:r>
              <w:t xml:space="preserve"> needed. Rarely used items are kept as separate add-on packs, not carried in every set.</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Satisfy all six functional groups</w:t>
            </w:r>
          </w:p>
        </w:tc>
        <w:tc>
          <w:tcPr>
            <w:tcW w:type="dxa" w:w="5754"/>
            <w:shd w:val="clear" w:color="auto" w:fill="F6F6F6"/>
            <w:vAlign w:val="top"/>
            <w:tcMar>
              <w:top w:w="36" w:type="dxa"/>
              <w:start w:w="80" w:type="dxa"/>
              <w:bottom w:w="36" w:type="dxa"/>
              <w:end w:w="80" w:type="dxa"/>
            </w:tcMar>
          </w:tcPr>
          <w:p>
            <w:pPr>
              <w:pStyle w:val="TabCellSm"/>
              <w:jc w:val="left"/>
            </w:pPr>
            <w:r>
              <w:t>Cut, grasp, clamp, expose, stitch, suck — a gap in any group makes the tray unusable.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Match length to depth</w:t>
            </w:r>
          </w:p>
        </w:tc>
        <w:tc>
          <w:tcPr>
            <w:tcW w:type="dxa" w:w="5754"/>
            <w:vAlign w:val="top"/>
            <w:tcMar>
              <w:top w:w="36" w:type="dxa"/>
              <w:start w:w="80" w:type="dxa"/>
              <w:bottom w:w="36" w:type="dxa"/>
              <w:end w:w="80" w:type="dxa"/>
            </w:tcMar>
          </w:tcPr>
          <w:p>
            <w:pPr>
              <w:pStyle w:val="TabCellSm"/>
              <w:jc w:val="left"/>
            </w:pPr>
            <w:r>
              <w:t xml:space="preserve">The deeper the cavity, the longer the instrument; hence a dedicated </w:t>
            </w:r>
            <w:r>
              <w:rPr>
                <w:b/>
              </w:rPr>
              <w:t>long instruments tray</w:t>
            </w:r>
            <w:r>
              <w:t xml:space="preserve"> for obese or deep pelvic work.</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Match delicacy to tissue</w:t>
            </w:r>
          </w:p>
        </w:tc>
        <w:tc>
          <w:tcPr>
            <w:tcW w:type="dxa" w:w="5754"/>
            <w:shd w:val="clear" w:color="auto" w:fill="F6F6F6"/>
            <w:vAlign w:val="top"/>
            <w:tcMar>
              <w:top w:w="36" w:type="dxa"/>
              <w:start w:w="80" w:type="dxa"/>
              <w:bottom w:w="36" w:type="dxa"/>
              <w:end w:w="80" w:type="dxa"/>
            </w:tcMar>
          </w:tcPr>
          <w:p>
            <w:pPr>
              <w:pStyle w:val="TabCellSm"/>
              <w:jc w:val="left"/>
            </w:pPr>
            <w:r>
              <w:t>Atraumatic instruments for bowel, vessel and duct; heavy toothed instruments only on tissue to be discarded.</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Standardise and document</w:t>
            </w:r>
          </w:p>
        </w:tc>
        <w:tc>
          <w:tcPr>
            <w:tcW w:type="dxa" w:w="5754"/>
            <w:vAlign w:val="top"/>
            <w:tcMar>
              <w:top w:w="36" w:type="dxa"/>
              <w:start w:w="80" w:type="dxa"/>
              <w:bottom w:w="36" w:type="dxa"/>
              <w:end w:w="80" w:type="dxa"/>
            </w:tcMar>
          </w:tcPr>
          <w:p>
            <w:pPr>
              <w:pStyle w:val="TabCellSm"/>
              <w:jc w:val="left"/>
            </w:pPr>
            <w:r>
              <w:t>One agreed count sheet per tray, reviewed periodically with the surgical team; no informal substitutions.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 · ASSEMBLY PRINCIPLES</w:t>
            </w:r>
          </w:p>
        </w:tc>
      </w:tr>
      <w:tr>
        <w:tc>
          <w:tcPr>
            <w:tcW w:type="dxa" w:w="510"/>
            <w:vAlign w:val="top"/>
            <w:tcMar>
              <w:top w:w="36" w:type="dxa"/>
              <w:start w:w="80" w:type="dxa"/>
              <w:bottom w:w="36" w:type="dxa"/>
              <w:end w:w="80" w:type="dxa"/>
            </w:tcMar>
          </w:tcPr>
          <w:p>
            <w:pPr>
              <w:pStyle w:val="TabCell"/>
              <w:jc w:val="center"/>
            </w:pPr>
            <w:r>
              <w:t>6</w:t>
            </w:r>
          </w:p>
        </w:tc>
        <w:tc>
          <w:tcPr>
            <w:tcW w:type="dxa" w:w="4535"/>
            <w:vAlign w:val="top"/>
            <w:tcMar>
              <w:top w:w="36" w:type="dxa"/>
              <w:start w:w="80" w:type="dxa"/>
              <w:bottom w:w="36" w:type="dxa"/>
              <w:end w:w="80" w:type="dxa"/>
            </w:tcMar>
          </w:tcPr>
          <w:p>
            <w:pPr>
              <w:pStyle w:val="TabCell"/>
              <w:jc w:val="left"/>
            </w:pPr>
            <w:r>
              <w:rPr>
                <w:b/>
              </w:rPr>
              <w:t>Clean and dry before assembly</w:t>
            </w:r>
          </w:p>
        </w:tc>
        <w:tc>
          <w:tcPr>
            <w:tcW w:type="dxa" w:w="5754"/>
            <w:vAlign w:val="top"/>
            <w:tcMar>
              <w:top w:w="36" w:type="dxa"/>
              <w:start w:w="80" w:type="dxa"/>
              <w:bottom w:w="36" w:type="dxa"/>
              <w:end w:w="80" w:type="dxa"/>
            </w:tcMar>
          </w:tcPr>
          <w:p>
            <w:pPr>
              <w:pStyle w:val="TabCellSm"/>
              <w:jc w:val="left"/>
            </w:pPr>
            <w:r>
              <w:t>No item enters a tray until it is decontaminated, inspected, functional and dry.</w:t>
            </w:r>
          </w:p>
        </w:tc>
      </w:tr>
      <w:tr>
        <w:tc>
          <w:tcPr>
            <w:tcW w:type="dxa" w:w="510"/>
            <w:shd w:val="clear" w:color="auto" w:fill="F6F6F6"/>
            <w:vAlign w:val="top"/>
            <w:tcMar>
              <w:top w:w="36" w:type="dxa"/>
              <w:start w:w="80" w:type="dxa"/>
              <w:bottom w:w="36" w:type="dxa"/>
              <w:end w:w="80" w:type="dxa"/>
            </w:tcMar>
          </w:tcPr>
          <w:p>
            <w:pPr>
              <w:pStyle w:val="TabCell"/>
              <w:jc w:val="center"/>
            </w:pPr>
            <w:r>
              <w:t>7</w:t>
            </w:r>
          </w:p>
        </w:tc>
        <w:tc>
          <w:tcPr>
            <w:tcW w:type="dxa" w:w="4535"/>
            <w:shd w:val="clear" w:color="auto" w:fill="F6F6F6"/>
            <w:vAlign w:val="top"/>
            <w:tcMar>
              <w:top w:w="36" w:type="dxa"/>
              <w:start w:w="80" w:type="dxa"/>
              <w:bottom w:w="36" w:type="dxa"/>
              <w:end w:w="80" w:type="dxa"/>
            </w:tcMar>
          </w:tcPr>
          <w:p>
            <w:pPr>
              <w:pStyle w:val="TabCell"/>
              <w:jc w:val="left"/>
            </w:pPr>
            <w:r>
              <w:rPr>
                <w:b/>
              </w:rPr>
              <w:t>Heaviest at the bottom</w:t>
            </w:r>
          </w:p>
        </w:tc>
        <w:tc>
          <w:tcPr>
            <w:tcW w:type="dxa" w:w="5754"/>
            <w:shd w:val="clear" w:color="auto" w:fill="F6F6F6"/>
            <w:vAlign w:val="top"/>
            <w:tcMar>
              <w:top w:w="36" w:type="dxa"/>
              <w:start w:w="80" w:type="dxa"/>
              <w:bottom w:w="36" w:type="dxa"/>
              <w:end w:w="80" w:type="dxa"/>
            </w:tcMar>
          </w:tcPr>
          <w:p>
            <w:pPr>
              <w:pStyle w:val="TabCellSm"/>
              <w:jc w:val="left"/>
            </w:pPr>
            <w:r>
              <w:t>Retractors and bone instruments form the base; delicate items rest on top, never underneath.</w:t>
            </w:r>
          </w:p>
        </w:tc>
      </w:tr>
      <w:tr>
        <w:tc>
          <w:tcPr>
            <w:tcW w:type="dxa" w:w="510"/>
            <w:vAlign w:val="top"/>
            <w:tcMar>
              <w:top w:w="36" w:type="dxa"/>
              <w:start w:w="80" w:type="dxa"/>
              <w:bottom w:w="36" w:type="dxa"/>
              <w:end w:w="80" w:type="dxa"/>
            </w:tcMar>
          </w:tcPr>
          <w:p>
            <w:pPr>
              <w:pStyle w:val="TabCell"/>
              <w:jc w:val="center"/>
            </w:pPr>
            <w:r>
              <w:t>8</w:t>
            </w:r>
          </w:p>
        </w:tc>
        <w:tc>
          <w:tcPr>
            <w:tcW w:type="dxa" w:w="4535"/>
            <w:vAlign w:val="top"/>
            <w:tcMar>
              <w:top w:w="36" w:type="dxa"/>
              <w:start w:w="80" w:type="dxa"/>
              <w:bottom w:w="36" w:type="dxa"/>
              <w:end w:w="80" w:type="dxa"/>
            </w:tcMar>
          </w:tcPr>
          <w:p>
            <w:pPr>
              <w:pStyle w:val="TabCell"/>
              <w:jc w:val="left"/>
            </w:pPr>
            <w:r>
              <w:rPr>
                <w:b/>
              </w:rPr>
              <w:t>Jaws open, ratchets unlocked</w:t>
            </w:r>
          </w:p>
        </w:tc>
        <w:tc>
          <w:tcPr>
            <w:tcW w:type="dxa" w:w="5754"/>
            <w:vAlign w:val="top"/>
            <w:tcMar>
              <w:top w:w="36" w:type="dxa"/>
              <w:start w:w="80" w:type="dxa"/>
              <w:bottom w:w="36" w:type="dxa"/>
              <w:end w:w="80" w:type="dxa"/>
            </w:tcMar>
          </w:tcPr>
          <w:p>
            <w:pPr>
              <w:pStyle w:val="TabCellSm"/>
              <w:jc w:val="left"/>
            </w:pPr>
            <w:r>
              <w:t>Thread ring-handled instruments on a stringer/rack in the open position, in a fixed order.</w:t>
            </w:r>
          </w:p>
        </w:tc>
      </w:tr>
      <w:tr>
        <w:tc>
          <w:tcPr>
            <w:tcW w:type="dxa" w:w="510"/>
            <w:shd w:val="clear" w:color="auto" w:fill="F6F6F6"/>
            <w:vAlign w:val="top"/>
            <w:tcMar>
              <w:top w:w="36" w:type="dxa"/>
              <w:start w:w="80" w:type="dxa"/>
              <w:bottom w:w="36" w:type="dxa"/>
              <w:end w:w="80" w:type="dxa"/>
            </w:tcMar>
          </w:tcPr>
          <w:p>
            <w:pPr>
              <w:pStyle w:val="TabCell"/>
              <w:jc w:val="center"/>
            </w:pPr>
            <w:r>
              <w:t>9</w:t>
            </w:r>
          </w:p>
        </w:tc>
        <w:tc>
          <w:tcPr>
            <w:tcW w:type="dxa" w:w="4535"/>
            <w:shd w:val="clear" w:color="auto" w:fill="F6F6F6"/>
            <w:vAlign w:val="top"/>
            <w:tcMar>
              <w:top w:w="36" w:type="dxa"/>
              <w:start w:w="80" w:type="dxa"/>
              <w:bottom w:w="36" w:type="dxa"/>
              <w:end w:w="80" w:type="dxa"/>
            </w:tcMar>
          </w:tcPr>
          <w:p>
            <w:pPr>
              <w:pStyle w:val="TabCell"/>
              <w:jc w:val="left"/>
            </w:pPr>
            <w:r>
              <w:rPr>
                <w:b/>
              </w:rPr>
              <w:t>Protect the vulnerable</w:t>
            </w:r>
          </w:p>
        </w:tc>
        <w:tc>
          <w:tcPr>
            <w:tcW w:type="dxa" w:w="5754"/>
            <w:shd w:val="clear" w:color="auto" w:fill="F6F6F6"/>
            <w:vAlign w:val="top"/>
            <w:tcMar>
              <w:top w:w="36" w:type="dxa"/>
              <w:start w:w="80" w:type="dxa"/>
              <w:bottom w:w="36" w:type="dxa"/>
              <w:end w:w="80" w:type="dxa"/>
            </w:tcMar>
          </w:tcPr>
          <w:p>
            <w:pPr>
              <w:pStyle w:val="TabCellSm"/>
              <w:jc w:val="left"/>
            </w:pPr>
            <w:r>
              <w:t>Tip guards on microsurgical, ophthalmic and vascular tips; delicate items in a foam-lined inner tray.</w:t>
            </w:r>
          </w:p>
        </w:tc>
      </w:tr>
      <w:tr>
        <w:tc>
          <w:tcPr>
            <w:tcW w:type="dxa" w:w="510"/>
            <w:vAlign w:val="top"/>
            <w:tcMar>
              <w:top w:w="36" w:type="dxa"/>
              <w:start w:w="80" w:type="dxa"/>
              <w:bottom w:w="36" w:type="dxa"/>
              <w:end w:w="80" w:type="dxa"/>
            </w:tcMar>
          </w:tcPr>
          <w:p>
            <w:pPr>
              <w:pStyle w:val="TabCell"/>
              <w:jc w:val="center"/>
            </w:pPr>
            <w:r>
              <w:t>10</w:t>
            </w:r>
          </w:p>
        </w:tc>
        <w:tc>
          <w:tcPr>
            <w:tcW w:type="dxa" w:w="4535"/>
            <w:vAlign w:val="top"/>
            <w:tcMar>
              <w:top w:w="36" w:type="dxa"/>
              <w:start w:w="80" w:type="dxa"/>
              <w:bottom w:w="36" w:type="dxa"/>
              <w:end w:w="80" w:type="dxa"/>
            </w:tcMar>
          </w:tcPr>
          <w:p>
            <w:pPr>
              <w:pStyle w:val="TabCell"/>
              <w:jc w:val="left"/>
            </w:pPr>
            <w:r>
              <w:rPr>
                <w:b/>
              </w:rPr>
              <w:t>Allow steam to reach every surface</w:t>
            </w:r>
          </w:p>
        </w:tc>
        <w:tc>
          <w:tcPr>
            <w:tcW w:type="dxa" w:w="5754"/>
            <w:vAlign w:val="top"/>
            <w:tcMar>
              <w:top w:w="36" w:type="dxa"/>
              <w:start w:w="80" w:type="dxa"/>
              <w:bottom w:w="36" w:type="dxa"/>
              <w:end w:w="80" w:type="dxa"/>
            </w:tcMar>
          </w:tcPr>
          <w:p>
            <w:pPr>
              <w:pStyle w:val="TabCellSm"/>
              <w:jc w:val="left"/>
            </w:pPr>
            <w:r>
              <w:t>Perforated base; concave items on edge or inverted; disassemble multi-part instruments; open all stopcocks.</w:t>
            </w:r>
          </w:p>
        </w:tc>
      </w:tr>
      <w:tr>
        <w:tc>
          <w:tcPr>
            <w:tcW w:type="dxa" w:w="510"/>
            <w:shd w:val="clear" w:color="auto" w:fill="F6F6F6"/>
            <w:vAlign w:val="top"/>
            <w:tcMar>
              <w:top w:w="36" w:type="dxa"/>
              <w:start w:w="80" w:type="dxa"/>
              <w:bottom w:w="36" w:type="dxa"/>
              <w:end w:w="80" w:type="dxa"/>
            </w:tcMar>
          </w:tcPr>
          <w:p>
            <w:pPr>
              <w:pStyle w:val="TabCell"/>
              <w:jc w:val="center"/>
            </w:pPr>
            <w:r>
              <w:t>11</w:t>
            </w:r>
          </w:p>
        </w:tc>
        <w:tc>
          <w:tcPr>
            <w:tcW w:type="dxa" w:w="4535"/>
            <w:shd w:val="clear" w:color="auto" w:fill="F6F6F6"/>
            <w:vAlign w:val="top"/>
            <w:tcMar>
              <w:top w:w="36" w:type="dxa"/>
              <w:start w:w="80" w:type="dxa"/>
              <w:bottom w:w="36" w:type="dxa"/>
              <w:end w:w="80" w:type="dxa"/>
            </w:tcMar>
          </w:tcPr>
          <w:p>
            <w:pPr>
              <w:pStyle w:val="TabCell"/>
              <w:jc w:val="left"/>
            </w:pPr>
            <w:r>
              <w:rPr>
                <w:b/>
              </w:rPr>
              <w:t>Respect the mass limit</w:t>
            </w:r>
          </w:p>
        </w:tc>
        <w:tc>
          <w:tcPr>
            <w:tcW w:type="dxa" w:w="5754"/>
            <w:shd w:val="clear" w:color="auto" w:fill="F6F6F6"/>
            <w:vAlign w:val="top"/>
            <w:tcMar>
              <w:top w:w="36" w:type="dxa"/>
              <w:start w:w="80" w:type="dxa"/>
              <w:bottom w:w="36" w:type="dxa"/>
              <w:end w:w="80" w:type="dxa"/>
            </w:tcMar>
          </w:tcPr>
          <w:p>
            <w:pPr>
              <w:pStyle w:val="TabCellSm"/>
              <w:jc w:val="left"/>
            </w:pPr>
            <w:r>
              <w:t xml:space="preserve">A wrapped instrument set should not exceed about </w:t>
            </w:r>
            <w:r>
              <w:rPr>
                <w:b/>
              </w:rPr>
              <w:t>11 kg (25 lb)</w:t>
            </w:r>
            <w:r>
              <w:t xml:space="preserve"> — heavier sets trap condensate and come out wet.</w:t>
            </w:r>
          </w:p>
        </w:tc>
      </w:tr>
      <w:tr>
        <w:tc>
          <w:tcPr>
            <w:tcW w:type="dxa" w:w="510"/>
            <w:vAlign w:val="top"/>
            <w:tcMar>
              <w:top w:w="36" w:type="dxa"/>
              <w:start w:w="80" w:type="dxa"/>
              <w:bottom w:w="36" w:type="dxa"/>
              <w:end w:w="80" w:type="dxa"/>
            </w:tcMar>
          </w:tcPr>
          <w:p>
            <w:pPr>
              <w:pStyle w:val="TabCell"/>
              <w:jc w:val="center"/>
            </w:pPr>
            <w:r>
              <w:t>12</w:t>
            </w:r>
          </w:p>
        </w:tc>
        <w:tc>
          <w:tcPr>
            <w:tcW w:type="dxa" w:w="4535"/>
            <w:vAlign w:val="top"/>
            <w:tcMar>
              <w:top w:w="36" w:type="dxa"/>
              <w:start w:w="80" w:type="dxa"/>
              <w:bottom w:w="36" w:type="dxa"/>
              <w:end w:w="80" w:type="dxa"/>
            </w:tcMar>
          </w:tcPr>
          <w:p>
            <w:pPr>
              <w:pStyle w:val="TabCell"/>
              <w:jc w:val="left"/>
            </w:pPr>
            <w:r>
              <w:rPr>
                <w:b/>
              </w:rPr>
              <w:t>Indicators inside and outside</w:t>
            </w:r>
          </w:p>
        </w:tc>
        <w:tc>
          <w:tcPr>
            <w:tcW w:type="dxa" w:w="5754"/>
            <w:vAlign w:val="top"/>
            <w:tcMar>
              <w:top w:w="36" w:type="dxa"/>
              <w:start w:w="80" w:type="dxa"/>
              <w:bottom w:w="36" w:type="dxa"/>
              <w:end w:w="80" w:type="dxa"/>
            </w:tcMar>
          </w:tcPr>
          <w:p>
            <w:pPr>
              <w:pStyle w:val="TabCellSm"/>
              <w:jc w:val="left"/>
            </w:pPr>
            <w:r>
              <w:t xml:space="preserve">A chemical indicator </w:t>
            </w:r>
            <w:r>
              <w:rPr>
                <w:b/>
              </w:rPr>
              <w:t>inside</w:t>
            </w:r>
            <w:r>
              <w:t xml:space="preserve"> the pack and indicator tape </w:t>
            </w:r>
            <w:r>
              <w:rPr>
                <w:b/>
              </w:rPr>
              <w:t>outside</w:t>
            </w:r>
            <w:r>
              <w:t>; include the count sheet.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 · DOCUMENTATION AND TRACEABILITY</w:t>
            </w:r>
          </w:p>
        </w:tc>
      </w:tr>
      <w:tr>
        <w:tc>
          <w:tcPr>
            <w:tcW w:type="dxa" w:w="510"/>
            <w:vAlign w:val="top"/>
            <w:tcMar>
              <w:top w:w="36" w:type="dxa"/>
              <w:start w:w="80" w:type="dxa"/>
              <w:bottom w:w="36" w:type="dxa"/>
              <w:end w:w="80" w:type="dxa"/>
            </w:tcMar>
          </w:tcPr>
          <w:p>
            <w:pPr>
              <w:pStyle w:val="TabCell"/>
              <w:jc w:val="center"/>
            </w:pPr>
            <w:r>
              <w:t>13</w:t>
            </w:r>
          </w:p>
        </w:tc>
        <w:tc>
          <w:tcPr>
            <w:tcW w:type="dxa" w:w="4535"/>
            <w:vAlign w:val="top"/>
            <w:tcMar>
              <w:top w:w="36" w:type="dxa"/>
              <w:start w:w="80" w:type="dxa"/>
              <w:bottom w:w="36" w:type="dxa"/>
              <w:end w:w="80" w:type="dxa"/>
            </w:tcMar>
          </w:tcPr>
          <w:p>
            <w:pPr>
              <w:pStyle w:val="TabCell"/>
              <w:jc w:val="left"/>
            </w:pPr>
            <w:r>
              <w:rPr>
                <w:b/>
              </w:rPr>
              <w:t>Label every pack</w:t>
            </w:r>
          </w:p>
        </w:tc>
        <w:tc>
          <w:tcPr>
            <w:tcW w:type="dxa" w:w="5754"/>
            <w:vAlign w:val="top"/>
            <w:tcMar>
              <w:top w:w="36" w:type="dxa"/>
              <w:start w:w="80" w:type="dxa"/>
              <w:bottom w:w="36" w:type="dxa"/>
              <w:end w:w="80" w:type="dxa"/>
            </w:tcMar>
          </w:tcPr>
          <w:p>
            <w:pPr>
              <w:pStyle w:val="TabCellSm"/>
              <w:jc w:val="left"/>
            </w:pPr>
            <w:r>
              <w:t>Set name, contents/count sheet, date processed, sterilizer and cycle/load number, operator initials.</w:t>
            </w:r>
          </w:p>
        </w:tc>
      </w:tr>
      <w:tr>
        <w:tc>
          <w:tcPr>
            <w:tcW w:type="dxa" w:w="510"/>
            <w:shd w:val="clear" w:color="auto" w:fill="F6F6F6"/>
            <w:vAlign w:val="top"/>
            <w:tcMar>
              <w:top w:w="36" w:type="dxa"/>
              <w:start w:w="80" w:type="dxa"/>
              <w:bottom w:w="36" w:type="dxa"/>
              <w:end w:w="80" w:type="dxa"/>
            </w:tcMar>
          </w:tcPr>
          <w:p>
            <w:pPr>
              <w:pStyle w:val="TabCell"/>
              <w:jc w:val="center"/>
            </w:pPr>
            <w:r>
              <w:t>14</w:t>
            </w:r>
          </w:p>
        </w:tc>
        <w:tc>
          <w:tcPr>
            <w:tcW w:type="dxa" w:w="4535"/>
            <w:shd w:val="clear" w:color="auto" w:fill="F6F6F6"/>
            <w:vAlign w:val="top"/>
            <w:tcMar>
              <w:top w:w="36" w:type="dxa"/>
              <w:start w:w="80" w:type="dxa"/>
              <w:bottom w:w="36" w:type="dxa"/>
              <w:end w:w="80" w:type="dxa"/>
            </w:tcMar>
          </w:tcPr>
          <w:p>
            <w:pPr>
              <w:pStyle w:val="TabCell"/>
              <w:jc w:val="left"/>
            </w:pPr>
            <w:r>
              <w:rPr>
                <w:b/>
              </w:rPr>
              <w:t>Enable recall</w:t>
            </w:r>
          </w:p>
        </w:tc>
        <w:tc>
          <w:tcPr>
            <w:tcW w:type="dxa" w:w="5754"/>
            <w:shd w:val="clear" w:color="auto" w:fill="F6F6F6"/>
            <w:vAlign w:val="top"/>
            <w:tcMar>
              <w:top w:w="36" w:type="dxa"/>
              <w:start w:w="80" w:type="dxa"/>
              <w:bottom w:w="36" w:type="dxa"/>
              <w:end w:w="80" w:type="dxa"/>
            </w:tcMar>
          </w:tcPr>
          <w:p>
            <w:pPr>
              <w:pStyle w:val="TabCellSm"/>
              <w:jc w:val="left"/>
            </w:pPr>
            <w:r>
              <w:t>The load number lets every pack from a failed cycle be traced and retrieved.</w:t>
            </w:r>
          </w:p>
        </w:tc>
      </w:tr>
      <w:tr>
        <w:tc>
          <w:tcPr>
            <w:tcW w:type="dxa" w:w="510"/>
            <w:vAlign w:val="top"/>
            <w:tcMar>
              <w:top w:w="36" w:type="dxa"/>
              <w:start w:w="80" w:type="dxa"/>
              <w:bottom w:w="36" w:type="dxa"/>
              <w:end w:w="80" w:type="dxa"/>
            </w:tcMar>
          </w:tcPr>
          <w:p>
            <w:pPr>
              <w:pStyle w:val="TabCell"/>
              <w:jc w:val="center"/>
            </w:pPr>
            <w:r>
              <w:t>15</w:t>
            </w:r>
          </w:p>
        </w:tc>
        <w:tc>
          <w:tcPr>
            <w:tcW w:type="dxa" w:w="4535"/>
            <w:vAlign w:val="top"/>
            <w:tcMar>
              <w:top w:w="36" w:type="dxa"/>
              <w:start w:w="80" w:type="dxa"/>
              <w:bottom w:w="36" w:type="dxa"/>
              <w:end w:w="80" w:type="dxa"/>
            </w:tcMar>
          </w:tcPr>
          <w:p>
            <w:pPr>
              <w:pStyle w:val="TabCell"/>
              <w:jc w:val="left"/>
            </w:pPr>
            <w:r>
              <w:rPr>
                <w:b/>
              </w:rPr>
              <w:t>Event-related sterility</w:t>
            </w:r>
          </w:p>
        </w:tc>
        <w:tc>
          <w:tcPr>
            <w:tcW w:type="dxa" w:w="5754"/>
            <w:vAlign w:val="top"/>
            <w:tcMar>
              <w:top w:w="36" w:type="dxa"/>
              <w:start w:w="80" w:type="dxa"/>
              <w:bottom w:w="36" w:type="dxa"/>
              <w:end w:w="80" w:type="dxa"/>
            </w:tcMar>
          </w:tcPr>
          <w:p>
            <w:pPr>
              <w:pStyle w:val="TabCellSm"/>
              <w:jc w:val="left"/>
            </w:pPr>
            <w:r>
              <w:t>Integrity, not a calendar date, determines usability: wet, torn, dropped or compressed = discard and reprocess.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629836"/>
            <wp:docPr id="8" name="Picture 8"/>
            <wp:cNvGraphicFramePr>
              <a:graphicFrameLocks noChangeAspect="1"/>
            </wp:cNvGraphicFramePr>
            <a:graphic>
              <a:graphicData uri="http://schemas.openxmlformats.org/drawingml/2006/picture">
                <pic:pic>
                  <pic:nvPicPr>
                    <pic:cNvPr id="0" name="fig_tray_assembly.png"/>
                    <pic:cNvPicPr/>
                  </pic:nvPicPr>
                  <pic:blipFill>
                    <a:blip r:embed="rId18"/>
                    <a:stretch>
                      <a:fillRect/>
                    </a:stretch>
                  </pic:blipFill>
                  <pic:spPr>
                    <a:xfrm>
                      <a:off x="0" y="0"/>
                      <a:ext cx="4752000" cy="2629836"/>
                    </a:xfrm>
                    <a:prstGeom prst="rect"/>
                  </pic:spPr>
                </pic:pic>
              </a:graphicData>
            </a:graphic>
          </wp:inline>
        </w:drawing>
      </w:r>
    </w:p>
    <w:p>
      <w:pPr>
        <w:pStyle w:val="FigCaption"/>
        <w:jc w:val="center"/>
        <w:spacing w:before="40" w:after="120"/>
      </w:pPr>
      <w:r>
        <w:t>Fig 0.7 — Correct layering of instruments in the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commonest exam framing is </w:t>
            </w:r>
            <w:r>
              <w:rPr>
                <w:b/>
              </w:rPr>
              <w:t>'principles'</w:t>
            </w:r>
            <w:r>
              <w:t xml:space="preserve"> — give selection, assembly and documentation as three headings.</w:t>
            </w:r>
          </w:p>
          <w:p>
            <w:pPr>
              <w:pStyle w:val="BoxBody"/>
              <w:spacing w:before="20" w:after="40"/>
              <w:ind w:start="204" w:hanging="204"/>
            </w:pPr>
            <w:r>
              <w:rPr>
                <w:rFonts w:ascii="Calibri" w:hAnsi="Calibri"/>
                <w:b/>
              </w:rPr>
              <w:t xml:space="preserve">▪  </w:t>
            </w:r>
            <w:r>
              <w:t xml:space="preserve">The </w:t>
            </w:r>
            <w:r>
              <w:rPr>
                <w:b/>
              </w:rPr>
              <w:t>11 kg</w:t>
            </w:r>
            <w:r>
              <w:t xml:space="preserve"> mass limit and the </w:t>
            </w:r>
            <w:r>
              <w:rPr>
                <w:b/>
              </w:rPr>
              <w:t>jaws-open</w:t>
            </w:r>
            <w:r>
              <w:t xml:space="preserve"> rule are favourite factual marks.</w:t>
            </w:r>
          </w:p>
          <w:p>
            <w:pPr>
              <w:pStyle w:val="BoxBody"/>
              <w:spacing w:before="20" w:after="40"/>
              <w:ind w:start="204" w:hanging="204"/>
            </w:pPr>
            <w:r>
              <w:rPr>
                <w:rFonts w:ascii="Calibri" w:hAnsi="Calibri"/>
                <w:b/>
              </w:rPr>
              <w:t xml:space="preserve">▪  </w:t>
            </w:r>
            <w:r>
              <w:t xml:space="preserve">Include the </w:t>
            </w:r>
            <w:r>
              <w:rPr>
                <w:b/>
              </w:rPr>
              <w:t>count sheet inside the pack</w:t>
            </w:r>
            <w:r>
              <w:t>; it is both an inventory and a legal record.</w:t>
            </w:r>
          </w:p>
          <w:p>
            <w:pPr>
              <w:pStyle w:val="BoxBody"/>
              <w:spacing w:before="20" w:after="40"/>
              <w:ind w:start="204" w:hanging="204"/>
            </w:pPr>
            <w:r>
              <w:rPr>
                <w:rFonts w:ascii="Calibri" w:hAnsi="Calibri"/>
                <w:b/>
              </w:rPr>
              <w:t xml:space="preserve">▪  </w:t>
            </w:r>
            <w:r>
              <w:t>'Event-related' has replaced 'time-related' shelf life in modern practice — say so explicitly.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State the principles of preparing an instrument tray.</w:t>
      </w:r>
    </w:p>
    <w:p>
      <w:pPr>
        <w:pStyle w:val="QBank"/>
        <w:spacing w:before="0" w:after="100"/>
        <w:ind w:start="595" w:hanging="283"/>
      </w:pPr>
      <w:r>
        <w:rPr>
          <w:rFonts w:ascii="Calibri" w:hAnsi="Calibri"/>
          <w:b/>
        </w:rPr>
        <w:t xml:space="preserve">A.  </w:t>
      </w:r>
      <w:r>
        <w:t>Selection (match procedure, cover all six functional groups, match length to depth and delicacy to tissue, standardise); assembly (clean/dry/inspected first, heaviest at the bottom, jaws open on a stringer, protect delicate tips, allow steam access, respect the 11 kg limit, indicators inside and out); documentation (label, traceable load number, event-related sterility).</w:t>
      </w:r>
    </w:p>
    <w:p>
      <w:pPr>
        <w:spacing w:before="80" w:after="20"/>
        <w:ind w:start="311" w:hanging="311"/>
        <w:keepLines/>
        <w:keepNext/>
      </w:pPr>
      <w:r>
        <w:rPr>
          <w:rFonts w:ascii="Calibri" w:hAnsi="Calibri"/>
          <w:b/>
          <w:sz w:val="19"/>
        </w:rPr>
        <w:t xml:space="preserve">Q2.  </w:t>
      </w:r>
      <w:r>
        <w:rPr>
          <w:b/>
          <w:sz w:val="19"/>
        </w:rPr>
        <w:t>What is the maximum recommended weight of a wrapped instrument set and why?</w:t>
      </w:r>
    </w:p>
    <w:p>
      <w:pPr>
        <w:pStyle w:val="QBank"/>
        <w:spacing w:before="0" w:after="100"/>
        <w:ind w:start="595" w:hanging="283"/>
      </w:pPr>
      <w:r>
        <w:rPr>
          <w:rFonts w:ascii="Calibri" w:hAnsi="Calibri"/>
          <w:b/>
        </w:rPr>
        <w:t xml:space="preserve">A.  </w:t>
      </w:r>
      <w:r>
        <w:t>About 11 kg (25 lb). Heavier sets retain condensate, producing wet packs which are considered contaminated.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8" w:name="tray_0_5"/>
      <w:r>
        <w:rPr>
          <w:rFonts w:ascii="Calibri" w:hAnsi="Calibri"/>
          <w:b/>
          <w:color w:val="666666"/>
          <w:sz w:val="29"/>
        </w:rPr>
        <w:t xml:space="preserve">0.5   </w:t>
      </w:r>
      <w:r>
        <w:rPr>
          <w:rFonts w:ascii="Calibri" w:hAnsi="Calibri"/>
          <w:b/>
          <w:sz w:val="29"/>
        </w:rPr>
        <w:t>Decontamination, Packing and Sterilisation</w:t>
      </w:r>
      <w:bookmarkEnd w:id="1008"/>
    </w:p>
    <w:p>
      <w:pPr>
        <w:spacing w:before="60" w:after="100"/>
      </w:pPr>
      <w:r>
        <w:rPr>
          <w:rFonts w:ascii="Calibri" w:hAnsi="Calibri"/>
          <w:b/>
          <w:caps/>
          <w:color w:val="555555"/>
          <w:sz w:val="17"/>
        </w:rPr>
        <w:t xml:space="preserve">Also called:  </w:t>
      </w:r>
      <w:r>
        <w:rPr>
          <w:i/>
          <w:color w:val="333333"/>
          <w:sz w:val="18"/>
        </w:rPr>
        <w:t>The instrument reprocessing cycle</w:t>
      </w:r>
    </w:p>
    <w:p>
      <w:pPr>
        <w:pStyle w:val="TrayLead"/>
      </w:pPr>
      <w:r>
        <w:t xml:space="preserve">A tray is only as good as the cycle that produced it. The reprocessing chain runs </w:t>
      </w:r>
      <w:r>
        <w:rPr>
          <w:b/>
        </w:rPr>
        <w:t>point of use → transport → decontamination → inspection → assembly → packaging → sterilisation → storage</w:t>
      </w:r>
      <w:r>
        <w:t>, and it must move in one direction, from dirty to clean, without crossing back.</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Wet pack = contaminated</w:t>
            </w:r>
          </w:p>
          <w:p>
            <w:pPr>
              <w:pStyle w:val="BoxBody"/>
              <w:spacing w:before="20" w:after="40"/>
              <w:ind w:start="204" w:hanging="204"/>
            </w:pPr>
            <w:r>
              <w:rPr>
                <w:rFonts w:ascii="Calibri" w:hAnsi="Calibri"/>
                <w:b/>
              </w:rPr>
              <w:t xml:space="preserve">▪  </w:t>
            </w:r>
            <w:r>
              <w:t xml:space="preserve">Any moisture inside or outside a processed pack makes it </w:t>
            </w:r>
            <w:r>
              <w:rPr>
                <w:b/>
              </w:rPr>
              <w:t>unusable</w:t>
            </w:r>
            <w:r>
              <w:t>.</w:t>
            </w:r>
          </w:p>
          <w:p>
            <w:pPr>
              <w:pStyle w:val="BoxBody"/>
              <w:spacing w:before="20" w:after="40"/>
              <w:ind w:start="204" w:hanging="204"/>
            </w:pPr>
            <w:r>
              <w:rPr>
                <w:rFonts w:ascii="Calibri" w:hAnsi="Calibri"/>
                <w:b/>
              </w:rPr>
              <w:t xml:space="preserve">▪  </w:t>
            </w:r>
            <w:r>
              <w:t>Common causes: overloaded tray, exceeding 11 kg, poor drying time, cold surfaces, instruments packed wet.</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CLEANING — THE NON-NEGOTIABLE FIRST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Point-of-use care</w:t>
            </w:r>
          </w:p>
        </w:tc>
        <w:tc>
          <w:tcPr>
            <w:tcW w:type="dxa" w:w="5754"/>
            <w:vAlign w:val="top"/>
            <w:tcMar>
              <w:top w:w="36" w:type="dxa"/>
              <w:start w:w="80" w:type="dxa"/>
              <w:bottom w:w="36" w:type="dxa"/>
              <w:end w:w="80" w:type="dxa"/>
            </w:tcMar>
          </w:tcPr>
          <w:p>
            <w:pPr>
              <w:pStyle w:val="TabCellSm"/>
              <w:jc w:val="left"/>
            </w:pPr>
            <w:r>
              <w:t xml:space="preserve">Wipe visible blood; keep instruments </w:t>
            </w:r>
            <w:r>
              <w:rPr>
                <w:b/>
              </w:rPr>
              <w:t>moist</w:t>
            </w:r>
            <w:r>
              <w:t xml:space="preserve"> with water or an enzymatic gel/foam; never let blood dry.</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Why cool water first</w:t>
            </w:r>
          </w:p>
        </w:tc>
        <w:tc>
          <w:tcPr>
            <w:tcW w:type="dxa" w:w="5754"/>
            <w:shd w:val="clear" w:color="auto" w:fill="F6F6F6"/>
            <w:vAlign w:val="top"/>
            <w:tcMar>
              <w:top w:w="36" w:type="dxa"/>
              <w:start w:w="80" w:type="dxa"/>
              <w:bottom w:w="36" w:type="dxa"/>
              <w:end w:w="80" w:type="dxa"/>
            </w:tcMar>
          </w:tcPr>
          <w:p>
            <w:pPr>
              <w:pStyle w:val="TabCellSm"/>
              <w:jc w:val="left"/>
            </w:pPr>
            <w:r>
              <w:t xml:space="preserve">Hot water </w:t>
            </w:r>
            <w:r>
              <w:rPr>
                <w:b/>
              </w:rPr>
              <w:t>coagulates protein</w:t>
            </w:r>
            <w:r>
              <w:t xml:space="preserve"> onto the surface and makes soil far harder to remove.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Enzymatic / proteolytic soak</w:t>
            </w:r>
          </w:p>
        </w:tc>
        <w:tc>
          <w:tcPr>
            <w:tcW w:type="dxa" w:w="5754"/>
            <w:vAlign w:val="top"/>
            <w:tcMar>
              <w:top w:w="36" w:type="dxa"/>
              <w:start w:w="80" w:type="dxa"/>
              <w:bottom w:w="36" w:type="dxa"/>
              <w:end w:w="80" w:type="dxa"/>
            </w:tcMar>
          </w:tcPr>
          <w:p>
            <w:pPr>
              <w:pStyle w:val="TabCellSm"/>
              <w:jc w:val="left"/>
            </w:pPr>
            <w:r>
              <w:t>Breaks down blood, fat and tissue in box locks, serrations and lumens.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Manual cleaning</w:t>
            </w:r>
          </w:p>
        </w:tc>
        <w:tc>
          <w:tcPr>
            <w:tcW w:type="dxa" w:w="5754"/>
            <w:shd w:val="clear" w:color="auto" w:fill="F6F6F6"/>
            <w:vAlign w:val="top"/>
            <w:tcMar>
              <w:top w:w="36" w:type="dxa"/>
              <w:start w:w="80" w:type="dxa"/>
              <w:bottom w:w="36" w:type="dxa"/>
              <w:end w:w="80" w:type="dxa"/>
            </w:tcMar>
          </w:tcPr>
          <w:p>
            <w:pPr>
              <w:pStyle w:val="TabCellSm"/>
              <w:jc w:val="left"/>
            </w:pPr>
            <w:r>
              <w:t xml:space="preserve">Soft brushes, jaws open, </w:t>
            </w:r>
            <w:r>
              <w:rPr>
                <w:b/>
              </w:rPr>
              <w:t>below the water surface</w:t>
            </w:r>
            <w:r>
              <w:t xml:space="preserve"> to avoid aerosols; lumen brushes for cannulated items.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Ultrasonic cleaner</w:t>
            </w:r>
          </w:p>
        </w:tc>
        <w:tc>
          <w:tcPr>
            <w:tcW w:type="dxa" w:w="5754"/>
            <w:vAlign w:val="top"/>
            <w:tcMar>
              <w:top w:w="36" w:type="dxa"/>
              <w:start w:w="80" w:type="dxa"/>
              <w:bottom w:w="36" w:type="dxa"/>
              <w:end w:w="80" w:type="dxa"/>
            </w:tcMar>
          </w:tcPr>
          <w:p>
            <w:pPr>
              <w:pStyle w:val="TabCellSm"/>
              <w:jc w:val="left"/>
            </w:pPr>
            <w:r>
              <w:t>Cavitation reaches serrations and box locks; not for chrome-plated, cemented optical or dissimilar metals together.</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Washer-disinfector</w:t>
            </w:r>
          </w:p>
        </w:tc>
        <w:tc>
          <w:tcPr>
            <w:tcW w:type="dxa" w:w="5754"/>
            <w:shd w:val="clear" w:color="auto" w:fill="F6F6F6"/>
            <w:vAlign w:val="top"/>
            <w:tcMar>
              <w:top w:w="36" w:type="dxa"/>
              <w:start w:w="80" w:type="dxa"/>
              <w:bottom w:w="36" w:type="dxa"/>
              <w:end w:w="80" w:type="dxa"/>
            </w:tcMar>
          </w:tcPr>
          <w:p>
            <w:pPr>
              <w:pStyle w:val="TabCellSm"/>
              <w:jc w:val="left"/>
            </w:pPr>
            <w:r>
              <w:t xml:space="preserve">Automated wash → thermal disinfection → dry; thermal disinfection is measured as an </w:t>
            </w:r>
            <w:r>
              <w:rPr>
                <w:b/>
              </w:rPr>
              <w:t>A0 value</w:t>
            </w:r>
            <w:r>
              <w: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Final rinse and dry</w:t>
            </w:r>
          </w:p>
        </w:tc>
        <w:tc>
          <w:tcPr>
            <w:tcW w:type="dxa" w:w="5754"/>
            <w:vAlign w:val="top"/>
            <w:tcMar>
              <w:top w:w="36" w:type="dxa"/>
              <w:start w:w="80" w:type="dxa"/>
              <w:bottom w:w="36" w:type="dxa"/>
              <w:end w:w="80" w:type="dxa"/>
            </w:tcMar>
          </w:tcPr>
          <w:p>
            <w:pPr>
              <w:pStyle w:val="TabCellSm"/>
              <w:jc w:val="left"/>
            </w:pPr>
            <w:r>
              <w:t xml:space="preserve">Demineralised/distilled water prevents staining and pitting; items must be </w:t>
            </w:r>
            <w:r>
              <w:rPr>
                <w:b/>
              </w:rPr>
              <w:t>completely dry</w:t>
            </w:r>
            <w:r>
              <w:t xml:space="preserve"> before packing.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Lubricate</w:t>
            </w:r>
          </w:p>
        </w:tc>
        <w:tc>
          <w:tcPr>
            <w:tcW w:type="dxa" w:w="5754"/>
            <w:shd w:val="clear" w:color="auto" w:fill="F6F6F6"/>
            <w:vAlign w:val="top"/>
            <w:tcMar>
              <w:top w:w="36" w:type="dxa"/>
              <w:start w:w="80" w:type="dxa"/>
              <w:bottom w:w="36" w:type="dxa"/>
              <w:end w:w="80" w:type="dxa"/>
            </w:tcMar>
          </w:tcPr>
          <w:p>
            <w:pPr>
              <w:pStyle w:val="TabCellSm"/>
              <w:jc w:val="left"/>
            </w:pPr>
            <w:r>
              <w:t>Water-soluble, steam-permeable instrument milk on box locks and hinges. Never use oil — it blocks steam.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PACKAGING SYSTEMS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Textile / non-woven wrap</w:t>
            </w:r>
          </w:p>
        </w:tc>
        <w:tc>
          <w:tcPr>
            <w:tcW w:type="dxa" w:w="5754"/>
            <w:vAlign w:val="top"/>
            <w:tcMar>
              <w:top w:w="36" w:type="dxa"/>
              <w:start w:w="80" w:type="dxa"/>
              <w:bottom w:w="36" w:type="dxa"/>
              <w:end w:w="80" w:type="dxa"/>
            </w:tcMar>
          </w:tcPr>
          <w:p>
            <w:pPr>
              <w:pStyle w:val="TabCellSm"/>
              <w:jc w:val="left"/>
            </w:pPr>
            <w:r>
              <w:t>Sequential double wrap (envelope or square fold) — allows aseptic opening.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Peel pouch</w:t>
            </w:r>
          </w:p>
        </w:tc>
        <w:tc>
          <w:tcPr>
            <w:tcW w:type="dxa" w:w="5754"/>
            <w:shd w:val="clear" w:color="auto" w:fill="F6F6F6"/>
            <w:vAlign w:val="top"/>
            <w:tcMar>
              <w:top w:w="36" w:type="dxa"/>
              <w:start w:w="80" w:type="dxa"/>
              <w:bottom w:w="36" w:type="dxa"/>
              <w:end w:w="80" w:type="dxa"/>
            </w:tcMar>
          </w:tcPr>
          <w:p>
            <w:pPr>
              <w:pStyle w:val="TabCellSm"/>
              <w:jc w:val="left"/>
            </w:pPr>
            <w:r>
              <w:t>Paper–plastic; for one or a few light items; place paper-to-plastic when stacking.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Rigid container</w:t>
            </w:r>
          </w:p>
        </w:tc>
        <w:tc>
          <w:tcPr>
            <w:tcW w:type="dxa" w:w="5754"/>
            <w:vAlign w:val="top"/>
            <w:tcMar>
              <w:top w:w="36" w:type="dxa"/>
              <w:start w:w="80" w:type="dxa"/>
              <w:bottom w:w="36" w:type="dxa"/>
              <w:end w:w="80" w:type="dxa"/>
            </w:tcMar>
          </w:tcPr>
          <w:p>
            <w:pPr>
              <w:pStyle w:val="TabCellSm"/>
              <w:jc w:val="left"/>
            </w:pPr>
            <w:r>
              <w:t>Perforated metal box with valve filters and a tamper seal; protects heavy sets.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Indicators</w:t>
            </w:r>
          </w:p>
        </w:tc>
        <w:tc>
          <w:tcPr>
            <w:tcW w:type="dxa" w:w="5754"/>
            <w:shd w:val="clear" w:color="auto" w:fill="F6F6F6"/>
            <w:vAlign w:val="top"/>
            <w:tcMar>
              <w:top w:w="36" w:type="dxa"/>
              <w:start w:w="80" w:type="dxa"/>
              <w:bottom w:w="36" w:type="dxa"/>
              <w:end w:w="80" w:type="dxa"/>
            </w:tcMar>
          </w:tcPr>
          <w:p>
            <w:pPr>
              <w:pStyle w:val="TabCellSm"/>
              <w:jc w:val="left"/>
            </w:pPr>
            <w:r>
              <w:t>Class I tape outside; Class IV–VI chemical indicator or integrator inside the pack; biological indicator (</w:t>
            </w:r>
            <w:r>
              <w:rPr>
                <w:i/>
              </w:rPr>
              <w:t>Geobacillus stearothermophilus</w:t>
            </w:r>
            <w:r>
              <w:t xml:space="preserve"> for steam) per policy.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STERILISATION METHODS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Steam (moist heat) — the default</w:t>
            </w:r>
          </w:p>
        </w:tc>
        <w:tc>
          <w:tcPr>
            <w:tcW w:type="dxa" w:w="5754"/>
            <w:vAlign w:val="top"/>
            <w:tcMar>
              <w:top w:w="36" w:type="dxa"/>
              <w:start w:w="80" w:type="dxa"/>
              <w:bottom w:w="36" w:type="dxa"/>
              <w:end w:w="80" w:type="dxa"/>
            </w:tcMar>
          </w:tcPr>
          <w:p>
            <w:pPr>
              <w:pStyle w:val="TabCellSm"/>
              <w:jc w:val="left"/>
            </w:pPr>
            <w:r>
              <w:rPr>
                <w:b/>
              </w:rPr>
              <w:t>121 °C for 15 min at 15 psi</w:t>
            </w:r>
            <w:r>
              <w:t xml:space="preserve"> (gravity) or </w:t>
            </w:r>
            <w:r>
              <w:rPr>
                <w:b/>
              </w:rPr>
              <w:t>134 °C for 3–3.5 min</w:t>
            </w:r>
            <w:r>
              <w:t xml:space="preserve"> (pre-vacuum). Cheap, fast, non-toxic; for all heat- and moisture-stable items.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Flash / immediate-use steam (IUSS)</w:t>
            </w:r>
          </w:p>
        </w:tc>
        <w:tc>
          <w:tcPr>
            <w:tcW w:type="dxa" w:w="5754"/>
            <w:shd w:val="clear" w:color="auto" w:fill="F6F6F6"/>
            <w:vAlign w:val="top"/>
            <w:tcMar>
              <w:top w:w="36" w:type="dxa"/>
              <w:start w:w="80" w:type="dxa"/>
              <w:bottom w:w="36" w:type="dxa"/>
              <w:end w:w="80" w:type="dxa"/>
            </w:tcMar>
          </w:tcPr>
          <w:p>
            <w:pPr>
              <w:pStyle w:val="TabCellSm"/>
              <w:jc w:val="left"/>
            </w:pPr>
            <w:r>
              <w:t>134 °C for 3–10 min for an urgently needed unwrapped item. Emergency use only; never for implants.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Ethylene oxide (EO)</w:t>
            </w:r>
          </w:p>
        </w:tc>
        <w:tc>
          <w:tcPr>
            <w:tcW w:type="dxa" w:w="5754"/>
            <w:vAlign w:val="top"/>
            <w:tcMar>
              <w:top w:w="36" w:type="dxa"/>
              <w:start w:w="80" w:type="dxa"/>
              <w:bottom w:w="36" w:type="dxa"/>
              <w:end w:w="80" w:type="dxa"/>
            </w:tcMar>
          </w:tcPr>
          <w:p>
            <w:pPr>
              <w:pStyle w:val="TabCellSm"/>
              <w:jc w:val="left"/>
            </w:pPr>
            <w:r>
              <w:t xml:space="preserve">Low temperature, excellent penetration; for optics, plastics, cables. </w:t>
            </w:r>
            <w:r>
              <w:rPr>
                <w:b/>
              </w:rPr>
              <w:t>Long aeration</w:t>
            </w:r>
            <w:r>
              <w:t xml:space="preserve"> required; toxic, flammable, carcinogenic.</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Hydrogen peroxide gas plasma</w:t>
            </w:r>
          </w:p>
        </w:tc>
        <w:tc>
          <w:tcPr>
            <w:tcW w:type="dxa" w:w="5754"/>
            <w:shd w:val="clear" w:color="auto" w:fill="F6F6F6"/>
            <w:vAlign w:val="top"/>
            <w:tcMar>
              <w:top w:w="36" w:type="dxa"/>
              <w:start w:w="80" w:type="dxa"/>
              <w:bottom w:w="36" w:type="dxa"/>
              <w:end w:w="80" w:type="dxa"/>
            </w:tcMar>
          </w:tcPr>
          <w:p>
            <w:pPr>
              <w:pStyle w:val="TabCellSm"/>
              <w:jc w:val="left"/>
            </w:pPr>
            <w:r>
              <w:t>Low temperature, short cycle, no toxic residue; not for cellulose (linen, paper) or long narrow lumens.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Dry heat</w:t>
            </w:r>
          </w:p>
        </w:tc>
        <w:tc>
          <w:tcPr>
            <w:tcW w:type="dxa" w:w="5754"/>
            <w:vAlign w:val="top"/>
            <w:tcMar>
              <w:top w:w="36" w:type="dxa"/>
              <w:start w:w="80" w:type="dxa"/>
              <w:bottom w:w="36" w:type="dxa"/>
              <w:end w:w="80" w:type="dxa"/>
            </w:tcMar>
          </w:tcPr>
          <w:p>
            <w:pPr>
              <w:pStyle w:val="TabCellSm"/>
              <w:jc w:val="left"/>
            </w:pPr>
            <w:r>
              <w:t>160 °C/2 h or 170 °C/1 h; for oils, powders, glass and sharp cutting edges.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Chemical (cold) sterilant</w:t>
            </w:r>
          </w:p>
        </w:tc>
        <w:tc>
          <w:tcPr>
            <w:tcW w:type="dxa" w:w="5754"/>
            <w:shd w:val="clear" w:color="auto" w:fill="F6F6F6"/>
            <w:vAlign w:val="top"/>
            <w:tcMar>
              <w:top w:w="36" w:type="dxa"/>
              <w:start w:w="80" w:type="dxa"/>
              <w:bottom w:w="36" w:type="dxa"/>
              <w:end w:w="80" w:type="dxa"/>
            </w:tcMar>
          </w:tcPr>
          <w:p>
            <w:pPr>
              <w:pStyle w:val="TabCellSm"/>
              <w:jc w:val="left"/>
            </w:pPr>
            <w:r>
              <w:t>2 % glutaraldehyde or peracetic acid for heat-sensitive endoscopes; requires sterile-water rinse.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464000" cy="4084377"/>
            <wp:docPr id="9" name="Picture 9"/>
            <wp:cNvGraphicFramePr>
              <a:graphicFrameLocks noChangeAspect="1"/>
            </wp:cNvGraphicFramePr>
            <a:graphic>
              <a:graphicData uri="http://schemas.openxmlformats.org/drawingml/2006/picture">
                <pic:pic>
                  <pic:nvPicPr>
                    <pic:cNvPr id="0" name="fig_steril_flow.png"/>
                    <pic:cNvPicPr/>
                  </pic:nvPicPr>
                  <pic:blipFill>
                    <a:blip r:embed="rId19"/>
                    <a:stretch>
                      <a:fillRect/>
                    </a:stretch>
                  </pic:blipFill>
                  <pic:spPr>
                    <a:xfrm>
                      <a:off x="0" y="0"/>
                      <a:ext cx="4464000" cy="4084377"/>
                    </a:xfrm>
                    <a:prstGeom prst="rect"/>
                  </pic:spPr>
                </pic:pic>
              </a:graphicData>
            </a:graphic>
          </wp:inline>
        </w:drawing>
      </w:r>
    </w:p>
    <w:p>
      <w:pPr>
        <w:pStyle w:val="FigCaption"/>
        <w:jc w:val="center"/>
        <w:spacing w:before="40" w:after="120"/>
      </w:pPr>
      <w:r>
        <w:t>Fig 0.9 — The reprocessing cycle, step by step</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Method</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Conditions</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Best for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Main limitation</w:t>
            </w:r>
          </w:p>
        </w:tc>
      </w:tr>
      <w:tr>
        <w:tc>
          <w:tcPr>
            <w:tcW w:type="dxa" w:w="2700"/>
            <w:vAlign w:val="top"/>
            <w:tcMar>
              <w:top w:w="36" w:type="dxa"/>
              <w:start w:w="80" w:type="dxa"/>
              <w:bottom w:w="36" w:type="dxa"/>
              <w:end w:w="80" w:type="dxa"/>
            </w:tcMar>
          </w:tcPr>
          <w:p>
            <w:pPr>
              <w:pStyle w:val="TabCell"/>
            </w:pPr>
            <w:r>
              <w:rPr>
                <w:b/>
              </w:rPr>
              <w:t>Steam — gravity</w:t>
            </w:r>
          </w:p>
        </w:tc>
        <w:tc>
          <w:tcPr>
            <w:tcW w:type="dxa" w:w="2700"/>
            <w:vAlign w:val="top"/>
            <w:tcMar>
              <w:top w:w="36" w:type="dxa"/>
              <w:start w:w="80" w:type="dxa"/>
              <w:bottom w:w="36" w:type="dxa"/>
              <w:end w:w="80" w:type="dxa"/>
            </w:tcMar>
          </w:tcPr>
          <w:p>
            <w:pPr>
              <w:pStyle w:val="TabCell"/>
            </w:pPr>
            <w:r>
              <w:t>121 °C, 15 psi, 15–30 min</w:t>
            </w:r>
          </w:p>
        </w:tc>
        <w:tc>
          <w:tcPr>
            <w:tcW w:type="dxa" w:w="2700"/>
            <w:vAlign w:val="top"/>
            <w:tcMar>
              <w:top w:w="36" w:type="dxa"/>
              <w:start w:w="80" w:type="dxa"/>
              <w:bottom w:w="36" w:type="dxa"/>
              <w:end w:w="80" w:type="dxa"/>
            </w:tcMar>
          </w:tcPr>
          <w:p>
            <w:pPr>
              <w:pStyle w:val="TabCell"/>
            </w:pPr>
            <w:r>
              <w:t>Instruments, linen, basins</w:t>
            </w:r>
          </w:p>
        </w:tc>
        <w:tc>
          <w:tcPr>
            <w:tcW w:type="dxa" w:w="2700"/>
            <w:vAlign w:val="top"/>
            <w:tcMar>
              <w:top w:w="36" w:type="dxa"/>
              <w:start w:w="80" w:type="dxa"/>
              <w:bottom w:w="36" w:type="dxa"/>
              <w:end w:w="80" w:type="dxa"/>
            </w:tcMar>
          </w:tcPr>
          <w:p>
            <w:pPr>
              <w:pStyle w:val="TabCell"/>
            </w:pPr>
            <w:r>
              <w:t>Heat/moisture sensitive items</w:t>
            </w:r>
          </w:p>
        </w:tc>
      </w:tr>
      <w:tr>
        <w:tc>
          <w:tcPr>
            <w:tcW w:type="dxa" w:w="2700"/>
            <w:shd w:val="clear" w:color="auto" w:fill="F6F6F6"/>
            <w:vAlign w:val="top"/>
            <w:tcMar>
              <w:top w:w="36" w:type="dxa"/>
              <w:start w:w="80" w:type="dxa"/>
              <w:bottom w:w="36" w:type="dxa"/>
              <w:end w:w="80" w:type="dxa"/>
            </w:tcMar>
          </w:tcPr>
          <w:p>
            <w:pPr>
              <w:pStyle w:val="TabCell"/>
            </w:pPr>
            <w:r>
              <w:rPr>
                <w:b/>
              </w:rPr>
              <w:t>Steam — pre-vacuum</w:t>
            </w:r>
          </w:p>
        </w:tc>
        <w:tc>
          <w:tcPr>
            <w:tcW w:type="dxa" w:w="2700"/>
            <w:shd w:val="clear" w:color="auto" w:fill="F6F6F6"/>
            <w:vAlign w:val="top"/>
            <w:tcMar>
              <w:top w:w="36" w:type="dxa"/>
              <w:start w:w="80" w:type="dxa"/>
              <w:bottom w:w="36" w:type="dxa"/>
              <w:end w:w="80" w:type="dxa"/>
            </w:tcMar>
          </w:tcPr>
          <w:p>
            <w:pPr>
              <w:pStyle w:val="TabCell"/>
            </w:pPr>
            <w:r>
              <w:t>134 °C, 3–3.5 min</w:t>
            </w:r>
          </w:p>
        </w:tc>
        <w:tc>
          <w:tcPr>
            <w:tcW w:type="dxa" w:w="2700"/>
            <w:shd w:val="clear" w:color="auto" w:fill="F6F6F6"/>
            <w:vAlign w:val="top"/>
            <w:tcMar>
              <w:top w:w="36" w:type="dxa"/>
              <w:start w:w="80" w:type="dxa"/>
              <w:bottom w:w="36" w:type="dxa"/>
              <w:end w:w="80" w:type="dxa"/>
            </w:tcMar>
          </w:tcPr>
          <w:p>
            <w:pPr>
              <w:pStyle w:val="TabCell"/>
            </w:pPr>
            <w:r>
              <w:t>Wrapped instrument sets</w:t>
            </w:r>
          </w:p>
        </w:tc>
        <w:tc>
          <w:tcPr>
            <w:tcW w:type="dxa" w:w="2700"/>
            <w:shd w:val="clear" w:color="auto" w:fill="F6F6F6"/>
            <w:vAlign w:val="top"/>
            <w:tcMar>
              <w:top w:w="36" w:type="dxa"/>
              <w:start w:w="80" w:type="dxa"/>
              <w:bottom w:w="36" w:type="dxa"/>
              <w:end w:w="80" w:type="dxa"/>
            </w:tcMar>
          </w:tcPr>
          <w:p>
            <w:pPr>
              <w:pStyle w:val="TabCell"/>
            </w:pPr>
            <w:r>
              <w:t>Requires air removal test (Bowie-Dick)</w:t>
            </w:r>
          </w:p>
        </w:tc>
      </w:tr>
      <w:tr>
        <w:tc>
          <w:tcPr>
            <w:tcW w:type="dxa" w:w="2700"/>
            <w:vAlign w:val="top"/>
            <w:tcMar>
              <w:top w:w="36" w:type="dxa"/>
              <w:start w:w="80" w:type="dxa"/>
              <w:bottom w:w="36" w:type="dxa"/>
              <w:end w:w="80" w:type="dxa"/>
            </w:tcMar>
          </w:tcPr>
          <w:p>
            <w:pPr>
              <w:pStyle w:val="TabCell"/>
            </w:pPr>
            <w:r>
              <w:rPr>
                <w:b/>
              </w:rPr>
              <w:t>Ethylene oxide</w:t>
            </w:r>
          </w:p>
        </w:tc>
        <w:tc>
          <w:tcPr>
            <w:tcW w:type="dxa" w:w="2700"/>
            <w:vAlign w:val="top"/>
            <w:tcMar>
              <w:top w:w="36" w:type="dxa"/>
              <w:start w:w="80" w:type="dxa"/>
              <w:bottom w:w="36" w:type="dxa"/>
              <w:end w:w="80" w:type="dxa"/>
            </w:tcMar>
          </w:tcPr>
          <w:p>
            <w:pPr>
              <w:pStyle w:val="TabCell"/>
            </w:pPr>
            <w:r>
              <w:t>37–55 °C, 2–5 h + aeration</w:t>
            </w:r>
          </w:p>
        </w:tc>
        <w:tc>
          <w:tcPr>
            <w:tcW w:type="dxa" w:w="2700"/>
            <w:vAlign w:val="top"/>
            <w:tcMar>
              <w:top w:w="36" w:type="dxa"/>
              <w:start w:w="80" w:type="dxa"/>
              <w:bottom w:w="36" w:type="dxa"/>
              <w:end w:w="80" w:type="dxa"/>
            </w:tcMar>
          </w:tcPr>
          <w:p>
            <w:pPr>
              <w:pStyle w:val="TabCell"/>
            </w:pPr>
            <w:r>
              <w:t>Optics, plastics, cables</w:t>
            </w:r>
          </w:p>
        </w:tc>
        <w:tc>
          <w:tcPr>
            <w:tcW w:type="dxa" w:w="2700"/>
            <w:vAlign w:val="top"/>
            <w:tcMar>
              <w:top w:w="36" w:type="dxa"/>
              <w:start w:w="80" w:type="dxa"/>
              <w:bottom w:w="36" w:type="dxa"/>
              <w:end w:w="80" w:type="dxa"/>
            </w:tcMar>
          </w:tcPr>
          <w:p>
            <w:pPr>
              <w:pStyle w:val="TabCell"/>
            </w:pPr>
            <w:r>
              <w:t>Toxic; very long total cycle</w:t>
            </w:r>
          </w:p>
        </w:tc>
      </w:tr>
      <w:tr>
        <w:tc>
          <w:tcPr>
            <w:tcW w:type="dxa" w:w="2700"/>
            <w:shd w:val="clear" w:color="auto" w:fill="F6F6F6"/>
            <w:vAlign w:val="top"/>
            <w:tcMar>
              <w:top w:w="36" w:type="dxa"/>
              <w:start w:w="80" w:type="dxa"/>
              <w:bottom w:w="36" w:type="dxa"/>
              <w:end w:w="80" w:type="dxa"/>
            </w:tcMar>
          </w:tcPr>
          <w:p>
            <w:pPr>
              <w:pStyle w:val="TabCell"/>
            </w:pPr>
            <w:r>
              <w:rPr>
                <w:b/>
              </w:rPr>
              <w:t>H₂O₂ gas plasma</w:t>
            </w:r>
          </w:p>
        </w:tc>
        <w:tc>
          <w:tcPr>
            <w:tcW w:type="dxa" w:w="2700"/>
            <w:shd w:val="clear" w:color="auto" w:fill="F6F6F6"/>
            <w:vAlign w:val="top"/>
            <w:tcMar>
              <w:top w:w="36" w:type="dxa"/>
              <w:start w:w="80" w:type="dxa"/>
              <w:bottom w:w="36" w:type="dxa"/>
              <w:end w:w="80" w:type="dxa"/>
            </w:tcMar>
          </w:tcPr>
          <w:p>
            <w:pPr>
              <w:pStyle w:val="TabCell"/>
            </w:pPr>
            <w:r>
              <w:t>45–50 °C, 28–75 min</w:t>
            </w:r>
          </w:p>
        </w:tc>
        <w:tc>
          <w:tcPr>
            <w:tcW w:type="dxa" w:w="2700"/>
            <w:shd w:val="clear" w:color="auto" w:fill="F6F6F6"/>
            <w:vAlign w:val="top"/>
            <w:tcMar>
              <w:top w:w="36" w:type="dxa"/>
              <w:start w:w="80" w:type="dxa"/>
              <w:bottom w:w="36" w:type="dxa"/>
              <w:end w:w="80" w:type="dxa"/>
            </w:tcMar>
          </w:tcPr>
          <w:p>
            <w:pPr>
              <w:pStyle w:val="TabCell"/>
            </w:pPr>
            <w:r>
              <w:t>Delicate scopes, cameras</w:t>
            </w:r>
          </w:p>
        </w:tc>
        <w:tc>
          <w:tcPr>
            <w:tcW w:type="dxa" w:w="2700"/>
            <w:shd w:val="clear" w:color="auto" w:fill="F6F6F6"/>
            <w:vAlign w:val="top"/>
            <w:tcMar>
              <w:top w:w="36" w:type="dxa"/>
              <w:start w:w="80" w:type="dxa"/>
              <w:bottom w:w="36" w:type="dxa"/>
              <w:end w:w="80" w:type="dxa"/>
            </w:tcMar>
          </w:tcPr>
          <w:p>
            <w:pPr>
              <w:pStyle w:val="TabCell"/>
            </w:pPr>
            <w:r>
              <w:t>No cellulose; lumen limits</w:t>
            </w:r>
          </w:p>
        </w:tc>
      </w:tr>
      <w:tr>
        <w:tc>
          <w:tcPr>
            <w:tcW w:type="dxa" w:w="2700"/>
            <w:vAlign w:val="top"/>
            <w:tcMar>
              <w:top w:w="36" w:type="dxa"/>
              <w:start w:w="80" w:type="dxa"/>
              <w:bottom w:w="36" w:type="dxa"/>
              <w:end w:w="80" w:type="dxa"/>
            </w:tcMar>
          </w:tcPr>
          <w:p>
            <w:pPr>
              <w:pStyle w:val="TabCell"/>
            </w:pPr>
            <w:r>
              <w:rPr>
                <w:b/>
              </w:rPr>
              <w:t>Dry heat</w:t>
            </w:r>
          </w:p>
        </w:tc>
        <w:tc>
          <w:tcPr>
            <w:tcW w:type="dxa" w:w="2700"/>
            <w:vAlign w:val="top"/>
            <w:tcMar>
              <w:top w:w="36" w:type="dxa"/>
              <w:start w:w="80" w:type="dxa"/>
              <w:bottom w:w="36" w:type="dxa"/>
              <w:end w:w="80" w:type="dxa"/>
            </w:tcMar>
          </w:tcPr>
          <w:p>
            <w:pPr>
              <w:pStyle w:val="TabCell"/>
            </w:pPr>
            <w:r>
              <w:t>160 °C/2 h or 170 °C/1 h</w:t>
            </w:r>
          </w:p>
        </w:tc>
        <w:tc>
          <w:tcPr>
            <w:tcW w:type="dxa" w:w="2700"/>
            <w:vAlign w:val="top"/>
            <w:tcMar>
              <w:top w:w="36" w:type="dxa"/>
              <w:start w:w="80" w:type="dxa"/>
              <w:bottom w:w="36" w:type="dxa"/>
              <w:end w:w="80" w:type="dxa"/>
            </w:tcMar>
          </w:tcPr>
          <w:p>
            <w:pPr>
              <w:pStyle w:val="TabCell"/>
            </w:pPr>
            <w:r>
              <w:t>Oils, powders, glass, sharps</w:t>
            </w:r>
          </w:p>
        </w:tc>
        <w:tc>
          <w:tcPr>
            <w:tcW w:type="dxa" w:w="2700"/>
            <w:vAlign w:val="top"/>
            <w:tcMar>
              <w:top w:w="36" w:type="dxa"/>
              <w:start w:w="80" w:type="dxa"/>
              <w:bottom w:w="36" w:type="dxa"/>
              <w:end w:w="80" w:type="dxa"/>
            </w:tcMar>
          </w:tcPr>
          <w:p>
            <w:pPr>
              <w:pStyle w:val="TabCell"/>
            </w:pPr>
            <w:r>
              <w:t>Slow; damages fabrics</w:t>
            </w:r>
          </w:p>
        </w:tc>
      </w:tr>
      <w:tr>
        <w:tc>
          <w:tcPr>
            <w:tcW w:type="dxa" w:w="2700"/>
            <w:shd w:val="clear" w:color="auto" w:fill="F6F6F6"/>
            <w:vAlign w:val="top"/>
            <w:tcMar>
              <w:top w:w="36" w:type="dxa"/>
              <w:start w:w="80" w:type="dxa"/>
              <w:bottom w:w="36" w:type="dxa"/>
              <w:end w:w="80" w:type="dxa"/>
            </w:tcMar>
          </w:tcPr>
          <w:p>
            <w:pPr>
              <w:pStyle w:val="TabCell"/>
            </w:pPr>
            <w:r>
              <w:rPr>
                <w:b/>
              </w:rPr>
              <w:t>Chemical sterilant</w:t>
            </w:r>
          </w:p>
        </w:tc>
        <w:tc>
          <w:tcPr>
            <w:tcW w:type="dxa" w:w="2700"/>
            <w:shd w:val="clear" w:color="auto" w:fill="F6F6F6"/>
            <w:vAlign w:val="top"/>
            <w:tcMar>
              <w:top w:w="36" w:type="dxa"/>
              <w:start w:w="80" w:type="dxa"/>
              <w:bottom w:w="36" w:type="dxa"/>
              <w:end w:w="80" w:type="dxa"/>
            </w:tcMar>
          </w:tcPr>
          <w:p>
            <w:pPr>
              <w:pStyle w:val="TabCell"/>
            </w:pPr>
            <w:r>
              <w:t>2 % glutaraldehyde, 10 h</w:t>
            </w:r>
          </w:p>
        </w:tc>
        <w:tc>
          <w:tcPr>
            <w:tcW w:type="dxa" w:w="2700"/>
            <w:shd w:val="clear" w:color="auto" w:fill="F6F6F6"/>
            <w:vAlign w:val="top"/>
            <w:tcMar>
              <w:top w:w="36" w:type="dxa"/>
              <w:start w:w="80" w:type="dxa"/>
              <w:bottom w:w="36" w:type="dxa"/>
              <w:end w:w="80" w:type="dxa"/>
            </w:tcMar>
          </w:tcPr>
          <w:p>
            <w:pPr>
              <w:pStyle w:val="TabCell"/>
            </w:pPr>
            <w:r>
              <w:t>Flexible endoscopes</w:t>
            </w:r>
          </w:p>
        </w:tc>
        <w:tc>
          <w:tcPr>
            <w:tcW w:type="dxa" w:w="2700"/>
            <w:shd w:val="clear" w:color="auto" w:fill="F6F6F6"/>
            <w:vAlign w:val="top"/>
            <w:tcMar>
              <w:top w:w="36" w:type="dxa"/>
              <w:start w:w="80" w:type="dxa"/>
              <w:bottom w:w="36" w:type="dxa"/>
              <w:end w:w="80" w:type="dxa"/>
            </w:tcMar>
          </w:tcPr>
          <w:p>
            <w:pPr>
              <w:pStyle w:val="TabCell"/>
            </w:pPr>
            <w:r>
              <w:t>Toxic; needs sterile rinse</w:t>
            </w:r>
          </w:p>
        </w:tc>
      </w:tr>
    </w:tbl>
    <w:p>
      <w:pPr>
        <w:spacing w:before="0" w:after="160" w:line="240" w:lineRule="auto"/>
      </w:pPr>
    </w:p>
    <w:p>
      <w:pPr>
        <w:pStyle w:val="FigCaption"/>
        <w:jc w:val="center"/>
      </w:pPr>
      <w:r>
        <w:t>Table 0.2 — Sterilisation methods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Cleaning precedes sterilisation</w:t>
            </w:r>
            <w:r>
              <w:t xml:space="preserve"> — an unclean instrument cannot be sterilised, because soil shields organisms.</w:t>
            </w:r>
          </w:p>
          <w:p>
            <w:pPr>
              <w:pStyle w:val="BoxBody"/>
              <w:spacing w:before="20" w:after="40"/>
              <w:ind w:start="204" w:hanging="204"/>
            </w:pPr>
            <w:r>
              <w:rPr>
                <w:rFonts w:ascii="Calibri" w:hAnsi="Calibri"/>
                <w:b/>
              </w:rPr>
              <w:t xml:space="preserve">▪  </w:t>
            </w:r>
            <w:r>
              <w:t xml:space="preserve">Always state </w:t>
            </w:r>
            <w:r>
              <w:rPr>
                <w:b/>
              </w:rPr>
              <w:t>cool water first</w:t>
            </w:r>
            <w:r>
              <w:t>; hot water fixes protein.</w:t>
            </w:r>
          </w:p>
          <w:p>
            <w:pPr>
              <w:pStyle w:val="BoxBody"/>
              <w:spacing w:before="20" w:after="40"/>
              <w:ind w:start="204" w:hanging="204"/>
            </w:pPr>
            <w:r>
              <w:rPr>
                <w:rFonts w:ascii="Calibri" w:hAnsi="Calibri"/>
                <w:b/>
              </w:rPr>
              <w:t xml:space="preserve">▪  </w:t>
            </w:r>
            <w:r>
              <w:t xml:space="preserve">Learn the two steam pairs verbatim: </w:t>
            </w:r>
            <w:r>
              <w:rPr>
                <w:b/>
              </w:rPr>
              <w:t>121 °C/15 min</w:t>
            </w:r>
            <w:r>
              <w:t xml:space="preserve"> and </w:t>
            </w:r>
            <w:r>
              <w:rPr>
                <w:b/>
              </w:rPr>
              <w:t>134 °C/3 min</w:t>
            </w:r>
            <w:r>
              <w:t>.</w:t>
            </w:r>
          </w:p>
          <w:p>
            <w:pPr>
              <w:pStyle w:val="BoxBody"/>
              <w:spacing w:before="20" w:after="40"/>
              <w:ind w:start="204" w:hanging="204"/>
            </w:pPr>
            <w:r>
              <w:rPr>
                <w:rFonts w:ascii="Calibri" w:hAnsi="Calibri"/>
                <w:b/>
              </w:rPr>
              <w:t xml:space="preserve">▪  </w:t>
            </w:r>
            <w:r>
              <w:t xml:space="preserve">The biological indicator for </w:t>
            </w:r>
            <w:r>
              <w:rPr>
                <w:b/>
              </w:rPr>
              <w:t>steam</w:t>
            </w:r>
            <w:r>
              <w:t xml:space="preserve"> is </w:t>
            </w:r>
            <w:r>
              <w:rPr>
                <w:i/>
              </w:rPr>
              <w:t>Geobacillus stearothermophilus</w:t>
            </w:r>
            <w:r>
              <w:t xml:space="preserve">; for </w:t>
            </w:r>
            <w:r>
              <w:rPr>
                <w:b/>
              </w:rPr>
              <w:t>EO and dry heat</w:t>
            </w:r>
            <w:r>
              <w:t xml:space="preserve"> it is </w:t>
            </w:r>
            <w:r>
              <w:rPr>
                <w:i/>
              </w:rPr>
              <w:t>Bacillus atrophaeus</w:t>
            </w:r>
            <w:r>
              <w:t>.</w:t>
            </w:r>
          </w:p>
          <w:p>
            <w:pPr>
              <w:pStyle w:val="BoxBody"/>
              <w:spacing w:before="20" w:after="40"/>
              <w:ind w:start="204" w:hanging="204"/>
            </w:pPr>
            <w:r>
              <w:rPr>
                <w:rFonts w:ascii="Calibri" w:hAnsi="Calibri"/>
                <w:b/>
              </w:rPr>
              <w:t xml:space="preserve">▪  </w:t>
            </w:r>
            <w:r>
              <w:rPr>
                <w:b/>
              </w:rPr>
              <w:t>Bowie-Dick</w:t>
            </w:r>
            <w:r>
              <w:t xml:space="preserve"> test = air removal in a pre-vacuum steriliser, run daily.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Outline the steps of instrument reprocessing.</w:t>
      </w:r>
    </w:p>
    <w:p>
      <w:pPr>
        <w:pStyle w:val="QBank"/>
        <w:spacing w:before="0" w:after="100"/>
        <w:ind w:start="595" w:hanging="283"/>
      </w:pPr>
      <w:r>
        <w:rPr>
          <w:rFonts w:ascii="Calibri" w:hAnsi="Calibri"/>
          <w:b/>
        </w:rPr>
        <w:t xml:space="preserve">A.  </w:t>
      </w:r>
      <w:r>
        <w:t>Point-of-use care → contained transport → decontamination (sort, cool rinse, enzymatic soak, manual/ultrasonic/washer cleaning, rinse, dry) → inspection and function testing → assembly with count sheet → packaging with indicators → sterilisation → cooling, labelling and controlled storage.</w:t>
      </w:r>
    </w:p>
    <w:p>
      <w:pPr>
        <w:spacing w:before="80" w:after="20"/>
        <w:ind w:start="311" w:hanging="311"/>
        <w:keepLines/>
        <w:keepNext/>
      </w:pPr>
      <w:r>
        <w:rPr>
          <w:rFonts w:ascii="Calibri" w:hAnsi="Calibri"/>
          <w:b/>
          <w:sz w:val="19"/>
        </w:rPr>
        <w:t xml:space="preserve">Q2.  </w:t>
      </w:r>
      <w:r>
        <w:rPr>
          <w:b/>
          <w:sz w:val="19"/>
        </w:rPr>
        <w:t>Why must instruments be dry before packing?</w:t>
      </w:r>
    </w:p>
    <w:p>
      <w:pPr>
        <w:pStyle w:val="QBank"/>
        <w:spacing w:before="0" w:after="100"/>
        <w:ind w:start="595" w:hanging="283"/>
      </w:pPr>
      <w:r>
        <w:rPr>
          <w:rFonts w:ascii="Calibri" w:hAnsi="Calibri"/>
          <w:b/>
        </w:rPr>
        <w:t xml:space="preserve">A.  </w:t>
      </w:r>
      <w:r>
        <w:t>Residual moisture causes wet packs (regarded as contaminated), staining and corrosion, and can dilute or impede the sterilant.</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9" w:name="tray_0_6"/>
      <w:r>
        <w:rPr>
          <w:rFonts w:ascii="Calibri" w:hAnsi="Calibri"/>
          <w:b/>
          <w:color w:val="666666"/>
          <w:sz w:val="29"/>
        </w:rPr>
        <w:t xml:space="preserve">0.6   </w:t>
      </w:r>
      <w:r>
        <w:rPr>
          <w:rFonts w:ascii="Calibri" w:hAnsi="Calibri"/>
          <w:b/>
          <w:sz w:val="29"/>
        </w:rPr>
        <w:t>Setting the Back Table and Mayo Stand</w:t>
      </w:r>
      <w:bookmarkEnd w:id="1009"/>
    </w:p>
    <w:p>
      <w:pPr>
        <w:spacing w:before="60" w:after="100"/>
      </w:pPr>
      <w:r>
        <w:rPr>
          <w:rFonts w:ascii="Calibri" w:hAnsi="Calibri"/>
          <w:b/>
          <w:caps/>
          <w:color w:val="555555"/>
          <w:sz w:val="17"/>
        </w:rPr>
        <w:t xml:space="preserve">Also called:  </w:t>
      </w:r>
      <w:r>
        <w:rPr>
          <w:i/>
          <w:color w:val="333333"/>
          <w:sz w:val="18"/>
        </w:rPr>
        <w:t>Sterile field organisation</w:t>
      </w:r>
    </w:p>
    <w:p>
      <w:pPr>
        <w:pStyle w:val="TrayLead"/>
      </w:pPr>
      <w:r>
        <w:t xml:space="preserve">Two surfaces carry the tray in theatre. The </w:t>
      </w:r>
      <w:r>
        <w:rPr>
          <w:b/>
        </w:rPr>
        <w:t>back table</w:t>
      </w:r>
      <w:r>
        <w:t xml:space="preserve"> holds the bulk of the set and supplies; the </w:t>
      </w:r>
      <w:r>
        <w:rPr>
          <w:b/>
        </w:rPr>
        <w:t>Mayo stand</w:t>
      </w:r>
      <w:r>
        <w:t xml:space="preserve"> is the immediate working surface and carries only what the current step requires. Organisation is deliberate and identical every time, so instruments can be found by feel.</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Sequence of setting up</w:t>
            </w:r>
          </w:p>
          <w:p>
            <w:pPr>
              <w:pStyle w:val="BoxBody"/>
              <w:spacing w:before="20" w:after="40"/>
              <w:ind w:start="204" w:hanging="204"/>
            </w:pPr>
            <w:r>
              <w:rPr>
                <w:rFonts w:ascii="Calibri" w:hAnsi="Calibri"/>
                <w:b/>
              </w:rPr>
              <w:t xml:space="preserve">▪  </w:t>
            </w:r>
            <w:r>
              <w:t>Scrub, gown and glove.</w:t>
            </w:r>
          </w:p>
          <w:p>
            <w:pPr>
              <w:pStyle w:val="BoxBody"/>
              <w:spacing w:before="20" w:after="40"/>
              <w:ind w:start="204" w:hanging="204"/>
            </w:pPr>
            <w:r>
              <w:rPr>
                <w:rFonts w:ascii="Calibri" w:hAnsi="Calibri"/>
                <w:b/>
              </w:rPr>
              <w:t xml:space="preserve">▪  </w:t>
            </w:r>
            <w:r>
              <w:t>Drape the back table and Mayo stand.</w:t>
            </w:r>
          </w:p>
          <w:p>
            <w:pPr>
              <w:pStyle w:val="BoxBody"/>
              <w:spacing w:before="20" w:after="40"/>
              <w:ind w:start="204" w:hanging="204"/>
            </w:pPr>
            <w:r>
              <w:rPr>
                <w:rFonts w:ascii="Calibri" w:hAnsi="Calibri"/>
                <w:b/>
              </w:rPr>
              <w:t xml:space="preserve">▪  </w:t>
            </w:r>
            <w:r>
              <w:t>Arrange in zones; assemble blades on handles using a needle holder.</w:t>
            </w:r>
          </w:p>
          <w:p>
            <w:pPr>
              <w:pStyle w:val="BoxBody"/>
              <w:spacing w:before="20" w:after="40"/>
              <w:ind w:start="204" w:hanging="204"/>
            </w:pPr>
            <w:r>
              <w:rPr>
                <w:rFonts w:ascii="Calibri" w:hAnsi="Calibri"/>
                <w:b/>
              </w:rPr>
              <w:t xml:space="preserve">▪  </w:t>
            </w:r>
            <w:r>
              <w:t>Load needles onto holders; prepare suture.</w:t>
            </w:r>
          </w:p>
          <w:p>
            <w:pPr>
              <w:pStyle w:val="BoxBody"/>
              <w:spacing w:before="20" w:after="40"/>
              <w:ind w:start="204" w:hanging="204"/>
            </w:pPr>
            <w:r>
              <w:rPr>
                <w:rFonts w:ascii="Calibri" w:hAnsi="Calibri"/>
                <w:b/>
              </w:rPr>
              <w:t xml:space="preserve">▪  </w:t>
            </w:r>
            <w:r>
              <w:t xml:space="preserve">Perform the </w:t>
            </w:r>
            <w:r>
              <w:rPr>
                <w:b/>
              </w:rPr>
              <w:t>first count</w:t>
            </w:r>
            <w:r>
              <w:t xml:space="preserve"> with the circulating nurse.</w:t>
            </w:r>
          </w:p>
          <w:p>
            <w:pPr>
              <w:pStyle w:val="BoxBody"/>
              <w:spacing w:before="20" w:after="40"/>
              <w:ind w:start="204" w:hanging="204"/>
            </w:pPr>
            <w:r>
              <w:rPr>
                <w:rFonts w:ascii="Calibri" w:hAnsi="Calibri"/>
                <w:b/>
              </w:rPr>
              <w:t xml:space="preserve">▪  </w:t>
            </w:r>
            <w:r>
              <w:t>Drape the patient; bring the Mayo stand into position last.</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BACK TABLE — RULES OF ARRANGEMENT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Zone by function</w:t>
            </w:r>
          </w:p>
        </w:tc>
        <w:tc>
          <w:tcPr>
            <w:tcW w:type="dxa" w:w="5754"/>
            <w:vAlign w:val="top"/>
            <w:tcMar>
              <w:top w:w="36" w:type="dxa"/>
              <w:start w:w="80" w:type="dxa"/>
              <w:bottom w:w="36" w:type="dxa"/>
              <w:end w:w="80" w:type="dxa"/>
            </w:tcMar>
          </w:tcPr>
          <w:p>
            <w:pPr>
              <w:pStyle w:val="TabCellSm"/>
              <w:jc w:val="left"/>
            </w:pPr>
            <w:r>
              <w:t>Sharps and suture · instruments · sponges and dressings · basins, drapes and gowns.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Group and align</w:t>
            </w:r>
          </w:p>
        </w:tc>
        <w:tc>
          <w:tcPr>
            <w:tcW w:type="dxa" w:w="5754"/>
            <w:shd w:val="clear" w:color="auto" w:fill="F6F6F6"/>
            <w:vAlign w:val="top"/>
            <w:tcMar>
              <w:top w:w="36" w:type="dxa"/>
              <w:start w:w="80" w:type="dxa"/>
              <w:bottom w:w="36" w:type="dxa"/>
              <w:end w:w="80" w:type="dxa"/>
            </w:tcMar>
          </w:tcPr>
          <w:p>
            <w:pPr>
              <w:pStyle w:val="TabCellSm"/>
              <w:jc w:val="left"/>
            </w:pPr>
            <w:r>
              <w:t>Instruments grouped by functional class with all tips pointing the same way.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Segregate sharps</w:t>
            </w:r>
          </w:p>
        </w:tc>
        <w:tc>
          <w:tcPr>
            <w:tcW w:type="dxa" w:w="5754"/>
            <w:vAlign w:val="top"/>
            <w:tcMar>
              <w:top w:w="36" w:type="dxa"/>
              <w:start w:w="80" w:type="dxa"/>
              <w:bottom w:w="36" w:type="dxa"/>
              <w:end w:w="80" w:type="dxa"/>
            </w:tcMar>
          </w:tcPr>
          <w:p>
            <w:pPr>
              <w:pStyle w:val="TabCellSm"/>
              <w:jc w:val="left"/>
            </w:pPr>
            <w:r>
              <w:t>Blades and needles in a magnetic pad, needle book or counter — never loose among instruments or sponges.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Heaviest and least used furthest away</w:t>
            </w:r>
          </w:p>
        </w:tc>
        <w:tc>
          <w:tcPr>
            <w:tcW w:type="dxa" w:w="5754"/>
            <w:shd w:val="clear" w:color="auto" w:fill="F6F6F6"/>
            <w:vAlign w:val="top"/>
            <w:tcMar>
              <w:top w:w="36" w:type="dxa"/>
              <w:start w:w="80" w:type="dxa"/>
              <w:bottom w:w="36" w:type="dxa"/>
              <w:end w:w="80" w:type="dxa"/>
            </w:tcMar>
          </w:tcPr>
          <w:p>
            <w:pPr>
              <w:pStyle w:val="TabCellSm"/>
              <w:jc w:val="left"/>
            </w:pPr>
            <w:r>
              <w:t>Basins, extra drapes and gowns at the far end.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Only the top surface is sterile</w:t>
            </w:r>
          </w:p>
        </w:tc>
        <w:tc>
          <w:tcPr>
            <w:tcW w:type="dxa" w:w="5754"/>
            <w:vAlign w:val="top"/>
            <w:tcMar>
              <w:top w:w="36" w:type="dxa"/>
              <w:start w:w="80" w:type="dxa"/>
              <w:bottom w:w="36" w:type="dxa"/>
              <w:end w:w="80" w:type="dxa"/>
            </w:tcMar>
          </w:tcPr>
          <w:p>
            <w:pPr>
              <w:pStyle w:val="TabCellSm"/>
              <w:jc w:val="left"/>
            </w:pPr>
            <w:r>
              <w:t>A draped table is sterile at table-top level only; anything below the edge is unsterile.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Never reach across</w:t>
            </w:r>
          </w:p>
        </w:tc>
        <w:tc>
          <w:tcPr>
            <w:tcW w:type="dxa" w:w="5754"/>
            <w:shd w:val="clear" w:color="auto" w:fill="F6F6F6"/>
            <w:vAlign w:val="top"/>
            <w:tcMar>
              <w:top w:w="36" w:type="dxa"/>
              <w:start w:w="80" w:type="dxa"/>
              <w:bottom w:w="36" w:type="dxa"/>
              <w:end w:w="80" w:type="dxa"/>
            </w:tcMar>
          </w:tcPr>
          <w:p>
            <w:pPr>
              <w:pStyle w:val="TabCellSm"/>
              <w:jc w:val="left"/>
            </w:pPr>
            <w:r>
              <w:t>Approach the table from your own side; do not lean over the sterile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MAYO STAND — RULES OF USE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Carry only what is needed now</w:t>
            </w:r>
          </w:p>
        </w:tc>
        <w:tc>
          <w:tcPr>
            <w:tcW w:type="dxa" w:w="5754"/>
            <w:vAlign w:val="top"/>
            <w:tcMar>
              <w:top w:w="36" w:type="dxa"/>
              <w:start w:w="80" w:type="dxa"/>
              <w:bottom w:w="36" w:type="dxa"/>
              <w:end w:w="80" w:type="dxa"/>
            </w:tcMar>
          </w:tcPr>
          <w:p>
            <w:pPr>
              <w:pStyle w:val="TabCellSm"/>
              <w:jc w:val="left"/>
            </w:pPr>
            <w:r>
              <w:t>Knife, scissors, forceps, haemostats, needle holder and suture for the current step.</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Fixed quadrants</w:t>
            </w:r>
          </w:p>
        </w:tc>
        <w:tc>
          <w:tcPr>
            <w:tcW w:type="dxa" w:w="5754"/>
            <w:shd w:val="clear" w:color="auto" w:fill="F6F6F6"/>
            <w:vAlign w:val="top"/>
            <w:tcMar>
              <w:top w:w="36" w:type="dxa"/>
              <w:start w:w="80" w:type="dxa"/>
              <w:bottom w:w="36" w:type="dxa"/>
              <w:end w:w="80" w:type="dxa"/>
            </w:tcMar>
          </w:tcPr>
          <w:p>
            <w:pPr>
              <w:pStyle w:val="TabCellSm"/>
              <w:jc w:val="left"/>
            </w:pPr>
            <w:r>
              <w:t>Keep the same layout for every case so instruments can be picked without looking.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Position after draping</w:t>
            </w:r>
          </w:p>
        </w:tc>
        <w:tc>
          <w:tcPr>
            <w:tcW w:type="dxa" w:w="5754"/>
            <w:vAlign w:val="top"/>
            <w:tcMar>
              <w:top w:w="36" w:type="dxa"/>
              <w:start w:w="80" w:type="dxa"/>
              <w:bottom w:w="36" w:type="dxa"/>
              <w:end w:w="80" w:type="dxa"/>
            </w:tcMar>
          </w:tcPr>
          <w:p>
            <w:pPr>
              <w:pStyle w:val="TabCellSm"/>
              <w:jc w:val="left"/>
            </w:pPr>
            <w:r>
              <w:t>Never place the stand over the patient until draping is complete.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Replenish continuously</w:t>
            </w:r>
          </w:p>
        </w:tc>
        <w:tc>
          <w:tcPr>
            <w:tcW w:type="dxa" w:w="5754"/>
            <w:shd w:val="clear" w:color="auto" w:fill="F6F6F6"/>
            <w:vAlign w:val="top"/>
            <w:tcMar>
              <w:top w:w="36" w:type="dxa"/>
              <w:start w:w="80" w:type="dxa"/>
              <w:bottom w:w="36" w:type="dxa"/>
              <w:end w:w="80" w:type="dxa"/>
            </w:tcMar>
          </w:tcPr>
          <w:p>
            <w:pPr>
              <w:pStyle w:val="TabCellSm"/>
              <w:jc w:val="left"/>
            </w:pPr>
            <w:r>
              <w:t>Return used instruments to the back table, wiped clean, and refresh the stand for the next step.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GENERAL STERILE-FIELD DISCIPLINE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Sterile to sterile only</w:t>
            </w:r>
          </w:p>
        </w:tc>
        <w:tc>
          <w:tcPr>
            <w:tcW w:type="dxa" w:w="5754"/>
            <w:vAlign w:val="top"/>
            <w:tcMar>
              <w:top w:w="36" w:type="dxa"/>
              <w:start w:w="80" w:type="dxa"/>
              <w:bottom w:w="36" w:type="dxa"/>
              <w:end w:w="80" w:type="dxa"/>
            </w:tcMar>
          </w:tcPr>
          <w:p>
            <w:pPr>
              <w:pStyle w:val="TabCellSm"/>
              <w:jc w:val="left"/>
            </w:pPr>
            <w:r>
              <w:t>Sterile items and personnel contact only sterile items.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Keep within view</w:t>
            </w:r>
          </w:p>
        </w:tc>
        <w:tc>
          <w:tcPr>
            <w:tcW w:type="dxa" w:w="5754"/>
            <w:shd w:val="clear" w:color="auto" w:fill="F6F6F6"/>
            <w:vAlign w:val="top"/>
            <w:tcMar>
              <w:top w:w="36" w:type="dxa"/>
              <w:start w:w="80" w:type="dxa"/>
              <w:bottom w:w="36" w:type="dxa"/>
              <w:end w:w="80" w:type="dxa"/>
            </w:tcMar>
          </w:tcPr>
          <w:p>
            <w:pPr>
              <w:pStyle w:val="TabCellSm"/>
              <w:jc w:val="left"/>
            </w:pPr>
            <w:r>
              <w:t>An unobserved sterile field is considered contaminated.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Gown sterile zone</w:t>
            </w:r>
          </w:p>
        </w:tc>
        <w:tc>
          <w:tcPr>
            <w:tcW w:type="dxa" w:w="5754"/>
            <w:vAlign w:val="top"/>
            <w:tcMar>
              <w:top w:w="36" w:type="dxa"/>
              <w:start w:w="80" w:type="dxa"/>
              <w:bottom w:w="36" w:type="dxa"/>
              <w:end w:w="80" w:type="dxa"/>
            </w:tcMar>
          </w:tcPr>
          <w:p>
            <w:pPr>
              <w:pStyle w:val="TabCellSm"/>
              <w:jc w:val="left"/>
            </w:pPr>
            <w:r>
              <w:t>Front from chest to sterile-field level, and sleeves from 5 cm above the elbow to the cuff.</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Hands in sight</w:t>
            </w:r>
          </w:p>
        </w:tc>
        <w:tc>
          <w:tcPr>
            <w:tcW w:type="dxa" w:w="5754"/>
            <w:shd w:val="clear" w:color="auto" w:fill="F6F6F6"/>
            <w:vAlign w:val="top"/>
            <w:tcMar>
              <w:top w:w="36" w:type="dxa"/>
              <w:start w:w="80" w:type="dxa"/>
              <w:bottom w:w="36" w:type="dxa"/>
              <w:end w:w="80" w:type="dxa"/>
            </w:tcMar>
          </w:tcPr>
          <w:p>
            <w:pPr>
              <w:pStyle w:val="TabCellSm"/>
              <w:jc w:val="left"/>
            </w:pPr>
            <w:r>
              <w:t>Keep hands above waist and in front; never below the table edge or under the arms.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Moisture transmits contamination</w:t>
            </w:r>
          </w:p>
        </w:tc>
        <w:tc>
          <w:tcPr>
            <w:tcW w:type="dxa" w:w="5754"/>
            <w:vAlign w:val="top"/>
            <w:tcMar>
              <w:top w:w="36" w:type="dxa"/>
              <w:start w:w="80" w:type="dxa"/>
              <w:bottom w:w="36" w:type="dxa"/>
              <w:end w:w="80" w:type="dxa"/>
            </w:tcMar>
          </w:tcPr>
          <w:p>
            <w:pPr>
              <w:pStyle w:val="TabCellSm"/>
              <w:jc w:val="left"/>
            </w:pPr>
            <w:r>
              <w:t>Strike-through of a wet drape contaminates the field.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Open packs away from you</w:t>
            </w:r>
          </w:p>
        </w:tc>
        <w:tc>
          <w:tcPr>
            <w:tcW w:type="dxa" w:w="5754"/>
            <w:shd w:val="clear" w:color="auto" w:fill="F6F6F6"/>
            <w:vAlign w:val="top"/>
            <w:tcMar>
              <w:top w:w="36" w:type="dxa"/>
              <w:start w:w="80" w:type="dxa"/>
              <w:bottom w:w="36" w:type="dxa"/>
              <w:end w:w="80" w:type="dxa"/>
            </w:tcMar>
          </w:tcPr>
          <w:p>
            <w:pPr>
              <w:pStyle w:val="TabCellSm"/>
              <w:jc w:val="left"/>
            </w:pPr>
            <w:r>
              <w:t>The far flap first, near flap last; the 2.5 cm pack margin is unsterile.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3032316"/>
            <wp:docPr id="10" name="Picture 10"/>
            <wp:cNvGraphicFramePr>
              <a:graphicFrameLocks noChangeAspect="1"/>
            </wp:cNvGraphicFramePr>
            <a:graphic>
              <a:graphicData uri="http://schemas.openxmlformats.org/drawingml/2006/picture">
                <pic:pic>
                  <pic:nvPicPr>
                    <pic:cNvPr id="0" name="fig_backtable.png"/>
                    <pic:cNvPicPr/>
                  </pic:nvPicPr>
                  <pic:blipFill>
                    <a:blip r:embed="rId20"/>
                    <a:stretch>
                      <a:fillRect/>
                    </a:stretch>
                  </pic:blipFill>
                  <pic:spPr>
                    <a:xfrm>
                      <a:off x="0" y="0"/>
                      <a:ext cx="4752000" cy="3032316"/>
                    </a:xfrm>
                    <a:prstGeom prst="rect"/>
                  </pic:spPr>
                </pic:pic>
              </a:graphicData>
            </a:graphic>
          </wp:inline>
        </w:drawing>
      </w:r>
    </w:p>
    <w:p>
      <w:pPr>
        <w:pStyle w:val="FigCaption"/>
        <w:jc w:val="center"/>
        <w:spacing w:before="40" w:after="120"/>
      </w:pPr>
      <w:r>
        <w:t>Fig 0.10 — Back table: standard zoned arrangement</w:t>
      </w: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529217"/>
            <wp:docPr id="11" name="Picture 11"/>
            <wp:cNvGraphicFramePr>
              <a:graphicFrameLocks noChangeAspect="1"/>
            </wp:cNvGraphicFramePr>
            <a:graphic>
              <a:graphicData uri="http://schemas.openxmlformats.org/drawingml/2006/picture">
                <pic:pic>
                  <pic:nvPicPr>
                    <pic:cNvPr id="0" name="fig_mayo_stand.png"/>
                    <pic:cNvPicPr/>
                  </pic:nvPicPr>
                  <pic:blipFill>
                    <a:blip r:embed="rId21"/>
                    <a:stretch>
                      <a:fillRect/>
                    </a:stretch>
                  </pic:blipFill>
                  <pic:spPr>
                    <a:xfrm>
                      <a:off x="0" y="0"/>
                      <a:ext cx="4752000" cy="2529217"/>
                    </a:xfrm>
                    <a:prstGeom prst="rect"/>
                  </pic:spPr>
                </pic:pic>
              </a:graphicData>
            </a:graphic>
          </wp:inline>
        </w:drawing>
      </w:r>
    </w:p>
    <w:p>
      <w:pPr>
        <w:pStyle w:val="FigCaption"/>
        <w:jc w:val="center"/>
        <w:spacing w:before="40" w:after="120"/>
      </w:pPr>
      <w:r>
        <w:t>Fig 0.11 — Mayo stand: the working surface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Only the table top is sterile</w:t>
            </w:r>
            <w:r>
              <w:t xml:space="preserve"> — a very common one-liner.</w:t>
            </w:r>
          </w:p>
          <w:p>
            <w:pPr>
              <w:pStyle w:val="BoxBody"/>
              <w:spacing w:before="20" w:after="40"/>
              <w:ind w:start="204" w:hanging="204"/>
            </w:pPr>
            <w:r>
              <w:rPr>
                <w:rFonts w:ascii="Calibri" w:hAnsi="Calibri"/>
                <w:b/>
              </w:rPr>
              <w:t xml:space="preserve">▪  </w:t>
            </w:r>
            <w:r>
              <w:t xml:space="preserve">Blades are mounted and removed with a </w:t>
            </w:r>
            <w:r>
              <w:rPr>
                <w:b/>
              </w:rPr>
              <w:t>needle holder</w:t>
            </w:r>
            <w:r>
              <w:t>, never fingers.</w:t>
            </w:r>
          </w:p>
          <w:p>
            <w:pPr>
              <w:pStyle w:val="BoxBody"/>
              <w:spacing w:before="20" w:after="40"/>
              <w:ind w:start="204" w:hanging="204"/>
            </w:pPr>
            <w:r>
              <w:rPr>
                <w:rFonts w:ascii="Calibri" w:hAnsi="Calibri"/>
                <w:b/>
              </w:rPr>
              <w:t xml:space="preserve">▪  </w:t>
            </w:r>
            <w:r>
              <w:t xml:space="preserve">The </w:t>
            </w:r>
            <w:r>
              <w:rPr>
                <w:b/>
              </w:rPr>
              <w:t>first count occurs before the skin incision</w:t>
            </w:r>
            <w:r>
              <w:t>.</w:t>
            </w:r>
          </w:p>
          <w:p>
            <w:pPr>
              <w:pStyle w:val="BoxBody"/>
              <w:spacing w:before="20" w:after="40"/>
              <w:ind w:start="204" w:hanging="204"/>
            </w:pPr>
            <w:r>
              <w:rPr>
                <w:rFonts w:ascii="Calibri" w:hAnsi="Calibri"/>
                <w:b/>
              </w:rPr>
              <w:t xml:space="preserve">▪  </w:t>
            </w:r>
            <w:r>
              <w:t xml:space="preserve">The Mayo stand comes over the patient </w:t>
            </w:r>
            <w:r>
              <w:rPr>
                <w:b/>
              </w:rPr>
              <w:t>after</w:t>
            </w:r>
            <w:r>
              <w:t xml:space="preserve"> draping is complete.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is the back table organised?</w:t>
      </w:r>
    </w:p>
    <w:p>
      <w:pPr>
        <w:pStyle w:val="QBank"/>
        <w:spacing w:before="0" w:after="100"/>
        <w:ind w:start="595" w:hanging="283"/>
      </w:pPr>
      <w:r>
        <w:rPr>
          <w:rFonts w:ascii="Calibri" w:hAnsi="Calibri"/>
          <w:b/>
        </w:rPr>
        <w:t xml:space="preserve">A.  </w:t>
      </w:r>
      <w:r>
        <w:t>In fixed functional zones — sharps and suture, instruments grouped by class with tips aligned, sponges and dressings, then basins/drapes/gowns furthest away — with sharps segregated and heavy items away from the edge; only the table-top surface is sterile.</w:t>
      </w:r>
    </w:p>
    <w:p>
      <w:pPr>
        <w:spacing w:before="80" w:after="20"/>
        <w:ind w:start="311" w:hanging="311"/>
        <w:keepLines/>
        <w:keepNext/>
      </w:pPr>
      <w:r>
        <w:rPr>
          <w:rFonts w:ascii="Calibri" w:hAnsi="Calibri"/>
          <w:b/>
          <w:sz w:val="19"/>
        </w:rPr>
        <w:t xml:space="preserve">Q2.  </w:t>
      </w:r>
      <w:r>
        <w:rPr>
          <w:b/>
          <w:sz w:val="19"/>
        </w:rPr>
        <w:t>Differentiate the back table from the Mayo stand.</w:t>
      </w:r>
    </w:p>
    <w:p>
      <w:pPr>
        <w:pStyle w:val="QBank"/>
        <w:spacing w:before="0" w:after="100"/>
        <w:ind w:start="595" w:hanging="283"/>
      </w:pPr>
      <w:r>
        <w:rPr>
          <w:rFonts w:ascii="Calibri" w:hAnsi="Calibri"/>
          <w:b/>
        </w:rPr>
        <w:t xml:space="preserve">A.  </w:t>
      </w:r>
      <w:r>
        <w:t>The back table holds the entire set and supplies and stays away from the patient; the Mayo stand is a small movable surface holding only the instruments required for the current step, positioned over the patient after draping.</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0" w:name="tray_0_7"/>
      <w:r>
        <w:rPr>
          <w:rFonts w:ascii="Calibri" w:hAnsi="Calibri"/>
          <w:b/>
          <w:color w:val="666666"/>
          <w:sz w:val="29"/>
        </w:rPr>
        <w:t xml:space="preserve">0.7   </w:t>
      </w:r>
      <w:r>
        <w:rPr>
          <w:rFonts w:ascii="Calibri" w:hAnsi="Calibri"/>
          <w:b/>
          <w:sz w:val="29"/>
        </w:rPr>
        <w:t>The Surgical Count</w:t>
      </w:r>
      <w:bookmarkEnd w:id="1010"/>
    </w:p>
    <w:p>
      <w:pPr>
        <w:spacing w:before="60" w:after="100"/>
      </w:pPr>
      <w:r>
        <w:rPr>
          <w:rFonts w:ascii="Calibri" w:hAnsi="Calibri"/>
          <w:b/>
          <w:caps/>
          <w:color w:val="555555"/>
          <w:sz w:val="17"/>
        </w:rPr>
        <w:t xml:space="preserve">Also called:  </w:t>
      </w:r>
      <w:r>
        <w:rPr>
          <w:i/>
          <w:color w:val="333333"/>
          <w:sz w:val="18"/>
        </w:rPr>
        <w:t>Sponge, sharp and instrument count</w:t>
      </w:r>
    </w:p>
    <w:p>
      <w:pPr>
        <w:pStyle w:val="TrayLead"/>
      </w:pPr>
      <w:r>
        <w:t xml:space="preserve">The count is the systematic, audible, concurrent tally of every countable item, performed by the </w:t>
      </w:r>
      <w:r>
        <w:rPr>
          <w:b/>
        </w:rPr>
        <w:t>scrub and circulating nurse together</w:t>
      </w:r>
      <w:r>
        <w:t xml:space="preserve">, and recorded. Its purpose is to prevent a </w:t>
      </w:r>
      <w:r>
        <w:rPr>
          <w:b/>
        </w:rPr>
        <w:t>retained surgical item</w:t>
      </w:r>
      <w:r>
        <w:t xml:space="preserve"> — a sentinel event.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High-risk situations</w:t>
            </w:r>
          </w:p>
          <w:p>
            <w:pPr>
              <w:pStyle w:val="BoxBody"/>
              <w:spacing w:before="20" w:after="40"/>
              <w:ind w:start="204" w:hanging="204"/>
            </w:pPr>
            <w:r>
              <w:rPr>
                <w:rFonts w:ascii="Calibri" w:hAnsi="Calibri"/>
                <w:b/>
              </w:rPr>
              <w:t xml:space="preserve">▪  </w:t>
            </w:r>
            <w:r>
              <w:t>Emergency and unplanned surgery</w:t>
            </w:r>
          </w:p>
          <w:p>
            <w:pPr>
              <w:pStyle w:val="BoxBody"/>
              <w:spacing w:before="20" w:after="40"/>
              <w:ind w:start="204" w:hanging="204"/>
            </w:pPr>
            <w:r>
              <w:rPr>
                <w:rFonts w:ascii="Calibri" w:hAnsi="Calibri"/>
                <w:b/>
              </w:rPr>
              <w:t xml:space="preserve">▪  </w:t>
            </w:r>
            <w:r>
              <w:t>Change of operative plan mid-case</w:t>
            </w:r>
          </w:p>
          <w:p>
            <w:pPr>
              <w:pStyle w:val="BoxBody"/>
              <w:spacing w:before="20" w:after="40"/>
              <w:ind w:start="204" w:hanging="204"/>
            </w:pPr>
            <w:r>
              <w:rPr>
                <w:rFonts w:ascii="Calibri" w:hAnsi="Calibri"/>
                <w:b/>
              </w:rPr>
              <w:t xml:space="preserve">▪  </w:t>
            </w:r>
            <w:r>
              <w:t>High BMI / deep cavity</w:t>
            </w:r>
          </w:p>
          <w:p>
            <w:pPr>
              <w:pStyle w:val="BoxBody"/>
              <w:spacing w:before="20" w:after="40"/>
              <w:ind w:start="204" w:hanging="204"/>
            </w:pPr>
            <w:r>
              <w:rPr>
                <w:rFonts w:ascii="Calibri" w:hAnsi="Calibri"/>
                <w:b/>
              </w:rPr>
              <w:t xml:space="preserve">▪  </w:t>
            </w:r>
            <w:r>
              <w:t>Multiple surgical teams or cavities</w:t>
            </w:r>
          </w:p>
          <w:p>
            <w:pPr>
              <w:pStyle w:val="BoxBody"/>
              <w:spacing w:before="20" w:after="40"/>
              <w:ind w:start="204" w:hanging="204"/>
            </w:pPr>
            <w:r>
              <w:rPr>
                <w:rFonts w:ascii="Calibri" w:hAnsi="Calibri"/>
                <w:b/>
              </w:rPr>
              <w:t xml:space="preserve">▪  </w:t>
            </w:r>
            <w:r>
              <w:t>Change of nursing staff during the case</w:t>
            </w:r>
          </w:p>
          <w:p>
            <w:pPr>
              <w:pStyle w:val="BoxBody"/>
              <w:spacing w:before="20" w:after="40"/>
              <w:ind w:start="204" w:hanging="204"/>
            </w:pPr>
            <w:r>
              <w:rPr>
                <w:rFonts w:ascii="Calibri" w:hAnsi="Calibri"/>
                <w:b/>
              </w:rPr>
              <w:t xml:space="preserve">▪  </w:t>
            </w:r>
            <w:r>
              <w:t>Large blood loss and rapid packing</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WHAT IS COUNTED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Sponges and gauze</w:t>
            </w:r>
          </w:p>
        </w:tc>
        <w:tc>
          <w:tcPr>
            <w:tcW w:type="dxa" w:w="5754"/>
            <w:vAlign w:val="top"/>
            <w:tcMar>
              <w:top w:w="36" w:type="dxa"/>
              <w:start w:w="80" w:type="dxa"/>
              <w:bottom w:w="36" w:type="dxa"/>
              <w:end w:w="80" w:type="dxa"/>
            </w:tcMar>
          </w:tcPr>
          <w:p>
            <w:pPr>
              <w:pStyle w:val="TabCellSm"/>
              <w:jc w:val="left"/>
            </w:pPr>
            <w:r>
              <w:t>Raytex, laparotomy pads, peanuts — all radio-opaque; counted in standard bundles of 5 or 10.</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Sharps</w:t>
            </w:r>
          </w:p>
        </w:tc>
        <w:tc>
          <w:tcPr>
            <w:tcW w:type="dxa" w:w="5754"/>
            <w:shd w:val="clear" w:color="auto" w:fill="F6F6F6"/>
            <w:vAlign w:val="top"/>
            <w:tcMar>
              <w:top w:w="36" w:type="dxa"/>
              <w:start w:w="80" w:type="dxa"/>
              <w:bottom w:w="36" w:type="dxa"/>
              <w:end w:w="80" w:type="dxa"/>
            </w:tcMar>
          </w:tcPr>
          <w:p>
            <w:pPr>
              <w:pStyle w:val="TabCellSm"/>
              <w:jc w:val="left"/>
            </w:pPr>
            <w:r>
              <w:t>Blades, suture needles, hypodermic needles, electrosurgical tips, safety pins.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Instruments</w:t>
            </w:r>
          </w:p>
        </w:tc>
        <w:tc>
          <w:tcPr>
            <w:tcW w:type="dxa" w:w="5754"/>
            <w:vAlign w:val="top"/>
            <w:tcMar>
              <w:top w:w="36" w:type="dxa"/>
              <w:start w:w="80" w:type="dxa"/>
              <w:bottom w:w="36" w:type="dxa"/>
              <w:end w:w="80" w:type="dxa"/>
            </w:tcMar>
          </w:tcPr>
          <w:p>
            <w:pPr>
              <w:pStyle w:val="TabCellSm"/>
              <w:jc w:val="left"/>
            </w:pPr>
            <w:r>
              <w:t>Every item on the count sheet, including detachable parts (blades, screws, inner tubes).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Miscellaneous</w:t>
            </w:r>
          </w:p>
        </w:tc>
        <w:tc>
          <w:tcPr>
            <w:tcW w:type="dxa" w:w="5754"/>
            <w:shd w:val="clear" w:color="auto" w:fill="F6F6F6"/>
            <w:vAlign w:val="top"/>
            <w:tcMar>
              <w:top w:w="36" w:type="dxa"/>
              <w:start w:w="80" w:type="dxa"/>
              <w:bottom w:w="36" w:type="dxa"/>
              <w:end w:w="80" w:type="dxa"/>
            </w:tcMar>
          </w:tcPr>
          <w:p>
            <w:pPr>
              <w:pStyle w:val="TabCellSm"/>
              <w:jc w:val="left"/>
            </w:pPr>
            <w:r>
              <w:t>Umbilical and cotton tapes, vessel loops, clip cartridges, bulldogs, trocar seals, catheter guidewires.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WHEN TO COUNT</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Before the incision</w:t>
            </w:r>
          </w:p>
        </w:tc>
        <w:tc>
          <w:tcPr>
            <w:tcW w:type="dxa" w:w="5754"/>
            <w:vAlign w:val="top"/>
            <w:tcMar>
              <w:top w:w="36" w:type="dxa"/>
              <w:start w:w="80" w:type="dxa"/>
              <w:bottom w:w="36" w:type="dxa"/>
              <w:end w:w="80" w:type="dxa"/>
            </w:tcMar>
          </w:tcPr>
          <w:p>
            <w:pPr>
              <w:pStyle w:val="TabCellSm"/>
              <w:jc w:val="left"/>
            </w:pPr>
            <w:r>
              <w:t>Baseline count — establishes the reference figure.</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Before closure of a cavity</w:t>
            </w:r>
          </w:p>
        </w:tc>
        <w:tc>
          <w:tcPr>
            <w:tcW w:type="dxa" w:w="5754"/>
            <w:shd w:val="clear" w:color="auto" w:fill="F6F6F6"/>
            <w:vAlign w:val="top"/>
            <w:tcMar>
              <w:top w:w="36" w:type="dxa"/>
              <w:start w:w="80" w:type="dxa"/>
              <w:bottom w:w="36" w:type="dxa"/>
              <w:end w:w="80" w:type="dxa"/>
            </w:tcMar>
          </w:tcPr>
          <w:p>
            <w:pPr>
              <w:pStyle w:val="TabCellSm"/>
              <w:jc w:val="left"/>
            </w:pPr>
            <w:r>
              <w:t>e.g. before the peritoneum is closed.</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Before closure of the wound</w:t>
            </w:r>
          </w:p>
        </w:tc>
        <w:tc>
          <w:tcPr>
            <w:tcW w:type="dxa" w:w="5754"/>
            <w:vAlign w:val="top"/>
            <w:tcMar>
              <w:top w:w="36" w:type="dxa"/>
              <w:start w:w="80" w:type="dxa"/>
              <w:bottom w:w="36" w:type="dxa"/>
              <w:end w:w="80" w:type="dxa"/>
            </w:tcMar>
          </w:tcPr>
          <w:p>
            <w:pPr>
              <w:pStyle w:val="TabCellSm"/>
              <w:jc w:val="left"/>
            </w:pPr>
            <w:r>
              <w:t>At the fascial / muscle layer.</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At skin closure</w:t>
            </w:r>
          </w:p>
        </w:tc>
        <w:tc>
          <w:tcPr>
            <w:tcW w:type="dxa" w:w="5754"/>
            <w:shd w:val="clear" w:color="auto" w:fill="F6F6F6"/>
            <w:vAlign w:val="top"/>
            <w:tcMar>
              <w:top w:w="36" w:type="dxa"/>
              <w:start w:w="80" w:type="dxa"/>
              <w:bottom w:w="36" w:type="dxa"/>
              <w:end w:w="80" w:type="dxa"/>
            </w:tcMar>
          </w:tcPr>
          <w:p>
            <w:pPr>
              <w:pStyle w:val="TabCellSm"/>
              <w:jc w:val="left"/>
            </w:pPr>
            <w:r>
              <w:t>Final reconciliation and documentation.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Additional counts</w:t>
            </w:r>
          </w:p>
        </w:tc>
        <w:tc>
          <w:tcPr>
            <w:tcW w:type="dxa" w:w="5754"/>
            <w:vAlign w:val="top"/>
            <w:tcMar>
              <w:top w:w="36" w:type="dxa"/>
              <w:start w:w="80" w:type="dxa"/>
              <w:bottom w:w="36" w:type="dxa"/>
              <w:end w:w="80" w:type="dxa"/>
            </w:tcMar>
          </w:tcPr>
          <w:p>
            <w:pPr>
              <w:pStyle w:val="TabCellSm"/>
              <w:jc w:val="left"/>
            </w:pPr>
            <w:r>
              <w:t>On any change of scrub or circulating nurse, whenever items are added, and whenever there is any doubt.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HOW TO COUNT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Audibly and concurrently</w:t>
            </w:r>
          </w:p>
        </w:tc>
        <w:tc>
          <w:tcPr>
            <w:tcW w:type="dxa" w:w="5754"/>
            <w:vAlign w:val="top"/>
            <w:tcMar>
              <w:top w:w="36" w:type="dxa"/>
              <w:start w:w="80" w:type="dxa"/>
              <w:bottom w:w="36" w:type="dxa"/>
              <w:end w:w="80" w:type="dxa"/>
            </w:tcMar>
          </w:tcPr>
          <w:p>
            <w:pPr>
              <w:pStyle w:val="TabCellSm"/>
              <w:jc w:val="left"/>
            </w:pPr>
            <w:r>
              <w:t>Both nurses see and count each item at the same time.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In a set sequence</w:t>
            </w:r>
          </w:p>
        </w:tc>
        <w:tc>
          <w:tcPr>
            <w:tcW w:type="dxa" w:w="5754"/>
            <w:shd w:val="clear" w:color="auto" w:fill="F6F6F6"/>
            <w:vAlign w:val="top"/>
            <w:tcMar>
              <w:top w:w="36" w:type="dxa"/>
              <w:start w:w="80" w:type="dxa"/>
              <w:bottom w:w="36" w:type="dxa"/>
              <w:end w:w="80" w:type="dxa"/>
            </w:tcMar>
          </w:tcPr>
          <w:p>
            <w:pPr>
              <w:pStyle w:val="TabCellSm"/>
              <w:jc w:val="left"/>
            </w:pPr>
            <w:r>
              <w:t>Field → Mayo stand → back table → off-field receptacles; always the same order.</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Separate and display</w:t>
            </w:r>
          </w:p>
        </w:tc>
        <w:tc>
          <w:tcPr>
            <w:tcW w:type="dxa" w:w="5754"/>
            <w:vAlign w:val="top"/>
            <w:tcMar>
              <w:top w:w="36" w:type="dxa"/>
              <w:start w:w="80" w:type="dxa"/>
              <w:bottom w:w="36" w:type="dxa"/>
              <w:end w:w="80" w:type="dxa"/>
            </w:tcMar>
          </w:tcPr>
          <w:p>
            <w:pPr>
              <w:pStyle w:val="TabCellSm"/>
              <w:jc w:val="left"/>
            </w:pPr>
            <w:r>
              <w:t>Sponges separated and spread; needles counted on a magnetic pad or in a needle box.</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Record immediately</w:t>
            </w:r>
          </w:p>
        </w:tc>
        <w:tc>
          <w:tcPr>
            <w:tcW w:type="dxa" w:w="5754"/>
            <w:shd w:val="clear" w:color="auto" w:fill="F6F6F6"/>
            <w:vAlign w:val="top"/>
            <w:tcMar>
              <w:top w:w="36" w:type="dxa"/>
              <w:start w:w="80" w:type="dxa"/>
              <w:bottom w:w="36" w:type="dxa"/>
              <w:end w:w="80" w:type="dxa"/>
            </w:tcMar>
          </w:tcPr>
          <w:p>
            <w:pPr>
              <w:pStyle w:val="TabCellSm"/>
              <w:jc w:val="left"/>
            </w:pPr>
            <w:r>
              <w:t>Documented on the count sheet/board as each count is completed.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Never remove counted items</w:t>
            </w:r>
          </w:p>
        </w:tc>
        <w:tc>
          <w:tcPr>
            <w:tcW w:type="dxa" w:w="5754"/>
            <w:vAlign w:val="top"/>
            <w:tcMar>
              <w:top w:w="36" w:type="dxa"/>
              <w:start w:w="80" w:type="dxa"/>
              <w:bottom w:w="36" w:type="dxa"/>
              <w:end w:w="80" w:type="dxa"/>
            </w:tcMar>
          </w:tcPr>
          <w:p>
            <w:pPr>
              <w:pStyle w:val="TabCellSm"/>
              <w:jc w:val="left"/>
            </w:pPr>
            <w:r>
              <w:t>No counted sponge or sharp leaves the theatre until the case ends.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IF THE COUNT DOES NOT RECONCILE</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Inform the surgeon at once</w:t>
            </w:r>
          </w:p>
        </w:tc>
        <w:tc>
          <w:tcPr>
            <w:tcW w:type="dxa" w:w="5754"/>
            <w:vAlign w:val="top"/>
            <w:tcMar>
              <w:top w:w="36" w:type="dxa"/>
              <w:start w:w="80" w:type="dxa"/>
              <w:bottom w:w="36" w:type="dxa"/>
              <w:end w:w="80" w:type="dxa"/>
            </w:tcMar>
          </w:tcPr>
          <w:p>
            <w:pPr>
              <w:pStyle w:val="TabCellSm"/>
              <w:jc w:val="left"/>
            </w:pPr>
            <w:r>
              <w:t>Closure pauses.</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Recount</w:t>
            </w:r>
          </w:p>
        </w:tc>
        <w:tc>
          <w:tcPr>
            <w:tcW w:type="dxa" w:w="5754"/>
            <w:shd w:val="clear" w:color="auto" w:fill="F6F6F6"/>
            <w:vAlign w:val="top"/>
            <w:tcMar>
              <w:top w:w="36" w:type="dxa"/>
              <w:start w:w="80" w:type="dxa"/>
              <w:bottom w:w="36" w:type="dxa"/>
              <w:end w:w="80" w:type="dxa"/>
            </w:tcMar>
          </w:tcPr>
          <w:p>
            <w:pPr>
              <w:pStyle w:val="TabCellSm"/>
              <w:jc w:val="left"/>
            </w:pPr>
            <w:r>
              <w:t>Repeat the full count in sequence.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Search systematically</w:t>
            </w:r>
          </w:p>
        </w:tc>
        <w:tc>
          <w:tcPr>
            <w:tcW w:type="dxa" w:w="5754"/>
            <w:vAlign w:val="top"/>
            <w:tcMar>
              <w:top w:w="36" w:type="dxa"/>
              <w:start w:w="80" w:type="dxa"/>
              <w:bottom w:w="36" w:type="dxa"/>
              <w:end w:w="80" w:type="dxa"/>
            </w:tcMar>
          </w:tcPr>
          <w:p>
            <w:pPr>
              <w:pStyle w:val="TabCellSm"/>
              <w:jc w:val="left"/>
            </w:pPr>
            <w:r>
              <w:t>Wound, drapes, floor, kick buckets, laundry, waste, under the table and equipment.</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Radiograph</w:t>
            </w:r>
          </w:p>
        </w:tc>
        <w:tc>
          <w:tcPr>
            <w:tcW w:type="dxa" w:w="5754"/>
            <w:shd w:val="clear" w:color="auto" w:fill="F6F6F6"/>
            <w:vAlign w:val="top"/>
            <w:tcMar>
              <w:top w:w="36" w:type="dxa"/>
              <w:start w:w="80" w:type="dxa"/>
              <w:bottom w:w="36" w:type="dxa"/>
              <w:end w:w="80" w:type="dxa"/>
            </w:tcMar>
          </w:tcPr>
          <w:p>
            <w:pPr>
              <w:pStyle w:val="TabCellSm"/>
              <w:jc w:val="left"/>
            </w:pPr>
            <w:r>
              <w:t>Intra-operative X-ray of the surgical site if still unaccounted for.</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Document and report</w:t>
            </w:r>
          </w:p>
        </w:tc>
        <w:tc>
          <w:tcPr>
            <w:tcW w:type="dxa" w:w="5754"/>
            <w:vAlign w:val="top"/>
            <w:tcMar>
              <w:top w:w="36" w:type="dxa"/>
              <w:start w:w="80" w:type="dxa"/>
              <w:bottom w:w="36" w:type="dxa"/>
              <w:end w:w="80" w:type="dxa"/>
            </w:tcMar>
          </w:tcPr>
          <w:p>
            <w:pPr>
              <w:pStyle w:val="TabCellSm"/>
              <w:jc w:val="left"/>
            </w:pPr>
            <w:r>
              <w:t>Record the discrepancy, the actions taken and the outcome; complete an incident report.</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536000" cy="2798419"/>
            <wp:docPr id="12" name="Picture 12"/>
            <wp:cNvGraphicFramePr>
              <a:graphicFrameLocks noChangeAspect="1"/>
            </wp:cNvGraphicFramePr>
            <a:graphic>
              <a:graphicData uri="http://schemas.openxmlformats.org/drawingml/2006/picture">
                <pic:pic>
                  <pic:nvPicPr>
                    <pic:cNvPr id="0" name="fig_count.png"/>
                    <pic:cNvPicPr/>
                  </pic:nvPicPr>
                  <pic:blipFill>
                    <a:blip r:embed="rId22"/>
                    <a:stretch>
                      <a:fillRect/>
                    </a:stretch>
                  </pic:blipFill>
                  <pic:spPr>
                    <a:xfrm>
                      <a:off x="0" y="0"/>
                      <a:ext cx="4536000" cy="2798419"/>
                    </a:xfrm>
                    <a:prstGeom prst="rect"/>
                  </pic:spPr>
                </pic:pic>
              </a:graphicData>
            </a:graphic>
          </wp:inline>
        </w:drawing>
      </w:r>
    </w:p>
    <w:p>
      <w:pPr>
        <w:pStyle w:val="FigCaption"/>
        <w:jc w:val="center"/>
        <w:spacing w:before="40" w:after="120"/>
      </w:pPr>
      <w:r>
        <w:t>Fig 0.12 — When to count and what to count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count is </w:t>
            </w:r>
            <w:r>
              <w:rPr>
                <w:b/>
              </w:rPr>
              <w:t>concurrent and audible</w:t>
            </w:r>
            <w:r>
              <w:t xml:space="preserve"> — never performed by one person alone.</w:t>
            </w:r>
          </w:p>
          <w:p>
            <w:pPr>
              <w:pStyle w:val="BoxBody"/>
              <w:spacing w:before="20" w:after="40"/>
              <w:ind w:start="204" w:hanging="204"/>
            </w:pPr>
            <w:r>
              <w:rPr>
                <w:rFonts w:ascii="Calibri" w:hAnsi="Calibri"/>
                <w:b/>
              </w:rPr>
              <w:t xml:space="preserve">▪  </w:t>
            </w:r>
            <w:r>
              <w:rPr>
                <w:b/>
              </w:rPr>
              <w:t>Four count points</w:t>
            </w:r>
            <w:r>
              <w:t xml:space="preserve"> are the standard answer: before incision, before cavity closure, before wound closure, at skin closure.</w:t>
            </w:r>
          </w:p>
          <w:p>
            <w:pPr>
              <w:pStyle w:val="BoxBody"/>
              <w:spacing w:before="20" w:after="40"/>
              <w:ind w:start="204" w:hanging="204"/>
            </w:pPr>
            <w:r>
              <w:rPr>
                <w:rFonts w:ascii="Calibri" w:hAnsi="Calibri"/>
                <w:b/>
              </w:rPr>
              <w:t xml:space="preserve">▪  </w:t>
            </w:r>
            <w:r>
              <w:t xml:space="preserve">All sponges used in theatre must be </w:t>
            </w:r>
            <w:r>
              <w:rPr>
                <w:b/>
              </w:rPr>
              <w:t>radio-opaque</w:t>
            </w:r>
            <w:r>
              <w:t>; plain gauze is never used inside a cavity.</w:t>
            </w:r>
          </w:p>
          <w:p>
            <w:pPr>
              <w:pStyle w:val="BoxBody"/>
              <w:spacing w:before="20" w:after="40"/>
              <w:ind w:start="204" w:hanging="204"/>
            </w:pPr>
            <w:r>
              <w:rPr>
                <w:rFonts w:ascii="Calibri" w:hAnsi="Calibri"/>
                <w:b/>
              </w:rPr>
              <w:t xml:space="preserve">▪  </w:t>
            </w:r>
            <w:r>
              <w:t xml:space="preserve">An incorrect count is a </w:t>
            </w:r>
            <w:r>
              <w:rPr>
                <w:b/>
              </w:rPr>
              <w:t>surgical emergency of documentation</w:t>
            </w:r>
            <w:r>
              <w:t xml:space="preserve"> — inform, recount, search, X-ray, document.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When is the surgical count performed?</w:t>
      </w:r>
    </w:p>
    <w:p>
      <w:pPr>
        <w:pStyle w:val="QBank"/>
        <w:spacing w:before="0" w:after="100"/>
        <w:ind w:start="595" w:hanging="283"/>
      </w:pPr>
      <w:r>
        <w:rPr>
          <w:rFonts w:ascii="Calibri" w:hAnsi="Calibri"/>
          <w:b/>
        </w:rPr>
        <w:t xml:space="preserve">A.  </w:t>
      </w:r>
      <w:r>
        <w:t>Before the skin incision (baseline), before closure of a cavity, before closure of the wound, and at skin closure — plus on any staff change, whenever items are added, and whenever there is doubt.</w:t>
      </w:r>
    </w:p>
    <w:p>
      <w:pPr>
        <w:spacing w:before="80" w:after="20"/>
        <w:ind w:start="311" w:hanging="311"/>
        <w:keepLines/>
        <w:keepNext/>
      </w:pPr>
      <w:r>
        <w:rPr>
          <w:rFonts w:ascii="Calibri" w:hAnsi="Calibri"/>
          <w:b/>
          <w:sz w:val="19"/>
        </w:rPr>
        <w:t xml:space="preserve">Q2.  </w:t>
      </w:r>
      <w:r>
        <w:rPr>
          <w:b/>
          <w:sz w:val="19"/>
        </w:rPr>
        <w:t>What are the steps when a count is incorrect?</w:t>
      </w:r>
    </w:p>
    <w:p>
      <w:pPr>
        <w:pStyle w:val="QBank"/>
        <w:spacing w:before="0" w:after="100"/>
        <w:ind w:start="595" w:hanging="283"/>
      </w:pPr>
      <w:r>
        <w:rPr>
          <w:rFonts w:ascii="Calibri" w:hAnsi="Calibri"/>
          <w:b/>
        </w:rPr>
        <w:t xml:space="preserve">A.  </w:t>
      </w:r>
      <w:r>
        <w:t>Inform the surgeon immediately, recount, undertake a systematic search of wound and environment, obtain an intra-operative radiograph if still unresolved, then document fully and file an incident report.</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1" w:name="tray_0_8"/>
      <w:r>
        <w:rPr>
          <w:rFonts w:ascii="Calibri" w:hAnsi="Calibri"/>
          <w:b/>
          <w:color w:val="666666"/>
          <w:sz w:val="29"/>
        </w:rPr>
        <w:t xml:space="preserve">0.8   </w:t>
      </w:r>
      <w:r>
        <w:rPr>
          <w:rFonts w:ascii="Calibri" w:hAnsi="Calibri"/>
          <w:b/>
          <w:sz w:val="29"/>
        </w:rPr>
        <w:t>Care, Handling and Maintenance of Instruments</w:t>
      </w:r>
      <w:bookmarkEnd w:id="1011"/>
    </w:p>
    <w:p>
      <w:pPr>
        <w:spacing w:before="60" w:after="100"/>
      </w:pPr>
      <w:r>
        <w:rPr>
          <w:rFonts w:ascii="Calibri" w:hAnsi="Calibri"/>
          <w:b/>
          <w:caps/>
          <w:color w:val="555555"/>
          <w:sz w:val="17"/>
        </w:rPr>
        <w:t xml:space="preserve">Also called:  </w:t>
      </w:r>
      <w:r>
        <w:rPr>
          <w:i/>
          <w:color w:val="333333"/>
          <w:sz w:val="18"/>
        </w:rPr>
        <w:t>Prolonging instrument life</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Instruments are the most expensive reusable asset in theatre. Most damage is avoidable and arises from four causes: </w:t>
            </w:r>
            <w:r>
              <w:rPr>
                <w:b/>
              </w:rPr>
              <w:t>dried blood, wrong-use force, incompatible chemicals and careless handling</w:t>
            </w:r>
            <w:r>
              <w: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0140"/>
                  <wp:docPr id="13" name="Picture 13"/>
                  <wp:cNvGraphicFramePr>
                    <a:graphicFrameLocks noChangeAspect="1"/>
                  </wp:cNvGraphicFramePr>
                  <a:graphic>
                    <a:graphicData uri="http://schemas.openxmlformats.org/drawingml/2006/picture">
                      <pic:pic>
                        <pic:nvPicPr>
                          <pic:cNvPr id="0" name="plate_0_8.png"/>
                          <pic:cNvPicPr/>
                        </pic:nvPicPr>
                        <pic:blipFill>
                          <a:blip r:embed="rId23"/>
                          <a:stretch>
                            <a:fillRect/>
                          </a:stretch>
                        </pic:blipFill>
                        <pic:spPr>
                          <a:xfrm>
                            <a:off x="0" y="0"/>
                            <a:ext cx="2286000" cy="1120140"/>
                          </a:xfrm>
                          <a:prstGeom prst="rect"/>
                        </pic:spPr>
                      </pic:pic>
                    </a:graphicData>
                  </a:graphic>
                </wp:inline>
              </w:drawing>
            </w:r>
          </w:p>
          <w:p>
            <w:pPr>
              <w:pStyle w:val="FigCaption"/>
              <w:jc w:val="center"/>
              <w:spacing w:before="40" w:after="120"/>
            </w:pPr>
            <w:r>
              <w:t>Fig 0.13 — Typical avoidable damage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Passivation</w:t>
            </w:r>
          </w:p>
          <w:p>
            <w:pPr>
              <w:pStyle w:val="BoxBody"/>
              <w:spacing w:before="20" w:after="40"/>
              <w:ind w:start="204" w:hanging="204"/>
            </w:pPr>
            <w:r>
              <w:rPr>
                <w:rFonts w:ascii="Calibri" w:hAnsi="Calibri"/>
                <w:b/>
              </w:rPr>
              <w:t xml:space="preserve">▪  </w:t>
            </w:r>
            <w:r>
              <w:t xml:space="preserve">Surgical stainless steel resists corrosion because of a thin </w:t>
            </w:r>
            <w:r>
              <w:rPr>
                <w:b/>
              </w:rPr>
              <w:t>chromium-oxide passive layer</w:t>
            </w:r>
            <w:r>
              <w:t>.</w:t>
            </w:r>
          </w:p>
          <w:p>
            <w:pPr>
              <w:pStyle w:val="BoxBody"/>
              <w:spacing w:before="20" w:after="40"/>
              <w:ind w:start="204" w:hanging="204"/>
            </w:pPr>
            <w:r>
              <w:rPr>
                <w:rFonts w:ascii="Calibri" w:hAnsi="Calibri"/>
                <w:b/>
              </w:rPr>
              <w:t xml:space="preserve">▪  </w:t>
            </w:r>
            <w:r>
              <w:t>Saline, dried blood, abrasives and harsh chemicals breach it — after which corrosion is progressive and irreversible.</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RULES OF CARE</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Use each instrument only for its purpose</w:t>
            </w:r>
          </w:p>
        </w:tc>
        <w:tc>
          <w:tcPr>
            <w:tcW w:type="dxa" w:w="5754"/>
            <w:vAlign w:val="top"/>
            <w:tcMar>
              <w:top w:w="36" w:type="dxa"/>
              <w:start w:w="80" w:type="dxa"/>
              <w:bottom w:w="36" w:type="dxa"/>
              <w:end w:w="80" w:type="dxa"/>
            </w:tcMar>
          </w:tcPr>
          <w:p>
            <w:pPr>
              <w:pStyle w:val="TabCellSm"/>
              <w:jc w:val="left"/>
            </w:pPr>
            <w:r>
              <w:t>Tissue scissors never cut suture; needle holders never clamp vessels; haemostats never used as towel clips.</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Keep blood moist, remove it early</w:t>
            </w:r>
          </w:p>
        </w:tc>
        <w:tc>
          <w:tcPr>
            <w:tcW w:type="dxa" w:w="5754"/>
            <w:shd w:val="clear" w:color="auto" w:fill="F6F6F6"/>
            <w:vAlign w:val="top"/>
            <w:tcMar>
              <w:top w:w="36" w:type="dxa"/>
              <w:start w:w="80" w:type="dxa"/>
              <w:bottom w:w="36" w:type="dxa"/>
              <w:end w:w="80" w:type="dxa"/>
            </w:tcMar>
          </w:tcPr>
          <w:p>
            <w:pPr>
              <w:pStyle w:val="TabCellSm"/>
              <w:jc w:val="left"/>
            </w:pPr>
            <w:r>
              <w:t>Wipe with a damp sponge during the case; dried blood is corrosive and hard to remove.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Rinse in cool water</w:t>
            </w:r>
          </w:p>
        </w:tc>
        <w:tc>
          <w:tcPr>
            <w:tcW w:type="dxa" w:w="5754"/>
            <w:vAlign w:val="top"/>
            <w:tcMar>
              <w:top w:w="36" w:type="dxa"/>
              <w:start w:w="80" w:type="dxa"/>
              <w:bottom w:w="36" w:type="dxa"/>
              <w:end w:w="80" w:type="dxa"/>
            </w:tcMar>
          </w:tcPr>
          <w:p>
            <w:pPr>
              <w:pStyle w:val="TabCellSm"/>
              <w:jc w:val="left"/>
            </w:pPr>
            <w:r>
              <w:t>Hot water coagulates protein onto the surface.</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Handle delicate items individually</w:t>
            </w:r>
          </w:p>
        </w:tc>
        <w:tc>
          <w:tcPr>
            <w:tcW w:type="dxa" w:w="5754"/>
            <w:shd w:val="clear" w:color="auto" w:fill="F6F6F6"/>
            <w:vAlign w:val="top"/>
            <w:tcMar>
              <w:top w:w="36" w:type="dxa"/>
              <w:start w:w="80" w:type="dxa"/>
              <w:bottom w:w="36" w:type="dxa"/>
              <w:end w:w="80" w:type="dxa"/>
            </w:tcMar>
          </w:tcPr>
          <w:p>
            <w:pPr>
              <w:pStyle w:val="TabCellSm"/>
              <w:jc w:val="left"/>
            </w:pPr>
            <w:r>
              <w:t>Microsurgical, ophthalmic and vascular instruments are never piled loose; use tip guards and racks.</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Avoid saline and harsh chemicals</w:t>
            </w:r>
          </w:p>
        </w:tc>
        <w:tc>
          <w:tcPr>
            <w:tcW w:type="dxa" w:w="5754"/>
            <w:vAlign w:val="top"/>
            <w:tcMar>
              <w:top w:w="36" w:type="dxa"/>
              <w:start w:w="80" w:type="dxa"/>
              <w:bottom w:w="36" w:type="dxa"/>
              <w:end w:w="80" w:type="dxa"/>
            </w:tcMar>
          </w:tcPr>
          <w:p>
            <w:pPr>
              <w:pStyle w:val="TabCellSm"/>
              <w:jc w:val="left"/>
            </w:pPr>
            <w:r>
              <w:t>Sodium chloride causes pitting; bleach, iodine and strong acids/alkalis destroy passivation.</w:t>
            </w:r>
          </w:p>
        </w:tc>
      </w:tr>
      <w:tr>
        <w:tc>
          <w:tcPr>
            <w:tcW w:type="dxa" w:w="510"/>
            <w:shd w:val="clear" w:color="auto" w:fill="F6F6F6"/>
            <w:vAlign w:val="top"/>
            <w:tcMar>
              <w:top w:w="36" w:type="dxa"/>
              <w:start w:w="80" w:type="dxa"/>
              <w:bottom w:w="36" w:type="dxa"/>
              <w:end w:w="80" w:type="dxa"/>
            </w:tcMar>
          </w:tcPr>
          <w:p>
            <w:pPr>
              <w:pStyle w:val="TabCell"/>
              <w:jc w:val="center"/>
            </w:pPr>
            <w:r>
              <w:t>6</w:t>
            </w:r>
          </w:p>
        </w:tc>
        <w:tc>
          <w:tcPr>
            <w:tcW w:type="dxa" w:w="4535"/>
            <w:shd w:val="clear" w:color="auto" w:fill="F6F6F6"/>
            <w:vAlign w:val="top"/>
            <w:tcMar>
              <w:top w:w="36" w:type="dxa"/>
              <w:start w:w="80" w:type="dxa"/>
              <w:bottom w:w="36" w:type="dxa"/>
              <w:end w:w="80" w:type="dxa"/>
            </w:tcMar>
          </w:tcPr>
          <w:p>
            <w:pPr>
              <w:pStyle w:val="TabCell"/>
              <w:jc w:val="left"/>
            </w:pPr>
            <w:r>
              <w:rPr>
                <w:b/>
              </w:rPr>
              <w:t>Lubricate the joints</w:t>
            </w:r>
          </w:p>
        </w:tc>
        <w:tc>
          <w:tcPr>
            <w:tcW w:type="dxa" w:w="5754"/>
            <w:shd w:val="clear" w:color="auto" w:fill="F6F6F6"/>
            <w:vAlign w:val="top"/>
            <w:tcMar>
              <w:top w:w="36" w:type="dxa"/>
              <w:start w:w="80" w:type="dxa"/>
              <w:bottom w:w="36" w:type="dxa"/>
              <w:end w:w="80" w:type="dxa"/>
            </w:tcMar>
          </w:tcPr>
          <w:p>
            <w:pPr>
              <w:pStyle w:val="TabCellSm"/>
              <w:jc w:val="left"/>
            </w:pPr>
            <w:r>
              <w:t>Water-soluble, steam-permeable instrument milk after each cleaning cycle.</w:t>
            </w:r>
          </w:p>
        </w:tc>
      </w:tr>
      <w:tr>
        <w:tc>
          <w:tcPr>
            <w:tcW w:type="dxa" w:w="510"/>
            <w:vAlign w:val="top"/>
            <w:tcMar>
              <w:top w:w="36" w:type="dxa"/>
              <w:start w:w="80" w:type="dxa"/>
              <w:bottom w:w="36" w:type="dxa"/>
              <w:end w:w="80" w:type="dxa"/>
            </w:tcMar>
          </w:tcPr>
          <w:p>
            <w:pPr>
              <w:pStyle w:val="TabCell"/>
              <w:jc w:val="center"/>
            </w:pPr>
            <w:r>
              <w:t>7</w:t>
            </w:r>
          </w:p>
        </w:tc>
        <w:tc>
          <w:tcPr>
            <w:tcW w:type="dxa" w:w="4535"/>
            <w:vAlign w:val="top"/>
            <w:tcMar>
              <w:top w:w="36" w:type="dxa"/>
              <w:start w:w="80" w:type="dxa"/>
              <w:bottom w:w="36" w:type="dxa"/>
              <w:end w:w="80" w:type="dxa"/>
            </w:tcMar>
          </w:tcPr>
          <w:p>
            <w:pPr>
              <w:pStyle w:val="TabCell"/>
              <w:jc w:val="left"/>
            </w:pPr>
            <w:r>
              <w:rPr>
                <w:b/>
              </w:rPr>
              <w:t>Do not mix metals</w:t>
            </w:r>
          </w:p>
        </w:tc>
        <w:tc>
          <w:tcPr>
            <w:tcW w:type="dxa" w:w="5754"/>
            <w:vAlign w:val="top"/>
            <w:tcMar>
              <w:top w:w="36" w:type="dxa"/>
              <w:start w:w="80" w:type="dxa"/>
              <w:bottom w:w="36" w:type="dxa"/>
              <w:end w:w="80" w:type="dxa"/>
            </w:tcMar>
          </w:tcPr>
          <w:p>
            <w:pPr>
              <w:pStyle w:val="TabCellSm"/>
              <w:jc w:val="left"/>
            </w:pPr>
            <w:r>
              <w:t>Stainless with chrome-plated or aluminium in an ultrasonic bath causes electrolytic damage.</w:t>
            </w:r>
          </w:p>
        </w:tc>
      </w:tr>
      <w:tr>
        <w:tc>
          <w:tcPr>
            <w:tcW w:type="dxa" w:w="510"/>
            <w:shd w:val="clear" w:color="auto" w:fill="F6F6F6"/>
            <w:vAlign w:val="top"/>
            <w:tcMar>
              <w:top w:w="36" w:type="dxa"/>
              <w:start w:w="80" w:type="dxa"/>
              <w:bottom w:w="36" w:type="dxa"/>
              <w:end w:w="80" w:type="dxa"/>
            </w:tcMar>
          </w:tcPr>
          <w:p>
            <w:pPr>
              <w:pStyle w:val="TabCell"/>
              <w:jc w:val="center"/>
            </w:pPr>
            <w:r>
              <w:t>8</w:t>
            </w:r>
          </w:p>
        </w:tc>
        <w:tc>
          <w:tcPr>
            <w:tcW w:type="dxa" w:w="4535"/>
            <w:shd w:val="clear" w:color="auto" w:fill="F6F6F6"/>
            <w:vAlign w:val="top"/>
            <w:tcMar>
              <w:top w:w="36" w:type="dxa"/>
              <w:start w:w="80" w:type="dxa"/>
              <w:bottom w:w="36" w:type="dxa"/>
              <w:end w:w="80" w:type="dxa"/>
            </w:tcMar>
          </w:tcPr>
          <w:p>
            <w:pPr>
              <w:pStyle w:val="TabCell"/>
              <w:jc w:val="left"/>
            </w:pPr>
            <w:r>
              <w:rPr>
                <w:b/>
              </w:rPr>
              <w:t>Inspect every cycle</w:t>
            </w:r>
          </w:p>
        </w:tc>
        <w:tc>
          <w:tcPr>
            <w:tcW w:type="dxa" w:w="5754"/>
            <w:shd w:val="clear" w:color="auto" w:fill="F6F6F6"/>
            <w:vAlign w:val="top"/>
            <w:tcMar>
              <w:top w:w="36" w:type="dxa"/>
              <w:start w:w="80" w:type="dxa"/>
              <w:bottom w:w="36" w:type="dxa"/>
              <w:end w:w="80" w:type="dxa"/>
            </w:tcMar>
          </w:tcPr>
          <w:p>
            <w:pPr>
              <w:pStyle w:val="TabCellSm"/>
              <w:jc w:val="left"/>
            </w:pPr>
            <w:r>
              <w:t>Cleanliness, alignment, sharpness, ratchet, box lock, cracks, corrosion.</w:t>
            </w:r>
          </w:p>
        </w:tc>
      </w:tr>
      <w:tr>
        <w:tc>
          <w:tcPr>
            <w:tcW w:type="dxa" w:w="510"/>
            <w:vAlign w:val="top"/>
            <w:tcMar>
              <w:top w:w="36" w:type="dxa"/>
              <w:start w:w="80" w:type="dxa"/>
              <w:bottom w:w="36" w:type="dxa"/>
              <w:end w:w="80" w:type="dxa"/>
            </w:tcMar>
          </w:tcPr>
          <w:p>
            <w:pPr>
              <w:pStyle w:val="TabCell"/>
              <w:jc w:val="center"/>
            </w:pPr>
            <w:r>
              <w:t>9</w:t>
            </w:r>
          </w:p>
        </w:tc>
        <w:tc>
          <w:tcPr>
            <w:tcW w:type="dxa" w:w="4535"/>
            <w:vAlign w:val="top"/>
            <w:tcMar>
              <w:top w:w="36" w:type="dxa"/>
              <w:start w:w="80" w:type="dxa"/>
              <w:bottom w:w="36" w:type="dxa"/>
              <w:end w:w="80" w:type="dxa"/>
            </w:tcMar>
          </w:tcPr>
          <w:p>
            <w:pPr>
              <w:pStyle w:val="TabCell"/>
              <w:jc w:val="left"/>
            </w:pPr>
            <w:r>
              <w:rPr>
                <w:b/>
              </w:rPr>
              <w:t>Repair or retire promptly</w:t>
            </w:r>
          </w:p>
        </w:tc>
        <w:tc>
          <w:tcPr>
            <w:tcW w:type="dxa" w:w="5754"/>
            <w:vAlign w:val="top"/>
            <w:tcMar>
              <w:top w:w="36" w:type="dxa"/>
              <w:start w:w="80" w:type="dxa"/>
              <w:bottom w:w="36" w:type="dxa"/>
              <w:end w:w="80" w:type="dxa"/>
            </w:tcMar>
          </w:tcPr>
          <w:p>
            <w:pPr>
              <w:pStyle w:val="TabCellSm"/>
              <w:jc w:val="left"/>
            </w:pPr>
            <w:r>
              <w:t>Tag and remove faulty items; never return them to circulation.</w:t>
            </w:r>
          </w:p>
        </w:tc>
      </w:tr>
      <w:tr>
        <w:tc>
          <w:tcPr>
            <w:tcW w:type="dxa" w:w="510"/>
            <w:shd w:val="clear" w:color="auto" w:fill="F6F6F6"/>
            <w:vAlign w:val="top"/>
            <w:tcMar>
              <w:top w:w="36" w:type="dxa"/>
              <w:start w:w="80" w:type="dxa"/>
              <w:bottom w:w="36" w:type="dxa"/>
              <w:end w:w="80" w:type="dxa"/>
            </w:tcMar>
          </w:tcPr>
          <w:p>
            <w:pPr>
              <w:pStyle w:val="TabCell"/>
              <w:jc w:val="center"/>
            </w:pPr>
            <w:r>
              <w:t>10</w:t>
            </w:r>
          </w:p>
        </w:tc>
        <w:tc>
          <w:tcPr>
            <w:tcW w:type="dxa" w:w="4535"/>
            <w:shd w:val="clear" w:color="auto" w:fill="F6F6F6"/>
            <w:vAlign w:val="top"/>
            <w:tcMar>
              <w:top w:w="36" w:type="dxa"/>
              <w:start w:w="80" w:type="dxa"/>
              <w:bottom w:w="36" w:type="dxa"/>
              <w:end w:w="80" w:type="dxa"/>
            </w:tcMar>
          </w:tcPr>
          <w:p>
            <w:pPr>
              <w:pStyle w:val="TabCell"/>
              <w:jc w:val="left"/>
            </w:pPr>
            <w:r>
              <w:rPr>
                <w:b/>
              </w:rPr>
              <w:t>Store protected</w:t>
            </w:r>
          </w:p>
        </w:tc>
        <w:tc>
          <w:tcPr>
            <w:tcW w:type="dxa" w:w="5754"/>
            <w:shd w:val="clear" w:color="auto" w:fill="F6F6F6"/>
            <w:vAlign w:val="top"/>
            <w:tcMar>
              <w:top w:w="36" w:type="dxa"/>
              <w:start w:w="80" w:type="dxa"/>
              <w:bottom w:w="36" w:type="dxa"/>
              <w:end w:w="80" w:type="dxa"/>
            </w:tcMar>
          </w:tcPr>
          <w:p>
            <w:pPr>
              <w:pStyle w:val="TabCellSm"/>
              <w:jc w:val="left"/>
            </w:pPr>
            <w:r>
              <w:t>Cool, dry, dust-free, closed cupboards; do not stack heavy sets on delicate ones.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RECOGNISING AND DEALING WITH SURFACE PROBLEMS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Water spots</w:t>
            </w:r>
          </w:p>
        </w:tc>
        <w:tc>
          <w:tcPr>
            <w:tcW w:type="dxa" w:w="5754"/>
            <w:vAlign w:val="top"/>
            <w:tcMar>
              <w:top w:w="36" w:type="dxa"/>
              <w:start w:w="80" w:type="dxa"/>
              <w:bottom w:w="36" w:type="dxa"/>
              <w:end w:w="80" w:type="dxa"/>
            </w:tcMar>
          </w:tcPr>
          <w:p>
            <w:pPr>
              <w:pStyle w:val="TabCellSm"/>
              <w:jc w:val="left"/>
            </w:pPr>
            <w:r>
              <w:t>White film from hard water — use demineralised water for the final rinse.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Brown/orange stain</w:t>
            </w:r>
          </w:p>
        </w:tc>
        <w:tc>
          <w:tcPr>
            <w:tcW w:type="dxa" w:w="5754"/>
            <w:shd w:val="clear" w:color="auto" w:fill="F6F6F6"/>
            <w:vAlign w:val="top"/>
            <w:tcMar>
              <w:top w:w="36" w:type="dxa"/>
              <w:start w:w="80" w:type="dxa"/>
              <w:bottom w:w="36" w:type="dxa"/>
              <w:end w:w="80" w:type="dxa"/>
            </w:tcMar>
          </w:tcPr>
          <w:p>
            <w:pPr>
              <w:pStyle w:val="TabCellSm"/>
              <w:jc w:val="left"/>
            </w:pPr>
            <w:r>
              <w:t>Usually not rust but a deposit from detergent or water; test with a pencil eraser — if it wipes off, it is a stain.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True rust and pitting</w:t>
            </w:r>
          </w:p>
        </w:tc>
        <w:tc>
          <w:tcPr>
            <w:tcW w:type="dxa" w:w="5754"/>
            <w:vAlign w:val="top"/>
            <w:tcMar>
              <w:top w:w="36" w:type="dxa"/>
              <w:start w:w="80" w:type="dxa"/>
              <w:bottom w:w="36" w:type="dxa"/>
              <w:end w:w="80" w:type="dxa"/>
            </w:tcMar>
          </w:tcPr>
          <w:p>
            <w:pPr>
              <w:pStyle w:val="TabCellSm"/>
              <w:jc w:val="left"/>
            </w:pPr>
            <w:r>
              <w:t>Breach of the passive chromium-oxide layer, commonly from saline or dried blood; item is condemned.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Black stain</w:t>
            </w:r>
          </w:p>
        </w:tc>
        <w:tc>
          <w:tcPr>
            <w:tcW w:type="dxa" w:w="5754"/>
            <w:shd w:val="clear" w:color="auto" w:fill="F6F6F6"/>
            <w:vAlign w:val="top"/>
            <w:tcMar>
              <w:top w:w="36" w:type="dxa"/>
              <w:start w:w="80" w:type="dxa"/>
              <w:bottom w:w="36" w:type="dxa"/>
              <w:end w:w="80" w:type="dxa"/>
            </w:tcMar>
          </w:tcPr>
          <w:p>
            <w:pPr>
              <w:pStyle w:val="TabCellSm"/>
              <w:jc w:val="left"/>
            </w:pPr>
            <w:r>
              <w:t>Acidic exposure or dissimilar metal contact.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Bluish-grey stain</w:t>
            </w:r>
          </w:p>
        </w:tc>
        <w:tc>
          <w:tcPr>
            <w:tcW w:type="dxa" w:w="5754"/>
            <w:vAlign w:val="top"/>
            <w:tcMar>
              <w:top w:w="36" w:type="dxa"/>
              <w:start w:w="80" w:type="dxa"/>
              <w:bottom w:w="36" w:type="dxa"/>
              <w:end w:w="80" w:type="dxa"/>
            </w:tcMar>
          </w:tcPr>
          <w:p>
            <w:pPr>
              <w:pStyle w:val="TabCellSm"/>
              <w:jc w:val="left"/>
            </w:pPr>
            <w:r>
              <w:t>Excess cold sterilant or over-lubrication.</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Never use tissue scissors to cut suture</w:t>
            </w:r>
            <w:r>
              <w:t xml:space="preserve"> — the single most quoted misuse.</w:t>
            </w:r>
          </w:p>
          <w:p>
            <w:pPr>
              <w:pStyle w:val="BoxBody"/>
              <w:spacing w:before="20" w:after="40"/>
              <w:ind w:start="204" w:hanging="204"/>
            </w:pPr>
            <w:r>
              <w:rPr>
                <w:rFonts w:ascii="Calibri" w:hAnsi="Calibri"/>
                <w:b/>
              </w:rPr>
              <w:t xml:space="preserve">▪  </w:t>
            </w:r>
            <w:r>
              <w:rPr>
                <w:b/>
              </w:rPr>
              <w:t>Saline is the enemy of stainless steel</w:t>
            </w:r>
            <w:r>
              <w:t>; blot and rinse immediately after any saline contact.</w:t>
            </w:r>
          </w:p>
          <w:p>
            <w:pPr>
              <w:pStyle w:val="BoxBody"/>
              <w:spacing w:before="20" w:after="40"/>
              <w:ind w:start="204" w:hanging="204"/>
            </w:pPr>
            <w:r>
              <w:rPr>
                <w:rFonts w:ascii="Calibri" w:hAnsi="Calibri"/>
                <w:b/>
              </w:rPr>
              <w:t xml:space="preserve">▪  </w:t>
            </w:r>
            <w:r>
              <w:t xml:space="preserve">Distinguish </w:t>
            </w:r>
            <w:r>
              <w:rPr>
                <w:b/>
              </w:rPr>
              <w:t>stain</w:t>
            </w:r>
            <w:r>
              <w:t xml:space="preserve"> (wipes off) from </w:t>
            </w:r>
            <w:r>
              <w:rPr>
                <w:b/>
              </w:rPr>
              <w:t>rust/pitting</w:t>
            </w:r>
            <w:r>
              <w:t xml:space="preserve"> (does not — condemn the item).</w:t>
            </w:r>
          </w:p>
          <w:p>
            <w:pPr>
              <w:pStyle w:val="BoxBody"/>
              <w:spacing w:before="20" w:after="40"/>
              <w:ind w:start="204" w:hanging="204"/>
            </w:pPr>
            <w:r>
              <w:rPr>
                <w:rFonts w:ascii="Calibri" w:hAnsi="Calibri"/>
                <w:b/>
              </w:rPr>
              <w:t xml:space="preserve">▪  </w:t>
            </w:r>
            <w:r>
              <w:t xml:space="preserve">Lubricants must be </w:t>
            </w:r>
            <w:r>
              <w:rPr>
                <w:b/>
              </w:rPr>
              <w:t>water-soluble and steam-permeable</w:t>
            </w:r>
            <w:r>
              <w:t>; mineral oil prevents sterilisation.</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principles of care and handling of surgical instruments.</w:t>
      </w:r>
    </w:p>
    <w:p>
      <w:pPr>
        <w:pStyle w:val="QBank"/>
        <w:spacing w:before="0" w:after="100"/>
        <w:ind w:start="595" w:hanging="283"/>
      </w:pPr>
      <w:r>
        <w:rPr>
          <w:rFonts w:ascii="Calibri" w:hAnsi="Calibri"/>
          <w:b/>
        </w:rPr>
        <w:t xml:space="preserve">A.  </w:t>
      </w:r>
      <w:r>
        <w:t>Use only for the intended purpose; remove blood early and keep instruments moist; rinse in cool water; handle delicate items individually with tip protection; avoid saline and harsh chemicals; lubricate joints with a water-soluble agent; do not mix dissimilar metals; inspect every cycle; remove faulty items from service; store cool, dry and protected.</w:t>
      </w:r>
    </w:p>
    <w:p>
      <w:pPr>
        <w:spacing w:before="80" w:after="20"/>
        <w:ind w:start="311" w:hanging="311"/>
        <w:keepLines/>
        <w:keepNext/>
      </w:pPr>
      <w:r>
        <w:rPr>
          <w:rFonts w:ascii="Calibri" w:hAnsi="Calibri"/>
          <w:b/>
          <w:sz w:val="19"/>
        </w:rPr>
        <w:t xml:space="preserve">Q2.  </w:t>
      </w:r>
      <w:r>
        <w:rPr>
          <w:b/>
          <w:sz w:val="19"/>
        </w:rPr>
        <w:t>What causes pitting of stainless-steel instruments?</w:t>
      </w:r>
    </w:p>
    <w:p>
      <w:pPr>
        <w:pStyle w:val="QBank"/>
        <w:spacing w:before="0" w:after="100"/>
        <w:ind w:start="595" w:hanging="283"/>
      </w:pPr>
      <w:r>
        <w:rPr>
          <w:rFonts w:ascii="Calibri" w:hAnsi="Calibri"/>
          <w:b/>
        </w:rPr>
        <w:t xml:space="preserve">A.  </w:t>
      </w:r>
      <w:r>
        <w:t>Breach of the passive chromium-oxide layer, most often by prolonged contact with sodium chloride (saline or blood) or harsh chemical agents.</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2" w:name="tray_0_9"/>
      <w:r>
        <w:rPr>
          <w:rFonts w:ascii="Calibri" w:hAnsi="Calibri"/>
          <w:b/>
          <w:color w:val="666666"/>
          <w:sz w:val="29"/>
        </w:rPr>
        <w:t xml:space="preserve">0.9   </w:t>
      </w:r>
      <w:r>
        <w:rPr>
          <w:rFonts w:ascii="Calibri" w:hAnsi="Calibri"/>
          <w:b/>
          <w:sz w:val="29"/>
        </w:rPr>
        <w:t>How the Trays Relate to One Another</w:t>
      </w:r>
      <w:bookmarkEnd w:id="1012"/>
    </w:p>
    <w:p>
      <w:pPr>
        <w:spacing w:before="60" w:after="100"/>
      </w:pPr>
      <w:r>
        <w:rPr>
          <w:rFonts w:ascii="Calibri" w:hAnsi="Calibri"/>
          <w:b/>
          <w:caps/>
          <w:color w:val="555555"/>
          <w:sz w:val="17"/>
        </w:rPr>
        <w:t xml:space="preserve">Also called:  </w:t>
      </w:r>
      <w:r>
        <w:rPr>
          <w:i/>
          <w:color w:val="333333"/>
          <w:sz w:val="18"/>
        </w:rPr>
        <w:t>The tray ladder and the add-on principle</w:t>
      </w:r>
    </w:p>
    <w:p>
      <w:pPr>
        <w:pStyle w:val="TrayLead"/>
      </w:pPr>
      <w:r>
        <w:t xml:space="preserve">The fifty trays in this syllabus are not fifty unrelated lists. Almost every speciality tray is a </w:t>
      </w:r>
      <w:r>
        <w:rPr>
          <w:b/>
        </w:rPr>
        <w:t>basic tray plus speciality add-ons</w:t>
      </w:r>
      <w:r>
        <w:t xml:space="preserve">. Learning the three general-surgery reference trays first — limited, basic/minor and major — reduces the remaining work enormously, because you then only have to remember </w:t>
      </w:r>
      <w:r>
        <w:rPr>
          <w:b/>
        </w:rPr>
        <w:t>what is added</w:t>
      </w:r>
      <w:r>
        <w: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Exam strategy</w:t>
            </w:r>
          </w:p>
          <w:p>
            <w:pPr>
              <w:pStyle w:val="BoxBody"/>
              <w:spacing w:before="20" w:after="40"/>
              <w:ind w:start="204" w:hanging="204"/>
            </w:pPr>
            <w:r>
              <w:rPr>
                <w:rFonts w:ascii="Calibri" w:hAnsi="Calibri"/>
                <w:b/>
              </w:rPr>
              <w:t xml:space="preserve">▪  </w:t>
            </w:r>
            <w:r>
              <w:t>For any tray asked, answer in three moves:</w:t>
            </w:r>
          </w:p>
          <w:p>
            <w:pPr>
              <w:pStyle w:val="BoxBody"/>
              <w:spacing w:before="20" w:after="40"/>
              <w:ind w:start="204" w:hanging="204"/>
            </w:pPr>
            <w:r>
              <w:rPr>
                <w:rFonts w:ascii="Calibri" w:hAnsi="Calibri"/>
                <w:b/>
              </w:rPr>
              <w:t xml:space="preserve">▪  </w:t>
            </w:r>
            <w:r>
              <w:rPr>
                <w:b/>
              </w:rPr>
              <w:t>1.</w:t>
            </w:r>
            <w:r>
              <w:t xml:space="preserve"> Name the reference tray it is built on.</w:t>
            </w:r>
          </w:p>
          <w:p>
            <w:pPr>
              <w:pStyle w:val="BoxBody"/>
              <w:spacing w:before="20" w:after="40"/>
              <w:ind w:start="204" w:hanging="204"/>
            </w:pPr>
            <w:r>
              <w:rPr>
                <w:rFonts w:ascii="Calibri" w:hAnsi="Calibri"/>
                <w:b/>
              </w:rPr>
              <w:t xml:space="preserve">▪  </w:t>
            </w:r>
            <w:r>
              <w:rPr>
                <w:b/>
              </w:rPr>
              <w:t>2.</w:t>
            </w:r>
            <w:r>
              <w:t xml:space="preserve"> List contents under the six functional groups.</w:t>
            </w:r>
          </w:p>
          <w:p>
            <w:pPr>
              <w:pStyle w:val="BoxBody"/>
              <w:spacing w:before="20" w:after="40"/>
              <w:ind w:start="204" w:hanging="204"/>
            </w:pPr>
            <w:r>
              <w:rPr>
                <w:rFonts w:ascii="Calibri" w:hAnsi="Calibri"/>
                <w:b/>
              </w:rPr>
              <w:t xml:space="preserve">▪  </w:t>
            </w:r>
            <w:r>
              <w:rPr>
                <w:b/>
              </w:rPr>
              <w:t>3.</w:t>
            </w:r>
            <w:r>
              <w:t xml:space="preserve"> Name the </w:t>
            </w:r>
            <w:r>
              <w:rPr>
                <w:b/>
              </w:rPr>
              <w:t>speciality add-ons</w:t>
            </w:r>
            <w:r>
              <w:t xml:space="preserve"> that make it that particular tray.</w:t>
            </w:r>
          </w:p>
          <w:p>
            <w:pPr>
              <w:pStyle w:val="BoxBody"/>
              <w:spacing w:before="20" w:after="40"/>
              <w:ind w:start="204" w:hanging="204"/>
            </w:pPr>
            <w:r>
              <w:rPr>
                <w:rFonts w:ascii="Calibri" w:hAnsi="Calibri"/>
                <w:b/>
              </w:rPr>
              <w:t xml:space="preserve">▪  </w:t>
            </w:r>
            <w:r>
              <w:t>This structure earns marks even where your recall of individual items is incomplete.</w:t>
            </w:r>
          </w:p>
        </w:tc>
      </w:tr>
    </w:tbl>
    <w:p>
      <w:pPr>
        <w:spacing w:before="0" w:after="140" w:line="240" w:lineRule="auto"/>
      </w:pPr>
    </w:p>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REFERENCE TRAYS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Limited procedures tray</w:t>
            </w:r>
          </w:p>
        </w:tc>
        <w:tc>
          <w:tcPr>
            <w:tcW w:type="dxa" w:w="5754"/>
            <w:vAlign w:val="top"/>
            <w:tcMar>
              <w:top w:w="36" w:type="dxa"/>
              <w:start w:w="80" w:type="dxa"/>
              <w:bottom w:w="36" w:type="dxa"/>
              <w:end w:w="80" w:type="dxa"/>
            </w:tcMar>
          </w:tcPr>
          <w:p>
            <w:pPr>
              <w:pStyle w:val="TabCellSm"/>
              <w:jc w:val="left"/>
            </w:pPr>
            <w:r>
              <w:t>The smallest set: superficial, brief procedures — skin lesion excision, biopsy, simple suturing.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minor procedures tray</w:t>
            </w:r>
          </w:p>
        </w:tc>
        <w:tc>
          <w:tcPr>
            <w:tcW w:type="dxa" w:w="5754"/>
            <w:shd w:val="clear" w:color="auto" w:fill="F6F6F6"/>
            <w:vAlign w:val="top"/>
            <w:tcMar>
              <w:top w:w="36" w:type="dxa"/>
              <w:start w:w="80" w:type="dxa"/>
              <w:bottom w:w="36" w:type="dxa"/>
              <w:end w:w="80" w:type="dxa"/>
            </w:tcMar>
          </w:tcPr>
          <w:p>
            <w:pPr>
              <w:pStyle w:val="TabCellSm"/>
              <w:jc w:val="left"/>
            </w:pPr>
            <w:r>
              <w:t>The general-purpose small set on which most other trays are built.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Major procedures tray</w:t>
            </w:r>
          </w:p>
        </w:tc>
        <w:tc>
          <w:tcPr>
            <w:tcW w:type="dxa" w:w="5754"/>
            <w:vAlign w:val="top"/>
            <w:tcMar>
              <w:top w:w="36" w:type="dxa"/>
              <w:start w:w="80" w:type="dxa"/>
              <w:bottom w:w="36" w:type="dxa"/>
              <w:end w:w="80" w:type="dxa"/>
            </w:tcMar>
          </w:tcPr>
          <w:p>
            <w:pPr>
              <w:pStyle w:val="TabCellSm"/>
              <w:jc w:val="left"/>
            </w:pPr>
            <w:r>
              <w:t>Full laparotomy capability: deep retraction, long instruments, complete clamping range.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HOW SPECIALITY TRAYS ARE BUILT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length</w:t>
            </w:r>
          </w:p>
        </w:tc>
        <w:tc>
          <w:tcPr>
            <w:tcW w:type="dxa" w:w="5754"/>
            <w:vAlign w:val="top"/>
            <w:tcMar>
              <w:top w:w="36" w:type="dxa"/>
              <w:start w:w="80" w:type="dxa"/>
              <w:bottom w:w="36" w:type="dxa"/>
              <w:end w:w="80" w:type="dxa"/>
            </w:tcMar>
          </w:tcPr>
          <w:p>
            <w:pPr>
              <w:pStyle w:val="TabCellSm"/>
              <w:jc w:val="left"/>
            </w:pPr>
            <w:r>
              <w:rPr>
                <w:b/>
              </w:rPr>
              <w:t>Long instruments tray</w:t>
            </w:r>
            <w:r>
              <w:t xml:space="preserve"> — the major tray in longer patterns for deep or obese fields.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regional exposure</w:t>
            </w:r>
          </w:p>
        </w:tc>
        <w:tc>
          <w:tcPr>
            <w:tcW w:type="dxa" w:w="5754"/>
            <w:shd w:val="clear" w:color="auto" w:fill="F6F6F6"/>
            <w:vAlign w:val="top"/>
            <w:tcMar>
              <w:top w:w="36" w:type="dxa"/>
              <w:start w:w="80" w:type="dxa"/>
              <w:bottom w:w="36" w:type="dxa"/>
              <w:end w:w="80" w:type="dxa"/>
            </w:tcMar>
          </w:tcPr>
          <w:p>
            <w:pPr>
              <w:pStyle w:val="TabCellSm"/>
              <w:jc w:val="left"/>
            </w:pPr>
            <w:r>
              <w:rPr>
                <w:b/>
              </w:rPr>
              <w:t>Thyroid tray</w:t>
            </w:r>
            <w:r>
              <w:t xml:space="preserve"> adds Lahey clamps and small right-angled retractors; </w:t>
            </w:r>
            <w:r>
              <w:rPr>
                <w:b/>
              </w:rPr>
              <w:t>rectal tray</w:t>
            </w:r>
            <w:r>
              <w:t xml:space="preserve"> adds anal retractors and specula.</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organ-specific instruments</w:t>
            </w:r>
          </w:p>
        </w:tc>
        <w:tc>
          <w:tcPr>
            <w:tcW w:type="dxa" w:w="5754"/>
            <w:vAlign w:val="top"/>
            <w:tcMar>
              <w:top w:w="36" w:type="dxa"/>
              <w:start w:w="80" w:type="dxa"/>
              <w:bottom w:w="36" w:type="dxa"/>
              <w:end w:w="80" w:type="dxa"/>
            </w:tcMar>
          </w:tcPr>
          <w:p>
            <w:pPr>
              <w:pStyle w:val="TabCellSm"/>
              <w:jc w:val="left"/>
            </w:pPr>
            <w:r>
              <w:rPr>
                <w:b/>
              </w:rPr>
              <w:t>Biliary tray</w:t>
            </w:r>
            <w:r>
              <w:t xml:space="preserve"> adds gallbladder forceps, Bakes dilators and cholangiography accessories.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endoscopic system</w:t>
            </w:r>
          </w:p>
        </w:tc>
        <w:tc>
          <w:tcPr>
            <w:tcW w:type="dxa" w:w="5754"/>
            <w:shd w:val="clear" w:color="auto" w:fill="F6F6F6"/>
            <w:vAlign w:val="top"/>
            <w:tcMar>
              <w:top w:w="36" w:type="dxa"/>
              <w:start w:w="80" w:type="dxa"/>
              <w:bottom w:w="36" w:type="dxa"/>
              <w:end w:w="80" w:type="dxa"/>
            </w:tcMar>
          </w:tcPr>
          <w:p>
            <w:pPr>
              <w:pStyle w:val="TabCellSm"/>
              <w:jc w:val="left"/>
            </w:pPr>
            <w:r>
              <w:rPr>
                <w:b/>
              </w:rPr>
              <w:t>Laparoscopy, sigmoidoscopy, choledochoscopy, arthroscopy, mediastinoscopy</w:t>
            </w:r>
            <w:r>
              <w:t xml:space="preserve"> trays add a scope, light source and camera to a small open set kept for conversion.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power and implants</w:t>
            </w:r>
          </w:p>
        </w:tc>
        <w:tc>
          <w:tcPr>
            <w:tcW w:type="dxa" w:w="5754"/>
            <w:vAlign w:val="top"/>
            <w:tcMar>
              <w:top w:w="36" w:type="dxa"/>
              <w:start w:w="80" w:type="dxa"/>
              <w:bottom w:w="36" w:type="dxa"/>
              <w:end w:w="80" w:type="dxa"/>
            </w:tcMar>
          </w:tcPr>
          <w:p>
            <w:pPr>
              <w:pStyle w:val="TabCellSm"/>
              <w:jc w:val="left"/>
            </w:pPr>
            <w:r>
              <w:rPr>
                <w:b/>
              </w:rPr>
              <w:t>Orthopaedic and cardiac trays</w:t>
            </w:r>
            <w:r>
              <w:t xml:space="preserve"> add powered instruments, implant-specific sets and trial components.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Scaled down</w:t>
            </w:r>
          </w:p>
        </w:tc>
        <w:tc>
          <w:tcPr>
            <w:tcW w:type="dxa" w:w="5754"/>
            <w:shd w:val="clear" w:color="auto" w:fill="F6F6F6"/>
            <w:vAlign w:val="top"/>
            <w:tcMar>
              <w:top w:w="36" w:type="dxa"/>
              <w:start w:w="80" w:type="dxa"/>
              <w:bottom w:w="36" w:type="dxa"/>
              <w:end w:w="80" w:type="dxa"/>
            </w:tcMar>
          </w:tcPr>
          <w:p>
            <w:pPr>
              <w:pStyle w:val="TabCellSm"/>
              <w:jc w:val="left"/>
            </w:pPr>
            <w:r>
              <w:rPr>
                <w:b/>
              </w:rPr>
              <w:t>Paediatric trays</w:t>
            </w:r>
            <w:r>
              <w:t xml:space="preserve"> are the adult trays in shorter, finer, lighter patterns with smaller quantities.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428597"/>
            <wp:docPr id="14" name="Picture 14"/>
            <wp:cNvGraphicFramePr>
              <a:graphicFrameLocks noChangeAspect="1"/>
            </wp:cNvGraphicFramePr>
            <a:graphic>
              <a:graphicData uri="http://schemas.openxmlformats.org/drawingml/2006/picture">
                <pic:pic>
                  <pic:nvPicPr>
                    <pic:cNvPr id="0" name="fig_tray_ladder.png"/>
                    <pic:cNvPicPr/>
                  </pic:nvPicPr>
                  <pic:blipFill>
                    <a:blip r:embed="rId24"/>
                    <a:stretch>
                      <a:fillRect/>
                    </a:stretch>
                  </pic:blipFill>
                  <pic:spPr>
                    <a:xfrm>
                      <a:off x="0" y="0"/>
                      <a:ext cx="4752000" cy="2428597"/>
                    </a:xfrm>
                    <a:prstGeom prst="rect"/>
                  </pic:spPr>
                </pic:pic>
              </a:graphicData>
            </a:graphic>
          </wp:inline>
        </w:drawing>
      </w:r>
    </w:p>
    <w:p>
      <w:pPr>
        <w:pStyle w:val="FigCaption"/>
        <w:jc w:val="center"/>
        <w:spacing w:before="40" w:after="120"/>
      </w:pPr>
      <w:r>
        <w:t>Fig 0.14 — The general-surgery tray ladder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Reference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Depth of field</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contents scale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Built upon by</w:t>
            </w:r>
          </w:p>
        </w:tc>
      </w:tr>
      <w:tr>
        <w:tc>
          <w:tcPr>
            <w:tcW w:type="dxa" w:w="2700"/>
            <w:vAlign w:val="top"/>
            <w:tcMar>
              <w:top w:w="36" w:type="dxa"/>
              <w:start w:w="80" w:type="dxa"/>
              <w:bottom w:w="36" w:type="dxa"/>
              <w:end w:w="80" w:type="dxa"/>
            </w:tcMar>
          </w:tcPr>
          <w:p>
            <w:pPr>
              <w:pStyle w:val="TabCell"/>
            </w:pPr>
            <w:r>
              <w:rPr>
                <w:b/>
              </w:rPr>
              <w:t>Limited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 15–25 items</w:t>
            </w:r>
          </w:p>
        </w:tc>
        <w:tc>
          <w:tcPr>
            <w:tcW w:type="dxa" w:w="2700"/>
            <w:vAlign w:val="top"/>
            <w:tcMar>
              <w:top w:w="36" w:type="dxa"/>
              <w:start w:w="80" w:type="dxa"/>
              <w:bottom w:w="36" w:type="dxa"/>
              <w:end w:w="80" w:type="dxa"/>
            </w:tcMar>
          </w:tcPr>
          <w:p>
            <w:pPr>
              <w:pStyle w:val="TabCell"/>
            </w:pPr>
            <w:r>
              <w:t>Minor ENT, ophthalmic, vasectomy, myringotomy</w:t>
            </w:r>
          </w:p>
        </w:tc>
      </w:tr>
      <w:tr>
        <w:tc>
          <w:tcPr>
            <w:tcW w:type="dxa" w:w="2700"/>
            <w:shd w:val="clear" w:color="auto" w:fill="F6F6F6"/>
            <w:vAlign w:val="top"/>
            <w:tcMar>
              <w:top w:w="36" w:type="dxa"/>
              <w:start w:w="80" w:type="dxa"/>
              <w:bottom w:w="36" w:type="dxa"/>
              <w:end w:w="80" w:type="dxa"/>
            </w:tcMar>
          </w:tcPr>
          <w:p>
            <w:pPr>
              <w:pStyle w:val="TabCell"/>
            </w:pPr>
            <w:r>
              <w:rPr>
                <w:b/>
              </w:rPr>
              <w:t>Basic / minor</w:t>
            </w:r>
          </w:p>
        </w:tc>
        <w:tc>
          <w:tcPr>
            <w:tcW w:type="dxa" w:w="2700"/>
            <w:shd w:val="clear" w:color="auto" w:fill="F6F6F6"/>
            <w:vAlign w:val="top"/>
            <w:tcMar>
              <w:top w:w="36" w:type="dxa"/>
              <w:start w:w="80" w:type="dxa"/>
              <w:bottom w:w="36" w:type="dxa"/>
              <w:end w:w="80" w:type="dxa"/>
            </w:tcMar>
          </w:tcPr>
          <w:p>
            <w:pPr>
              <w:pStyle w:val="TabCell"/>
            </w:pPr>
            <w:r>
              <w:t>Superficial cavity, small clean cases</w:t>
            </w:r>
          </w:p>
        </w:tc>
        <w:tc>
          <w:tcPr>
            <w:tcW w:type="dxa" w:w="2700"/>
            <w:shd w:val="clear" w:color="auto" w:fill="F6F6F6"/>
            <w:vAlign w:val="top"/>
            <w:tcMar>
              <w:top w:w="36" w:type="dxa"/>
              <w:start w:w="80" w:type="dxa"/>
              <w:bottom w:w="36" w:type="dxa"/>
              <w:end w:w="80" w:type="dxa"/>
            </w:tcMar>
          </w:tcPr>
          <w:p>
            <w:pPr>
              <w:pStyle w:val="TabCell"/>
            </w:pPr>
            <w:r>
              <w:t>≈ 40–60 items</w:t>
            </w:r>
          </w:p>
        </w:tc>
        <w:tc>
          <w:tcPr>
            <w:tcW w:type="dxa" w:w="2700"/>
            <w:shd w:val="clear" w:color="auto" w:fill="F6F6F6"/>
            <w:vAlign w:val="top"/>
            <w:tcMar>
              <w:top w:w="36" w:type="dxa"/>
              <w:start w:w="80" w:type="dxa"/>
              <w:bottom w:w="36" w:type="dxa"/>
              <w:end w:w="80" w:type="dxa"/>
            </w:tcMar>
          </w:tcPr>
          <w:p>
            <w:pPr>
              <w:pStyle w:val="TabCell"/>
            </w:pPr>
            <w:r>
              <w:t>Thyroid, rectal, D&amp;C, basic ortho, laparoscopy</w:t>
            </w:r>
          </w:p>
        </w:tc>
      </w:tr>
      <w:tr>
        <w:tc>
          <w:tcPr>
            <w:tcW w:type="dxa" w:w="2700"/>
            <w:vAlign w:val="top"/>
            <w:tcMar>
              <w:top w:w="36" w:type="dxa"/>
              <w:start w:w="80" w:type="dxa"/>
              <w:bottom w:w="36" w:type="dxa"/>
              <w:end w:w="80" w:type="dxa"/>
            </w:tcMar>
          </w:tcPr>
          <w:p>
            <w:pPr>
              <w:pStyle w:val="TabCell"/>
            </w:pPr>
            <w:r>
              <w:rPr>
                <w:b/>
              </w:rPr>
              <w:t>Major</w:t>
            </w:r>
          </w:p>
        </w:tc>
        <w:tc>
          <w:tcPr>
            <w:tcW w:type="dxa" w:w="2700"/>
            <w:vAlign w:val="top"/>
            <w:tcMar>
              <w:top w:w="36" w:type="dxa"/>
              <w:start w:w="80" w:type="dxa"/>
              <w:bottom w:w="36" w:type="dxa"/>
              <w:end w:w="80" w:type="dxa"/>
            </w:tcMar>
          </w:tcPr>
          <w:p>
            <w:pPr>
              <w:pStyle w:val="TabCell"/>
            </w:pPr>
            <w:r>
              <w:t>Deep body cavity — abdomen, chest</w:t>
            </w:r>
          </w:p>
        </w:tc>
        <w:tc>
          <w:tcPr>
            <w:tcW w:type="dxa" w:w="2700"/>
            <w:vAlign w:val="top"/>
            <w:tcMar>
              <w:top w:w="36" w:type="dxa"/>
              <w:start w:w="80" w:type="dxa"/>
              <w:bottom w:w="36" w:type="dxa"/>
              <w:end w:w="80" w:type="dxa"/>
            </w:tcMar>
          </w:tcPr>
          <w:p>
            <w:pPr>
              <w:pStyle w:val="TabCell"/>
            </w:pPr>
            <w:r>
              <w:t>≈ 80–120 items</w:t>
            </w:r>
          </w:p>
        </w:tc>
        <w:tc>
          <w:tcPr>
            <w:tcW w:type="dxa" w:w="2700"/>
            <w:vAlign w:val="top"/>
            <w:tcMar>
              <w:top w:w="36" w:type="dxa"/>
              <w:start w:w="80" w:type="dxa"/>
              <w:bottom w:w="36" w:type="dxa"/>
              <w:end w:w="80" w:type="dxa"/>
            </w:tcMar>
          </w:tcPr>
          <w:p>
            <w:pPr>
              <w:pStyle w:val="TabCell"/>
            </w:pPr>
            <w:r>
              <w:t>Biliary, GI, hysterectomy, kidney, thoracotomy, cardiac</w:t>
            </w:r>
          </w:p>
        </w:tc>
      </w:tr>
    </w:tbl>
    <w:p>
      <w:pPr>
        <w:spacing w:before="0" w:after="160" w:line="240" w:lineRule="auto"/>
      </w:pPr>
    </w:p>
    <w:p>
      <w:pPr>
        <w:pStyle w:val="FigCaption"/>
        <w:jc w:val="center"/>
      </w:pPr>
      <w:r>
        <w:t>Table 0.3 — Choose the reference tray, then add the speciality items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w:t>
            </w:r>
            <w:r>
              <w:rPr>
                <w:b/>
              </w:rPr>
              <w:t>limited → basic → major</w:t>
            </w:r>
            <w:r>
              <w:t xml:space="preserve"> thoroughly; the other forty-seven trays are variations.</w:t>
            </w:r>
          </w:p>
          <w:p>
            <w:pPr>
              <w:pStyle w:val="BoxBody"/>
              <w:spacing w:before="20" w:after="40"/>
              <w:ind w:start="204" w:hanging="204"/>
            </w:pPr>
            <w:r>
              <w:rPr>
                <w:rFonts w:ascii="Calibri" w:hAnsi="Calibri"/>
                <w:b/>
              </w:rPr>
              <w:t xml:space="preserve">▪  </w:t>
            </w:r>
            <w:r>
              <w:t xml:space="preserve">For every speciality tray, be able to state its </w:t>
            </w:r>
            <w:r>
              <w:rPr>
                <w:b/>
              </w:rPr>
              <w:t>signature instrument</w:t>
            </w:r>
            <w:r>
              <w:t xml:space="preserve"> (the item that identifies it).</w:t>
            </w:r>
          </w:p>
          <w:p>
            <w:pPr>
              <w:pStyle w:val="BoxBody"/>
              <w:spacing w:before="20" w:after="40"/>
              <w:ind w:start="204" w:hanging="204"/>
            </w:pPr>
            <w:r>
              <w:rPr>
                <w:rFonts w:ascii="Calibri" w:hAnsi="Calibri"/>
                <w:b/>
              </w:rPr>
              <w:t xml:space="preserve">▪  </w:t>
            </w:r>
            <w:r>
              <w:t xml:space="preserve">Endoscopic trays always retain a </w:t>
            </w:r>
            <w:r>
              <w:rPr>
                <w:b/>
              </w:rPr>
              <w:t>small open set for conversion</w:t>
            </w:r>
            <w:r>
              <w:t xml:space="preserve"> — a frequently forgotten mark.</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would you approach a question on any unfamiliar tray?</w:t>
      </w:r>
    </w:p>
    <w:p>
      <w:pPr>
        <w:pStyle w:val="QBank"/>
        <w:spacing w:before="0" w:after="100"/>
        <w:ind w:start="595" w:hanging="283"/>
      </w:pPr>
      <w:r>
        <w:rPr>
          <w:rFonts w:ascii="Calibri" w:hAnsi="Calibri"/>
          <w:b/>
        </w:rPr>
        <w:t xml:space="preserve">A.  </w:t>
      </w:r>
      <w:r>
        <w:t>Identify the reference tray it is built on (limited, basic or major), list its contents systematically under the six functional groups, and then state the speciality add-ons and the signature instrument that define it.</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