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II — INSTRUMENT TRAYS</w:t>
            </w:r>
          </w:p>
          <w:p>
            <w:pPr>
              <w:pStyle w:val="CoverTitle"/>
              <w:spacing w:before="40" w:after="160"/>
            </w:pPr>
            <w:r>
              <w:t>GYNAECOLOGIC AND OBSTETRIC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26" w:name="toc"/>
      <w:r>
        <w:t>Table of Contents</w:t>
      </w:r>
      <w:bookmarkEnd w:id="1026"/>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27" w:name="how_to_read"/>
      <w:r>
        <w:t>How to Read These Notes</w:t>
      </w:r>
      <w:bookmarkEnd w:id="1027"/>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pPr>
              <w:pStyle w:val="Heading1"/>
              <w:jc w:val="left"/>
              <w:spacing w:before="0" w:after="0"/>
            </w:pPr>
            <w:bookmarkStart w:id="1028" w:name="part_II"/>
            <w:r>
              <w:rPr>
                <w:rFonts w:ascii="Calibri" w:hAnsi="Calibri"/>
                <w:b/>
                <w:color w:val="FFFFFF"/>
                <w:sz w:val="38"/>
              </w:rPr>
              <w:t>Gynaecologic and Obstetric Trays</w:t>
            </w:r>
            <w:bookmarkEnd w:id="1028"/>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pPr>
        <w:pStyle w:val="Heading2"/>
        <w:spacing w:before="320" w:after="40"/>
        <w:keepLines/>
        <w:keepNext/>
        <w:pBdr>
          <w:bottom w:val="single" w:sz="12" w:space="3" w:color="000000"/>
        </w:pBdr>
      </w:pPr>
      <w:bookmarkStart w:id="1029" w:name="tray_2_1"/>
      <w:r>
        <w:rPr>
          <w:rFonts w:ascii="Calibri" w:hAnsi="Calibri"/>
          <w:b/>
          <w:color w:val="666666"/>
          <w:sz w:val="29"/>
        </w:rPr>
        <w:t xml:space="preserve">2.1   </w:t>
      </w:r>
      <w:r>
        <w:rPr>
          <w:rFonts w:ascii="Calibri" w:hAnsi="Calibri"/>
          <w:b/>
          <w:sz w:val="29"/>
        </w:rPr>
        <w:t>Dilatation of the Cervix and Curettage of the Uterus (D&amp;C) Tray</w:t>
      </w:r>
      <w:bookmarkEnd w:id="1029"/>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 name="Picture 1"/>
                  <wp:cNvGraphicFramePr>
                    <a:graphicFrameLocks noChangeAspect="1"/>
                  </wp:cNvGraphicFramePr>
                  <a:graphic>
                    <a:graphicData uri="http://schemas.openxmlformats.org/drawingml/2006/picture">
                      <pic:pic>
                        <pic:nvPicPr>
                          <pic:cNvPr id="0" name="plate_2_1.png"/>
                          <pic:cNvPicPr/>
                        </pic:nvPicPr>
                        <pic:blipFill>
                          <a:blip r:embed="rId1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r>
              <w:t>light-grip cervical forceps, less traumatic than a tenaculum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r>
              <w:t>dilatation is painful; anaesthesia also relaxes the cervix</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in a D&amp;C tray and the order in which they are used.</w:t>
      </w:r>
    </w:p>
    <w:p>
      <w:pPr>
        <w:pStyle w:val="QBank"/>
        <w:spacing w:before="0" w:after="100"/>
        <w:ind w:start="595" w:hanging="283"/>
      </w:pPr>
      <w:r>
        <w:rPr>
          <w:rFonts w:ascii="Calibri" w:hAnsi="Calibri"/>
          <w:b/>
        </w:rPr>
        <w:t xml:space="preserve">A.  </w:t>
      </w:r>
      <w:r>
        <w:t>Graves bivalve speculum, Sims speculum and Auvard weighted speculum for exposure with sponge holders; vulsellum and single-tooth uterine tenaculum to steady the cervix; a graduated uterine sound; a set of Hegar dilators 5–20 mm; sharp and blunt uterine curettes, ovum forceps and a suction curette; plus kidney dish, counted swabs, labelled formalin containers and a catheter. Order of use: expose → clean → grasp cervix → sound → dilate → curette → specimens.</w:t>
      </w:r>
    </w:p>
    <w:p>
      <w:pPr>
        <w:spacing w:before="80" w:after="20"/>
        <w:ind w:start="311" w:hanging="311"/>
        <w:keepLines/>
        <w:keepNext/>
      </w:pPr>
      <w:r>
        <w:rPr>
          <w:rFonts w:ascii="Calibri" w:hAnsi="Calibri"/>
          <w:b/>
          <w:sz w:val="19"/>
        </w:rPr>
        <w:t xml:space="preserve">Q2.  </w:t>
      </w:r>
      <w:r>
        <w:rPr>
          <w:b/>
          <w:sz w:val="19"/>
        </w:rPr>
        <w:t>What is the commonest complication of D&amp;C and how is it avoided?</w:t>
      </w:r>
    </w:p>
    <w:p>
      <w:pPr>
        <w:pStyle w:val="QBank"/>
        <w:spacing w:before="0" w:after="100"/>
        <w:ind w:start="595" w:hanging="283"/>
      </w:pPr>
      <w:r>
        <w:rPr>
          <w:rFonts w:ascii="Calibri" w:hAnsi="Calibri"/>
          <w:b/>
        </w:rPr>
        <w:t xml:space="preserve">A.  </w:t>
      </w:r>
      <w:r>
        <w:t>Uterine perforation. It is avoided by bimanual examination to establish uterine size and version, sounding the cavity before dilatation, dilating gradually in ascending order without force, and using a blunt curette or suction evacuation in the soft pregnant uterus.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0" w:name="tray_2_2"/>
      <w:r>
        <w:rPr>
          <w:rFonts w:ascii="Calibri" w:hAnsi="Calibri"/>
          <w:b/>
          <w:color w:val="666666"/>
          <w:sz w:val="29"/>
        </w:rPr>
        <w:t xml:space="preserve">2.2   </w:t>
      </w:r>
      <w:r>
        <w:rPr>
          <w:rFonts w:ascii="Calibri" w:hAnsi="Calibri"/>
          <w:b/>
          <w:sz w:val="29"/>
        </w:rPr>
        <w:t>Cervical Cone Tray</w:t>
      </w:r>
      <w:bookmarkEnd w:id="1030"/>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2" name="Picture 2"/>
                  <wp:cNvGraphicFramePr>
                    <a:graphicFrameLocks noChangeAspect="1"/>
                  </wp:cNvGraphicFramePr>
                  <a:graphic>
                    <a:graphicData uri="http://schemas.openxmlformats.org/drawingml/2006/picture">
                      <pic:pic>
                        <pic:nvPicPr>
                          <pic:cNvPr id="0" name="plate_2_2.png"/>
                          <pic:cNvPicPr/>
                        </pic:nvPicPr>
                        <pic:blipFill>
                          <a:blip r:embed="rId1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r>
              <w:t>non-conductive, so diathermy current cannot burn the vaginal wall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r>
              <w:t>apply acetic acid and iodine and dry the cervix for inspection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r>
              <w:t>blend cuts the cone; coagulation controls the vascular crater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r>
              <w:t>chemical haemostasis of a small persistent bleeding point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cervical cone tray contain beyond a D&amp;C tray?</w:t>
      </w:r>
    </w:p>
    <w:p>
      <w:pPr>
        <w:pStyle w:val="QBank"/>
        <w:spacing w:before="0" w:after="100"/>
        <w:ind w:start="595" w:hanging="283"/>
      </w:pPr>
      <w:r>
        <w:rPr>
          <w:rFonts w:ascii="Calibri" w:hAnsi="Calibri"/>
          <w:b/>
        </w:rPr>
        <w:t xml:space="preserve">A.  </w:t>
      </w:r>
      <w:r>
        <w:t>An insulated vaginal speculum and lateral retractors, colposcope, acetic acid and Lugol's iodine with applicators; a No.11 blade for cold-knife conisation and/or a LLETZ loop electrode set with generator and ball electrode; tenaculum and stay sutures; haemostatic agents — Monsel's solution, silver nitrate, absorbable suture for Sturmdorf sutures and a vaginal pack; an endocervical curette; and specimen containers with a 12 o'clock orientation suture.</w:t>
      </w:r>
    </w:p>
    <w:p>
      <w:pPr>
        <w:spacing w:before="80" w:after="20"/>
        <w:ind w:start="311" w:hanging="311"/>
        <w:keepLines/>
        <w:keepNext/>
      </w:pPr>
      <w:r>
        <w:rPr>
          <w:rFonts w:ascii="Calibri" w:hAnsi="Calibri"/>
          <w:b/>
          <w:sz w:val="19"/>
        </w:rPr>
        <w:t xml:space="preserve">Q2.  </w:t>
      </w:r>
      <w:r>
        <w:rPr>
          <w:b/>
          <w:sz w:val="19"/>
        </w:rPr>
        <w:t>Why is the cone specimen marked with a suture?</w:t>
      </w:r>
    </w:p>
    <w:p>
      <w:pPr>
        <w:pStyle w:val="QBank"/>
        <w:spacing w:before="0" w:after="100"/>
        <w:ind w:start="595" w:hanging="283"/>
      </w:pPr>
      <w:r>
        <w:rPr>
          <w:rFonts w:ascii="Calibri" w:hAnsi="Calibri"/>
          <w:b/>
        </w:rPr>
        <w:t xml:space="preserve">A.  </w:t>
      </w:r>
      <w:r>
        <w:t>To orientate it for the pathologist so that the exact position of any involved margin can be reported, which determines whether further excision is required.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1" w:name="tray_2_3"/>
      <w:r>
        <w:rPr>
          <w:rFonts w:ascii="Calibri" w:hAnsi="Calibri"/>
          <w:b/>
          <w:color w:val="666666"/>
          <w:sz w:val="29"/>
        </w:rPr>
        <w:t xml:space="preserve">2.3   </w:t>
      </w:r>
      <w:r>
        <w:rPr>
          <w:rFonts w:ascii="Calibri" w:hAnsi="Calibri"/>
          <w:b/>
          <w:sz w:val="29"/>
        </w:rPr>
        <w:t>Laparoscopy Tray (Gynaecologic)</w:t>
      </w:r>
      <w:bookmarkEnd w:id="1031"/>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3" name="Picture 3"/>
                  <wp:cNvGraphicFramePr>
                    <a:graphicFrameLocks noChangeAspect="1"/>
                  </wp:cNvGraphicFramePr>
                  <a:graphic>
                    <a:graphicData uri="http://schemas.openxmlformats.org/drawingml/2006/picture">
                      <pic:pic>
                        <pic:nvPicPr>
                          <pic:cNvPr id="0" name="plate_2_3.png"/>
                          <pic:cNvPicPr/>
                        </pic:nvPicPr>
                        <pic:blipFill>
                          <a:blip r:embed="rId1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r>
              <w:t>contents confirmed before starting; running out mid-case collapses the pneumoperitoneum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r>
              <w:t>cold light; a damaged cable loses fibres and dims the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r>
              <w:t>white-balanced and focused before insertion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r>
              <w:t>hook pattern for a controlled pull-cut, straight for general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r>
              <w:t>secures a pedicle without intracorporeal knot tying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r>
              <w:t>rapid vessel and duct control through a 5 mm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r>
              <w:t>prevents port-site seeding and spillage of cyst contents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r>
              <w:t>contains tissue fragments; reduces the risk of disseminating an unsuspected malignancy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r>
              <w:t>for immediate control if a major vessel is injured at entry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r>
              <w:t>entry injury to a great vessel causes sudden heavy loss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contents of a gynaecological laparoscopy tray.</w:t>
      </w:r>
    </w:p>
    <w:p>
      <w:pPr>
        <w:pStyle w:val="QBank"/>
        <w:spacing w:before="0" w:after="100"/>
        <w:ind w:start="595" w:hanging="283"/>
      </w:pPr>
      <w:r>
        <w:rPr>
          <w:rFonts w:ascii="Calibri" w:hAnsi="Calibri"/>
          <w:b/>
        </w:rPr>
        <w:t xml:space="preserve">A.  </w:t>
      </w:r>
      <w:r>
        <w:t>Access and insufflation — Veress needle, Hasson cannula, primary 10–12 mm and secondary 5 mm trocars, CO₂ insufflator with tubing and filter at 12–15 mmHg, No.11 blade; optics — 0° and 30° laparoscopes, light cable and source, camera, control unit, monitor, anti-fog; hand instruments — atraumatic and toothed graspers, Babcock, scissors, Maryland dissector, bipolar and monopolar devices, suction–irrigation, needle holders, knot pusher and Endoloops, clip applier, retrieval bag, fascial closure device; gynaecological items — uterine manipulator, chromopertubation cannula with dye, tubal occlusion applicator, vaginal speculum and colpotomiser; and a complete open tray for immediate conversion.</w:t>
      </w:r>
    </w:p>
    <w:p>
      <w:pPr>
        <w:spacing w:before="80" w:after="20"/>
        <w:ind w:start="311" w:hanging="311"/>
        <w:keepLines/>
        <w:keepNext/>
      </w:pPr>
      <w:r>
        <w:rPr>
          <w:rFonts w:ascii="Calibri" w:hAnsi="Calibri"/>
          <w:b/>
          <w:sz w:val="19"/>
        </w:rPr>
        <w:t xml:space="preserve">Q2.  </w:t>
      </w:r>
      <w:r>
        <w:rPr>
          <w:b/>
          <w:sz w:val="19"/>
        </w:rPr>
        <w:t>Why must an open tray always accompany a laparoscopy set?</w:t>
      </w:r>
    </w:p>
    <w:p>
      <w:pPr>
        <w:pStyle w:val="QBank"/>
        <w:spacing w:before="0" w:after="100"/>
        <w:ind w:start="595" w:hanging="283"/>
      </w:pPr>
      <w:r>
        <w:rPr>
          <w:rFonts w:ascii="Calibri" w:hAnsi="Calibri"/>
          <w:b/>
        </w:rPr>
        <w:t xml:space="preserve">A.  </w:t>
      </w:r>
      <w:r>
        <w:t>Because major vascular or visceral injury, uncontrollable bleeding or failure to progress may demand immediate laparotomy; delay in converting is a direct cause of mortality.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2" w:name="tray_2_4"/>
      <w:r>
        <w:rPr>
          <w:rFonts w:ascii="Calibri" w:hAnsi="Calibri"/>
          <w:b/>
          <w:color w:val="666666"/>
          <w:sz w:val="29"/>
        </w:rPr>
        <w:t xml:space="preserve">2.4   </w:t>
      </w:r>
      <w:r>
        <w:rPr>
          <w:rFonts w:ascii="Calibri" w:hAnsi="Calibri"/>
          <w:b/>
          <w:sz w:val="29"/>
        </w:rPr>
        <w:t>Abdominal Hysterectomy Tray</w:t>
      </w:r>
      <w:bookmarkEnd w:id="1032"/>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4" name="Picture 4"/>
                  <wp:cNvGraphicFramePr>
                    <a:graphicFrameLocks noChangeAspect="1"/>
                  </wp:cNvGraphicFramePr>
                  <a:graphic>
                    <a:graphicData uri="http://schemas.openxmlformats.org/drawingml/2006/picture">
                      <pic:pic>
                        <pic:nvPicPr>
                          <pic:cNvPr id="0" name="plate_2_4.png"/>
                          <pic:cNvPicPr/>
                        </pic:nvPicPr>
                        <pic:blipFill>
                          <a:blip r:embed="rId1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deep blade exposing the pelvic side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r>
              <w:t>reaches the vaginal vault from an abdominal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rapid alternative to ties on the infundibulopelvic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r>
              <w:t>division and haemostasis deep in the pelvis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r>
              <w:t>drain for the pelvic dead space; uterus labelled and orientated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to a major tray are required for abdominal hysterectomy?</w:t>
      </w:r>
    </w:p>
    <w:p>
      <w:pPr>
        <w:pStyle w:val="QBank"/>
        <w:spacing w:before="0" w:after="100"/>
        <w:ind w:start="595" w:hanging="283"/>
      </w:pPr>
      <w:r>
        <w:rPr>
          <w:rFonts w:ascii="Calibri" w:hAnsi="Calibri"/>
          <w:b/>
        </w:rPr>
        <w:t xml:space="preserve">A.  </w:t>
      </w:r>
      <w:r>
        <w:t>Heavy angled pedicle clamps — Heaney, Zeppelin/Wertheim and Rogers — with right-angled Mixter forceps and long Rochester-Péan clamps; uterine vulsellum forceps and a myoma screw for traction; a Balfour or ring self-retaining retractor with bladder blade, deep Deaver and malleable retractors and laparotomy packs; angled Heaney needle holders and long needle holders with heavy absorbable suture, a ligature carrier and clips; plus vaginal preparation, urinary catheter, drain, specimen container and available ureteric stents.</w:t>
      </w:r>
    </w:p>
    <w:p>
      <w:pPr>
        <w:spacing w:before="80" w:after="20"/>
        <w:ind w:start="311" w:hanging="311"/>
        <w:keepLines/>
        <w:keepNext/>
      </w:pPr>
      <w:r>
        <w:rPr>
          <w:rFonts w:ascii="Calibri" w:hAnsi="Calibri"/>
          <w:b/>
          <w:sz w:val="19"/>
        </w:rPr>
        <w:t xml:space="preserve">Q2.  </w:t>
      </w:r>
      <w:r>
        <w:rPr>
          <w:b/>
          <w:sz w:val="19"/>
        </w:rPr>
        <w:t>Which structure is most at risk and where?</w:t>
      </w:r>
    </w:p>
    <w:p>
      <w:pPr>
        <w:pStyle w:val="QBank"/>
        <w:spacing w:before="0" w:after="100"/>
        <w:ind w:start="595" w:hanging="283"/>
      </w:pPr>
      <w:r>
        <w:rPr>
          <w:rFonts w:ascii="Calibri" w:hAnsi="Calibri"/>
          <w:b/>
        </w:rPr>
        <w:t xml:space="preserve">A.  </w:t>
      </w:r>
      <w:r>
        <w:t>The ureter, where it passes beneath the uterine artery at the base of the broad ligament near the cardinal ligament ('water under the bridge'), and again near the vaginal angle.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3" w:name="tray_2_5"/>
      <w:r>
        <w:rPr>
          <w:rFonts w:ascii="Calibri" w:hAnsi="Calibri"/>
          <w:b/>
          <w:color w:val="666666"/>
          <w:sz w:val="29"/>
        </w:rPr>
        <w:t xml:space="preserve">2.5   </w:t>
      </w:r>
      <w:r>
        <w:rPr>
          <w:rFonts w:ascii="Calibri" w:hAnsi="Calibri"/>
          <w:b/>
          <w:sz w:val="29"/>
        </w:rPr>
        <w:t>Caesarean Section Tray</w:t>
      </w:r>
      <w:bookmarkEnd w:id="1033"/>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5" name="Picture 5"/>
                  <wp:cNvGraphicFramePr>
                    <a:graphicFrameLocks noChangeAspect="1"/>
                  </wp:cNvGraphicFramePr>
                  <a:graphic>
                    <a:graphicData uri="http://schemas.openxmlformats.org/drawingml/2006/picture">
                      <pic:pic>
                        <pic:nvPicPr>
                          <pic:cNvPr id="0" name="plate_2_5.png"/>
                          <pic:cNvPicPr/>
                        </pic:nvPicPr>
                        <pic:blipFill>
                          <a:blip r:embed="rId1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heavy pattern to drive a large round-bodied needle through myometrium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r>
              <w:t>amniotic fluid volume greatly exceeds that of any other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r>
              <w:t>radio-opaque; counted before uterine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r>
              <w:t>cosmetic closure of a Pfannenstiel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specific to a caesarean section tray.</w:t>
      </w:r>
    </w:p>
    <w:p>
      <w:pPr>
        <w:pStyle w:val="QBank"/>
        <w:spacing w:before="0" w:after="100"/>
        <w:ind w:start="595" w:hanging="283"/>
      </w:pPr>
      <w:r>
        <w:rPr>
          <w:rFonts w:ascii="Calibri" w:hAnsi="Calibri"/>
          <w:b/>
        </w:rPr>
        <w:t xml:space="preserve">A.  </w:t>
      </w:r>
      <w:r>
        <w:t>Green-Armytage clamps for the uterine incision edges; a Doyen retractor to protect the bladder; blunt bandage scissors to extend the uterine incision; an amniotomy hook; Wrigley's forceps or a vacuum cup for the fetal head; umbilical cord clamps and blunt cord scissors with cord-blood tubes; wide-bore suction with large reservoirs; uterotonic drugs drawn up in advance; a Bakri balloon and B-Lynch suture for haemorrhage; a placenta receiver; and a fully checked neonatal resuscitation trolley.</w:t>
      </w:r>
    </w:p>
    <w:p>
      <w:pPr>
        <w:spacing w:before="80" w:after="20"/>
        <w:ind w:start="311" w:hanging="311"/>
        <w:keepLines/>
        <w:keepNext/>
      </w:pPr>
      <w:r>
        <w:rPr>
          <w:rFonts w:ascii="Calibri" w:hAnsi="Calibri"/>
          <w:b/>
          <w:sz w:val="19"/>
        </w:rPr>
        <w:t xml:space="preserve">Q2.  </w:t>
      </w:r>
      <w:r>
        <w:rPr>
          <w:b/>
          <w:sz w:val="19"/>
        </w:rPr>
        <w:t>Why is neonatal resuscitation equipment part of the caesarean tray preparation?</w:t>
      </w:r>
    </w:p>
    <w:p>
      <w:pPr>
        <w:pStyle w:val="QBank"/>
        <w:spacing w:before="0" w:after="100"/>
        <w:ind w:start="595" w:hanging="283"/>
      </w:pPr>
      <w:r>
        <w:rPr>
          <w:rFonts w:ascii="Calibri" w:hAnsi="Calibri"/>
          <w:b/>
        </w:rPr>
        <w:t xml:space="preserve">A.  </w:t>
      </w:r>
      <w:r>
        <w:t>Because the operation delivers a second patient who may require immediate airway support, warming and resuscitation; the equipment must be checked and a paediatric team present before the skin incision, since there is no time to prepare it after delivery.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4" w:name="tray_2_6"/>
      <w:r>
        <w:rPr>
          <w:rFonts w:ascii="Calibri" w:hAnsi="Calibri"/>
          <w:b/>
          <w:color w:val="666666"/>
          <w:sz w:val="29"/>
        </w:rPr>
        <w:t xml:space="preserve">2.6   </w:t>
      </w:r>
      <w:r>
        <w:rPr>
          <w:rFonts w:ascii="Calibri" w:hAnsi="Calibri"/>
          <w:b/>
          <w:sz w:val="29"/>
        </w:rPr>
        <w:t>Vaginal Hysterectomy Tray</w:t>
      </w:r>
      <w:bookmarkEnd w:id="1034"/>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6" name="Picture 6"/>
                  <wp:cNvGraphicFramePr>
                    <a:graphicFrameLocks noChangeAspect="1"/>
                  </wp:cNvGraphicFramePr>
                  <a:graphic>
                    <a:graphicData uri="http://schemas.openxmlformats.org/drawingml/2006/picture">
                      <pic:pic>
                        <pic:nvPicPr>
                          <pic:cNvPr id="0" name="plate_2_6.png"/>
                          <pic:cNvPicPr/>
                        </pic:nvPicPr>
                        <pic:blipFill>
                          <a:blip r:embed="rId1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r>
              <w:t>initial grip on the cervix before the vulsellum takes over</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r>
              <w:t>long curve reaching the cardinal ligament from below</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r>
              <w:t>complements the angled Heaney holder for vault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r>
              <w:t>haemostasis at the top of a deep narrow vaginal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r>
              <w:t>clears blood from a tube-like field without obscuring the view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special instruments of a vaginal hysterectomy tray and why?</w:t>
      </w:r>
    </w:p>
    <w:p>
      <w:pPr>
        <w:pStyle w:val="QBank"/>
        <w:spacing w:before="0" w:after="100"/>
        <w:ind w:start="595" w:hanging="283"/>
      </w:pPr>
      <w:r>
        <w:rPr>
          <w:rFonts w:ascii="Calibri" w:hAnsi="Calibri"/>
          <w:b/>
        </w:rPr>
        <w:t xml:space="preserve">A.  </w:t>
      </w:r>
      <w:r>
        <w:t>An Auvard weighted speculum (self-retaining posterior retraction), Sims lateral retractors and a head-light for illumination; uterine vulsellum forceps and a myoma screw for progressive downward traction; curved and angled Heaney clamps with long Zeppelin and Rochester-Péan clamps for the pedicles; long curved Metzenbaum scissors; and angled Heaney needle holders with heavy absorbable suture. All are curved, angled or long because the operation is performed in a deep narrow tube entered from below, where straight instruments cannot reach the pedicles at a workable angle.</w:t>
      </w:r>
    </w:p>
    <w:p>
      <w:pPr>
        <w:spacing w:before="80" w:after="20"/>
        <w:ind w:start="311" w:hanging="311"/>
        <w:keepLines/>
        <w:keepNext/>
      </w:pPr>
      <w:r>
        <w:rPr>
          <w:rFonts w:ascii="Calibri" w:hAnsi="Calibri"/>
          <w:b/>
          <w:sz w:val="19"/>
        </w:rPr>
        <w:t xml:space="preserve">Q2.  </w:t>
      </w:r>
      <w:r>
        <w:rPr>
          <w:b/>
          <w:sz w:val="19"/>
        </w:rPr>
        <w:t>How does the order of pedicle division differ from the abdominal route?</w:t>
      </w:r>
    </w:p>
    <w:p>
      <w:pPr>
        <w:pStyle w:val="QBank"/>
        <w:spacing w:before="0" w:after="100"/>
        <w:ind w:start="595" w:hanging="283"/>
      </w:pPr>
      <w:r>
        <w:rPr>
          <w:rFonts w:ascii="Calibri" w:hAnsi="Calibri"/>
          <w:b/>
        </w:rPr>
        <w:t xml:space="preserve">A.  </w:t>
      </w:r>
      <w:r>
        <w:t>In vaginal hysterectomy the operation proceeds from below upward — uterosacral and cardinal ligaments first, then the uterine vessels, and the round and adnexal pedicles last. In abdominal hysterectomy the sequence begins with the round ligament and adnexal pedicle and works downward to the vault.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