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6" w:space="0" w:color="000000"/>
          <w:left w:val="single" w:sz="8" w:space="0" w:color="000000"/>
          <w:bottom w:val="single" w:sz="36" w:space="0" w:color="000000"/>
          <w:right w:val="single" w:sz="8" w:space="0" w:color="000000"/>
        </w:tblBorders>
      </w:tblPr>
      <w:tblGrid>
        <w:gridCol w:w="10800"/>
      </w:tblGrid>
      <w:tr>
        <w:tc>
          <w:tcPr>
            <w:tcW w:type="dxa" w:w="10800"/>
            <w:tcMar>
              <w:top w:w="420" w:type="dxa"/>
              <w:start w:w="260" w:type="dxa"/>
              <w:bottom w:w="420" w:type="dxa"/>
              <w:end w:w="260" w:type="dxa"/>
            </w:tcMar>
          </w:tcPr>
          <w:p>
            <w:pPr>
              <w:pStyle w:val="CoverSub"/>
              <w:spacing w:after="120"/>
            </w:pPr>
            <w:r>
              <w:rPr>
                <w:b/>
                <w:sz w:val="22"/>
                <w:spacing w:val="60"/>
              </w:rPr>
              <w:t>PART III — INSTRUMENT TRAYS</w:t>
            </w:r>
          </w:p>
          <w:p>
            <w:pPr>
              <w:pStyle w:val="CoverTitle"/>
              <w:spacing w:before="40" w:after="160"/>
            </w:pPr>
            <w:r>
              <w:t>GENITOURINARY TRAYS</w:t>
            </w:r>
          </w:p>
          <w:p>
            <w:pPr>
              <w:jc w:val="center"/>
              <w:spacing w:before="0" w:after="200" w:line="240" w:lineRule="auto"/>
              <w:pBdr>
                <w:bottom w:val="single" w:sz="12" w:space="1" w:color="000000"/>
              </w:pBdr>
            </w:pP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Complete, illustrated examination notes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General · Gynaecologic &amp; Obstetric · Genitourinary · Thoracic</w:t>
            </w:r>
          </w:p>
          <w:p>
            <w:pPr>
              <w:pStyle w:val="CoverSub"/>
              <w:spacing w:before="20" w:after="20"/>
            </w:pPr>
            <w:r>
              <w:rPr>
                <w:sz w:val="21"/>
              </w:rPr>
              <w:t>Cardiovascular · Orthopaedic · Neurologic · ENT · Ophthalmic · Paediatric</w:t>
            </w:r>
          </w:p>
          <w:p>
            <w:pPr>
              <w:jc w:val="center"/>
              <w:spacing w:before="280" w:after="40" w:line="240" w:lineRule="auto"/>
              <w:pBdr>
                <w:top w:val="single" w:sz="6" w:space="4" w:color="999999"/>
              </w:pBdr>
            </w:pP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Legal (8.5 × 14 in) · 1.27 cm margins · monochrome print-ready</w:t>
            </w:r>
          </w:p>
          <w:p>
            <w:pPr>
              <w:pStyle w:val="CoverSub"/>
              <w:spacing w:before="20" w:after="20"/>
            </w:pPr>
            <w:r>
              <w:rPr>
                <w:i/>
                <w:color w:val="555555"/>
                <w:sz w:val="18"/>
              </w:rPr>
              <w:t>Every figure is an original line diagram, drawn for clarity in black and white</w:t>
            </w:r>
          </w:p>
        </w:tc>
      </w:tr>
    </w:tbl>
    <w:p>
      <w:r>
        <w:br w:type="page"/>
      </w:r>
    </w:p>
    <w:p>
      <w:pPr>
        <w:pStyle w:val="TOCHead"/>
        <w:spacing w:before="80" w:after="40"/>
      </w:pPr>
      <w:bookmarkStart w:id="1035" w:name="toc"/>
      <w:r>
        <w:t>Table of Contents</w:t>
      </w:r>
      <w:bookmarkEnd w:id="1035"/>
    </w:p>
    <w:p>
      <w:pPr>
        <w:jc w:val="center"/>
        <w:spacing w:before="0" w:after="80" w:line="240" w:lineRule="auto"/>
        <w:pBdr>
          <w:bottom w:val="single" w:sz="18" w:space="1" w:color="000000"/>
        </w:pBdr>
      </w:pPr>
    </w:p>
    <w:p>
      <w:pPr>
        <w:jc w:val="center"/>
        <w:spacing w:before="0" w:after="180"/>
      </w:pPr>
      <w:r>
        <w:rPr>
          <w:rFonts w:ascii="Calibri" w:hAnsi="Calibri"/>
          <w:i/>
          <w:color w:val="444444"/>
          <w:sz w:val="17"/>
        </w:rPr>
        <w:t>The page numbers are live fields, shown as “—” until they are filled in.  **To update them: press Ctrl+A then F9** (on a Mac, Cmd+A then Fn+F9) — or right-click any number and choose “Update Field”. Word normally offers to do this when the file opens. Once updated, each number is also a link: Ctrl+click it to jump to that tray.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6" w:space="0" w:color="000000"/>
        </w:tblBorders>
      </w:tblPr>
      <w:tblGrid>
        <w:gridCol w:w="5400"/>
        <w:gridCol w:w="5400"/>
      </w:tblGrid>
      <w:tr>
        <w:trPr>
          <w:tblHeader/>
          <w:cantSplit/>
        </w:trPr>
        <w:tc>
          <w:tcPr>
            <w:tcW w:type="dxa" w:w="9666"/>
            <w:shd w:val="clear" w:color="auto" w:fill="D9D9D9"/>
            <w:tcMar>
              <w:top w:w="60" w:type="dxa"/>
              <w:start w:w="90" w:type="dxa"/>
              <w:bottom w:w="60" w:type="dxa"/>
              <w:end w:w="9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Tray / Chapter</w:t>
            </w:r>
          </w:p>
        </w:tc>
        <w:tc>
          <w:tcPr>
            <w:tcW w:type="dxa" w:w="1134"/>
            <w:shd w:val="clear" w:color="auto" w:fill="D9D9D9"/>
            <w:tcMar>
              <w:top w:w="60" w:type="dxa"/>
              <w:start w:w="90" w:type="dxa"/>
              <w:bottom w:w="60" w:type="dxa"/>
              <w:end w:w="9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Page</w:t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  <w:shd w:val="clear" w:color="auto" w:fill="E4E4E4"/>
          </w:tcPr>
          <w:p>
            <w:pPr>
              <w:pStyle w:val="TabCell"/>
            </w:pPr>
            <w:r>
              <w:rPr>
                <w:rFonts w:ascii="Calibri" w:hAnsi="Calibri"/>
                <w:b/>
                <w:sz w:val="18"/>
                <w:spacing w:val="12"/>
              </w:rPr>
              <w:t>GENITOURINARY TRAYS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  <w:shd w:val="clear" w:color="auto" w:fill="E4E4E4"/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part_III \h </w:instrText>
            </w:r>
            <w:r>
              <w:fldChar w:fldCharType="separate"/>
            </w:r>
            <w:r>
              <w:rPr>
                <w:rFonts w:ascii="Calibri" w:hAnsi="Calibri"/>
                <w:b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3.1   Vasectomy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tray_3_1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3.2   Open Prostatectomy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tray_3_2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  <w:tr>
        <w:trPr>
          <w:cantSplit/>
        </w:trPr>
        <w:tc>
          <w:tcPr>
            <w:tcW w:type="dxa" w:w="9666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ind w:start="238"/>
            </w:pPr>
            <w:r>
              <w:rPr>
                <w:sz w:val="19"/>
              </w:rPr>
              <w:t>3.3   Kidney Tray</w:t>
            </w:r>
          </w:p>
        </w:tc>
        <w:tc>
          <w:tcPr>
            <w:tcW w:type="dxa" w:w="1134"/>
            <w:vAlign w:val="top"/>
            <w:tcMar>
              <w:top w:w="42" w:type="dxa"/>
              <w:start w:w="90" w:type="dxa"/>
              <w:bottom w:w="42" w:type="dxa"/>
              <w:end w:w="90" w:type="dxa"/>
            </w:tcMar>
          </w:tcPr>
          <w:p>
            <w:pPr>
              <w:pStyle w:val="TabCell"/>
              <w:jc w:val="center"/>
            </w:pPr>
            <w:r>
              <w:fldChar w:fldCharType="begin"/>
            </w:r>
            <w:r>
              <w:instrText xml:space="preserve"> PAGEREF tray_3_3 \h </w:instrText>
            </w:r>
            <w:r>
              <w:fldChar w:fldCharType="separate"/>
            </w:r>
            <w:r>
              <w:rPr>
                <w:rFonts w:ascii="Calibri" w:hAnsi="Calibri"/>
                <w:sz w:val="19"/>
              </w:rPr>
              <w:t>—</w:t>
            </w:r>
            <w:r>
              <w:fldChar w:fldCharType="end"/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p>
      <w:pPr>
        <w:pStyle w:val="TOCHead"/>
        <w:spacing w:before="80" w:after="40"/>
      </w:pPr>
      <w:bookmarkStart w:id="1036" w:name="how_to_read"/>
      <w:r>
        <w:t>How to Read These Notes</w:t>
      </w:r>
      <w:bookmarkEnd w:id="1036"/>
    </w:p>
    <w:p>
      <w:pPr>
        <w:jc w:val="center"/>
        <w:spacing w:before="0" w:after="160" w:line="240" w:lineRule="auto"/>
        <w:pBdr>
          <w:bottom w:val="single" w:sz="18" w:space="1" w:color="000000"/>
        </w:pBdr>
      </w:pPr>
    </w:p>
    <w:p>
      <w:pPr>
        <w:pStyle w:val="TrayLead"/>
        <w:spacing w:before="0" w:after="160"/>
      </w:pPr>
      <w:r>
        <w:t xml:space="preserve">Every tray chapter is built to the same pattern, so you can find the same kind of information in the same place each time. Read the </w:t>
      </w:r>
      <w:r>
        <w:rPr>
          <w:i/>
        </w:rPr>
        <w:t>lead paragraph</w:t>
      </w:r>
      <w:r>
        <w:t xml:space="preserve"> and the </w:t>
      </w:r>
      <w:r>
        <w:rPr>
          <w:i/>
        </w:rPr>
        <w:t>figure</w:t>
      </w:r>
      <w:r>
        <w:t xml:space="preserve"> first to fix the idea, then work through the contents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bottom w:val="single" w:sz="12" w:space="0" w:color="000000"/>
          <w:insideH w:val="single" w:sz="4" w:space="0" w:color="BBBBBB"/>
        </w:tblBorders>
      </w:tblPr>
      <w:tblGrid>
        <w:gridCol w:w="5400"/>
        <w:gridCol w:w="5400"/>
      </w:tblGrid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Lead paragraph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What the tray is for and the single idea that shapes it. If you remember nothing else from a chapter, remember this.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Used for / includes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procedures the tray serves — useful for 'name three indications' questions.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Figure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An original line diagram of the tray's </w:t>
            </w:r>
            <w:r>
              <w:rPr>
                <w:b/>
                <w:sz w:val="19"/>
              </w:rPr>
              <w:t>signature instruments</w:t>
            </w:r>
            <w:r>
              <w:rPr>
                <w:sz w:val="19"/>
              </w:rPr>
              <w:t xml:space="preserve"> — the items that identify it. Diagrams are schematic: they show the identifying feature (jaw pattern, bevel direction, footplate, curve) rather than a photographic likeness.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Callout box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one concept, distinction or safety rule that examiners return to for that tray.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Contents of the tray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The full instrument list, grouped by </w:t>
            </w:r>
            <w:r>
              <w:rPr>
                <w:b/>
                <w:sz w:val="19"/>
              </w:rPr>
              <w:t>function</w:t>
            </w:r>
            <w:r>
              <w:rPr>
                <w:sz w:val="19"/>
              </w:rPr>
              <w:t xml:space="preserve"> — cutting, grasping, clamping, retracting, suturing, suctioning — with quantities and the reason each item is present. Answer 'enumerate the contents' questions using these groups as headings.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Additional supplies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Position, draping, structures at risk and procedure-specific notes.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Comparison table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Where two trays or two instruments are easily confused, they are set side by side.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Examination pointers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The specific facts most often awarded marks — learn these last, as revision.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Common mistakes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Errors that lose marks, marked with ✗.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Likely examination questions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Questions with model answers written at the length an examiner expects.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A note on quantities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 xml:space="preserve">Instrument </w:t>
            </w:r>
            <w:r>
              <w:rPr>
                <w:b/>
                <w:sz w:val="19"/>
              </w:rPr>
              <w:t>names, functions and groupings</w:t>
            </w:r>
            <w:r>
              <w:rPr>
                <w:sz w:val="19"/>
              </w:rPr>
              <w:t xml:space="preserve"> are standard. The </w:t>
            </w:r>
            <w:r>
              <w:rPr>
                <w:b/>
                <w:sz w:val="19"/>
              </w:rPr>
              <w:t>numbers</w:t>
            </w:r>
            <w:r>
              <w:rPr>
                <w:sz w:val="19"/>
              </w:rPr>
              <w:t xml:space="preserve"> ("6 Allis clamps") vary between institutions — please cross-check them against your prescribed textbook.</w:t>
            </w:r>
          </w:p>
        </w:tc>
      </w:tr>
      <w:tr>
        <w:tc>
          <w:tcPr>
            <w:tcW w:type="dxa" w:w="283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Head"/>
            </w:pPr>
            <w:r>
              <w:rPr>
                <w:sz w:val="19"/>
              </w:rPr>
              <w:t>Printing</w:t>
            </w:r>
          </w:p>
        </w:tc>
        <w:tc>
          <w:tcPr>
            <w:tcW w:type="dxa" w:w="7965"/>
            <w:vAlign w:val="top"/>
            <w:tcMar>
              <w:top w:w="70" w:type="dxa"/>
              <w:start w:w="0" w:type="dxa"/>
              <w:bottom w:w="70" w:type="dxa"/>
              <w:end w:w="110" w:type="dxa"/>
            </w:tcMar>
          </w:tcPr>
          <w:p>
            <w:pPr>
              <w:pStyle w:val="TabCell"/>
            </w:pPr>
            <w:r>
              <w:rPr>
                <w:sz w:val="19"/>
              </w:rPr>
              <w:t>Legal paper (8.5 × 14 in), 1.27 cm margins, monochrome throughout. No information depends on colour, so a black-and-white printer loses nothing.</w:t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</w:tblPr>
      <w:tblGrid>
        <w:gridCol w:w="10800"/>
      </w:tblGrid>
      <w:tr>
        <w:tc>
          <w:tcPr>
            <w:tcW w:type="dxa" w:w="10800"/>
            <w:shd w:val="clear" w:color="auto" w:fill="1A1A1A"/>
            <w:tcMar>
              <w:top w:w="150" w:type="dxa"/>
              <w:start w:w="220" w:type="dxa"/>
              <w:bottom w:w="150" w:type="dxa"/>
              <w:end w:w="220" w:type="dxa"/>
            </w:tcMar>
          </w:tcPr>
          <w:p>
            <w:pPr>
              <w:jc w:val="left"/>
              <w:spacing w:before="0" w:after="40" w:line="240" w:lineRule="auto"/>
              <w:keepLines/>
              <w:keepNext/>
            </w:pPr>
            <w:r>
              <w:rPr>
                <w:rFonts w:ascii="Calibri" w:hAnsi="Calibri"/>
                <w:b/>
                <w:caps/>
                <w:color w:val="CCCCCC"/>
                <w:sz w:val="19"/>
                <w:spacing w:val="50"/>
              </w:rPr>
              <w:t>PART III</w:t>
            </w:r>
          </w:p>
          <w:p>
            <w:pPr>
              <w:pStyle w:val="Heading1"/>
              <w:jc w:val="left"/>
              <w:spacing w:before="0" w:after="0"/>
            </w:pPr>
            <w:bookmarkStart w:id="1037" w:name="part_III"/>
            <w:r>
              <w:rPr>
                <w:rFonts w:ascii="Calibri" w:hAnsi="Calibri"/>
                <w:b/>
                <w:color w:val="FFFFFF"/>
                <w:sz w:val="38"/>
              </w:rPr>
              <w:t>Genitourinary Trays</w:t>
            </w:r>
            <w:bookmarkEnd w:id="1037"/>
          </w:p>
          <w:p>
            <w:pPr>
              <w:spacing w:before="80" w:after="0"/>
            </w:pPr>
            <w:r>
              <w:rPr>
                <w:rFonts w:ascii="Calibri" w:hAnsi="Calibri"/>
                <w:i/>
                <w:color w:val="D6D6D6"/>
                <w:sz w:val="19"/>
              </w:rPr>
              <w:t>Vasectomy · Open prostatectomy · Kidney</w:t>
            </w:r>
          </w:p>
        </w:tc>
      </w:tr>
    </w:tbl>
    <w:p>
      <w:pPr>
        <w:spacing w:before="0" w:after="160" w:line="240" w:lineRule="auto"/>
      </w:pPr>
    </w:p>
    <w:p>
      <w:pPr>
        <w:pStyle w:val="TrayLead"/>
        <w:spacing w:before="40" w:after="160"/>
      </w:pPr>
      <w:r>
        <w:t xml:space="preserve">Urological trays span the extremes of scale. </w:t>
      </w:r>
      <w:r>
        <w:rPr>
          <w:b/>
        </w:rPr>
        <w:t>Vasectomy</w:t>
      </w:r>
      <w:r>
        <w:t xml:space="preserve"> is one of the smallest sets in surgery; </w:t>
      </w:r>
      <w:r>
        <w:rPr>
          <w:b/>
        </w:rPr>
        <w:t>open prostatectomy</w:t>
      </w:r>
      <w:r>
        <w:t xml:space="preserve"> works in the deepest, least accessible part of the pelvis; the </w:t>
      </w:r>
      <w:r>
        <w:rPr>
          <w:b/>
        </w:rPr>
        <w:t>kidney tray</w:t>
      </w:r>
      <w:r>
        <w:t xml:space="preserve"> must handle a retroperitoneal organ approached through the flank, often requiring rib resection. All three share one need — the ability to control </w:t>
      </w:r>
      <w:r>
        <w:rPr>
          <w:b/>
        </w:rPr>
        <w:t>urine and blood</w:t>
      </w:r>
      <w:r>
        <w:t xml:space="preserve"> and to leave </w:t>
      </w:r>
      <w:r>
        <w:rPr>
          <w:b/>
        </w:rPr>
        <w:t>drainage</w:t>
      </w:r>
      <w:r>
        <w:t xml:space="preserve"> behind.</w:t>
      </w:r>
    </w:p>
    <w:p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bookmarkStart w:id="1038" w:name="tray_3_1"/>
      <w:r>
        <w:rPr>
          <w:rFonts w:ascii="Calibri" w:hAnsi="Calibri"/>
          <w:b/>
          <w:color w:val="666666"/>
          <w:sz w:val="29"/>
        </w:rPr>
        <w:t xml:space="preserve">3.1   </w:t>
      </w:r>
      <w:r>
        <w:rPr>
          <w:rFonts w:ascii="Calibri" w:hAnsi="Calibri"/>
          <w:b/>
          <w:sz w:val="29"/>
        </w:rPr>
        <w:t>Vasectomy Tray</w:t>
      </w:r>
      <w:bookmarkEnd w:id="1038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Male sterilisation set · no-scalpel vasectomy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rPr>
                <w:b/>
              </w:rPr>
              <w:t>Vasectomy</w:t>
            </w:r>
            <w:r>
              <w:t xml:space="preserve"> divides and occludes the vas deferens on each side to produce permanent male sterilisation. It is a </w:t>
            </w:r>
            <w:r>
              <w:rPr>
                <w:b/>
              </w:rPr>
              <w:t>limited tray</w:t>
            </w:r>
            <w:r>
              <w:t xml:space="preserve"> procedure performed under local anaesthesia through a tiny scrotal opening. The tray's only special requirement is a means to </w:t>
            </w:r>
            <w:r>
              <w:rPr>
                <w:b/>
              </w:rPr>
              <w:t>isolate and hold the vas</w:t>
            </w:r>
            <w:r>
              <w:t xml:space="preserve"> without damaging the surrounding vessels.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Elective permanent male sterilisation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Conventional (incisional) vasectomy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No-scalpel vasectomy (NSV) technique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Vasectomy with fascial interposition or cautery occlusion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Occasionally: vasectomy before prostatectomy to prevent epididymo-orchitis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16550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55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3.1 — A limited tray plus vas-specific forceps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No-scalpel vasectomy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Uses only </w:t>
            </w:r>
            <w:r>
              <w:rPr>
                <w:b/>
              </w:rPr>
              <w:t>two special instruments</w:t>
            </w:r>
            <w:r>
              <w:t>: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ringed vas fixation clamp</w:t>
            </w:r>
            <w:r>
              <w:t>, and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sharp-pointed curved dissecting forceps</w:t>
            </w:r>
            <w:r>
              <w:t xml:space="preserve"> that puncture and spread instead of cutting.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Result: less bleeding, less haematoma, no sutures, faster recovery.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Key feature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Limited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1.3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VAS-SPECIFIC INSTRUMENTS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Vas deferens fixation (ring) clamp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an extracutaneous ringed clamp that traps and holds the vas against the scrotal skin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Vas dissecting forceps, sharp-pointed curved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of the no-scalpel technique — punctures the skin and spreads the tissues, avoiding a scalpel entirely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mosquito artery forceps, curved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isolating and occluding the divided ends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Allis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holds the vas sheath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toothed and non-toothed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skin and sheath handling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CUTTING AND OCCLUSION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Knife handle No.3 with No.11 or No.15 blade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conventional technique only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iris / tenotomy scissors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excising a segment of vas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needle-point cautery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intraluminal (mucosal) cautery occlusion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Ligating clips or fine non-absorbable ties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occluding the cut ends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Suture for fascial interposition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interposes the sheath between the ends — reduces recanalisation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ANAESTHESIA AND ACCESSORY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Local anaesthetic (lignocaine 1–2 %) with syringe and fine needle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skin weal and vasal nerve block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Gallipot with antiseptic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scrotal skin preparation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Small drape with a central aperture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isolates a very small operative field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Gauze swabs, counted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radio-opaque and counted, however small the procedure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Two labelled specimen containers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separate left and right vas segments</w:t>
            </w:r>
            <w:r>
              <w:t xml:space="preserve"> for histological confirmation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Scrotal support and dressing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compression reduces haematoma, the commonest complication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Needle holder with fine absorbable suture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skin closure — often not required in NSV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Supine, legs slightly apart; the scrotum shaved, prepared and supported on a towel.</w:t>
      </w:r>
    </w:p>
    <w:p>
      <w:pPr>
        <w:pStyle w:val="BoxBody"/>
        <w:ind w:start="170"/>
      </w:pPr>
      <w:r>
        <w:rPr>
          <w:b/>
        </w:rPr>
        <w:t>Counselling</w:t>
      </w:r>
      <w:r>
        <w:t xml:space="preserve"> — The procedure must be regarded as </w:t>
      </w:r>
      <w:r>
        <w:rPr>
          <w:b/>
        </w:rPr>
        <w:t>permanent and irreversible</w:t>
      </w:r>
      <w:r>
        <w:t xml:space="preserve">; informed written consent, discussion of failure rate (≈1 in 2000) and the need for </w:t>
      </w:r>
      <w:r>
        <w:rPr>
          <w:b/>
        </w:rPr>
        <w:t>post-operative semen analysis</w:t>
      </w:r>
      <w:r>
        <w:t xml:space="preserve"> are part of preparation.</w:t>
      </w:r>
    </w:p>
    <w:p>
      <w:pPr>
        <w:pStyle w:val="BoxBody"/>
        <w:ind w:start="170"/>
      </w:pPr>
      <w:r>
        <w:rPr>
          <w:b/>
        </w:rPr>
        <w:t>Post-operative</w:t>
      </w:r>
      <w:r>
        <w:t xml:space="preserve"> — Contraception must continue until azoospermia is confirmed, usually at 12 weeks or after about 20 ejaculations.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Haematoma, infection, sperm granuloma, chronic post-vasectomy pain, and recanalisation causing failure.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This is a </w:t>
            </w:r>
            <w:r>
              <w:rPr>
                <w:b/>
              </w:rPr>
              <w:t>limited tray plus two instruments</w:t>
            </w:r>
            <w:r>
              <w:t xml:space="preserve"> — the </w:t>
            </w:r>
            <w:r>
              <w:rPr>
                <w:b/>
              </w:rPr>
              <w:t>ring clamp</w:t>
            </w:r>
            <w:r>
              <w:t xml:space="preserve"> and the </w:t>
            </w:r>
            <w:r>
              <w:rPr>
                <w:b/>
              </w:rPr>
              <w:t>sharp dissecting forceps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Know the </w:t>
            </w:r>
            <w:r>
              <w:rPr>
                <w:b/>
              </w:rPr>
              <w:t>no-scalpel technique</w:t>
            </w:r>
            <w:r>
              <w:t xml:space="preserve"> by name and its two instruments; it is the commonly examined modern method.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Two separate labelled specimen pots</w:t>
            </w:r>
            <w:r>
              <w:t xml:space="preserve"> — left and right — for histological confirmation of vas.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Fascial interposition</w:t>
            </w:r>
            <w:r>
              <w:t xml:space="preserve"> and </w:t>
            </w:r>
            <w:r>
              <w:rPr>
                <w:b/>
              </w:rPr>
              <w:t>mucosal cautery</w:t>
            </w:r>
            <w:r>
              <w:t xml:space="preserve"> reduce recanalisation — name at least one.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Semen analysis at ~12 weeks</w:t>
            </w:r>
            <w:r>
              <w:t xml:space="preserve"> before relying on the procedure is a standard mark.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Describe the vasectomy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A limited procedures tray plus vas-specific items: a ringed vas fixation clamp and sharp-pointed curved vas dissecting forceps (the two no-scalpel instruments); fine curved mosquito forceps and a small Allis clamp; a No.11 blade and fine iris scissors; needle-point cautery, clips or fine ties and suture for fascial interposition; local anaesthetic with syringe and fine needle; and two separately labelled specimen containers for the left and right vas segments.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What advice regarding contraception follows vasectomy?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Contraception must be continued until azoospermia is confirmed by semen analysis, usually at about 12 weeks or after roughly 20 ejaculations, because sperm persist in the distal vas.</w:t>
      </w:r>
    </w:p>
    <w:p>
      <w:pPr>
        <w:spacing w:before="300" w:after="60" w:line="240" w:lineRule="auto"/>
        <w:keepLines/>
        <w:keepNext/>
        <w:pBdr>
          <w:bottom w:val="single" w:sz="18" w:space="1" w:color="000000"/>
        </w:pBdr>
      </w:pPr>
    </w:p>
    <w:p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bookmarkStart w:id="1039" w:name="tray_3_2"/>
      <w:r>
        <w:rPr>
          <w:rFonts w:ascii="Calibri" w:hAnsi="Calibri"/>
          <w:b/>
          <w:color w:val="666666"/>
          <w:sz w:val="29"/>
        </w:rPr>
        <w:t xml:space="preserve">3.2   </w:t>
      </w:r>
      <w:r>
        <w:rPr>
          <w:rFonts w:ascii="Calibri" w:hAnsi="Calibri"/>
          <w:b/>
          <w:sz w:val="29"/>
        </w:rPr>
        <w:t>Open Prostatectomy Tray</w:t>
      </w:r>
      <w:bookmarkEnd w:id="1039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Retropubic / suprapubic (transvesical) prostatectomy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Open prostatectomy enucleates the benign prostatic adenoma either </w:t>
            </w:r>
            <w:r>
              <w:rPr>
                <w:b/>
              </w:rPr>
              <w:t>through the bladder</w:t>
            </w:r>
            <w:r>
              <w:t xml:space="preserve"> (suprapubic/transvesical) or </w:t>
            </w:r>
            <w:r>
              <w:rPr>
                <w:b/>
              </w:rPr>
              <w:t>through the prostatic capsule</w:t>
            </w:r>
            <w:r>
              <w:t xml:space="preserve"> (retropubic, Millin). The field is the </w:t>
            </w:r>
            <w:r>
              <w:rPr>
                <w:b/>
              </w:rPr>
              <w:t>deepest and narrowest in general surgery</w:t>
            </w:r>
            <w:r>
              <w:t xml:space="preserve">, surrounded by a rich venous plexus. The tray is a major tray built for </w:t>
            </w:r>
            <w:r>
              <w:rPr>
                <w:b/>
              </w:rPr>
              <w:t>depth, illumination, enucleation and control of venous bleeding</w:t>
            </w:r>
            <w:r>
              <w:t>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Benign prostatic hyperplasia with a very large gland (&gt;80–100 g)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BPH with a large bladder stone or diverticulum requiring open removal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When TURP is unsuitable — urethral stricture, inability to position, ankylosis of hips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Failed endoscopic surgery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Simple prostatectomy for chronic retention with obstructive renal impairment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2080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080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3.2 — Depth, retraction and venous control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Three-way catheter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Its three channels are: </w:t>
            </w:r>
            <w:r>
              <w:rPr>
                <w:b/>
              </w:rPr>
              <w:t>balloon inflation</w:t>
            </w:r>
            <w:r>
              <w:t xml:space="preserve">, </w:t>
            </w:r>
            <w:r>
              <w:rPr>
                <w:b/>
              </w:rPr>
              <w:t>irrigation inflow</w:t>
            </w:r>
            <w:r>
              <w:t xml:space="preserve"> and </w:t>
            </w:r>
            <w:r>
              <w:rPr>
                <w:b/>
              </w:rPr>
              <w:t>drainage outflow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Continuous bladder irrigation</w:t>
            </w:r>
            <w:r>
              <w:t xml:space="preserve"> through it prevents clot retention — the commonest early post-operative emergency.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Always name it as a </w:t>
            </w:r>
            <w:r>
              <w:rPr>
                <w:b/>
              </w:rPr>
              <w:t>22–24 Fr with a 30 mL balloon</w:t>
            </w:r>
            <w:r>
              <w:t>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Key feature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major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1.1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long instruments tray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mandatory</w:t>
            </w:r>
            <w:r>
              <w:t xml:space="preserve"> — the retropubic space is very deep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EXPOSURE OF THE RETROPUBIC SPACE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Self-retaining retractor — Millin, Balfour or Bookwalter ring system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holds the deep pelvic exposure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Deaver retractors, extra-deep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retropubic space is among the deepest fields in surgery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Malleable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protect the bladder and rectum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Bladder (Judd-Mason) retractor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purpose-made prostatectomy retractor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Head-light or fibre-optic lighted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illumination is essential at this depth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moist packs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pack the space and tamponade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ENUCLEATION AND GLAND HANDLING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Prostatic enucleator / adenoma spoon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develops the plane between adenoma and capsule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Allis / Babcock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traction on the adenoma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Millin capsule-incising scalpel with long handle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retropubic capsulotomy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Boomerang / capsule needle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haemostatic capsular sutures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curved Metzenbaum scissors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urethral division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Stone / clot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bladder calculi and organised clot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Bladder neck (Denis Browne)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purpose-shaped blade exposing the bladder neck after enucleation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VENOUS HAEMOSTASIS — THE CENTRAL PROBLEM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6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right-angled (Mixter) forceps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under-running the dorsal venous complex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Rochester-Péan clamps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heavy long clamp for the dorsal venous complex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Needle holders, 25 cm and 30 cm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deep suture ligation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Absorbable suture 0/1 on a large half-circle needle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capsular and bladder-neck haemostatic sutures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Ligature carrier and knot pusher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tying at depth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Haemostatic agents — cellulose, gelatin sponge, fibrin sealant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adjuncts for capsular ooze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Diathermy with long extension tip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reaches the prostatic cavity without arcing to retractors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Cross-matched blood, at least 2 units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blood loss can be substantial and rapid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DRAINAGE AND CATHETERS — ALWAYS REQUIRED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Three-way irrigating Foley catheter, 22–24 Fr, 30 mL balloon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requirement</w:t>
            </w:r>
            <w:r>
              <w:t xml:space="preserve"> — allows continuous bladder irrigation to prevent clot retention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Continuous bladder irrigation set with warm normal saline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warm fluid avoids clot formation and bladder spasm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Suprapubic (Malecot) catheter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 the transvesical approach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Closed suction drain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retropubic space (prevents urinoma)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Catheter introducer / stylet and lubricant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guides a large three-way catheter through a distorted urethra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Bladder syringe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clot evacuation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Urine drainage bags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large capacity, since irrigation volumes are high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Specimen container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adenoma weighed and sent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ENDOSCOPIC CAPABILITY KEPT AVAILABLE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Cystoscope with light source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assessing the bladder and urethra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Resectoscope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if the plan may change to TURP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Irrigation fluid on a stand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gravity feed; bag height sets the irrigation pressure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Supine with slight Trendelenburg; legs slightly apart. A sandbag under the sacrum improves retropubic access.</w:t>
      </w:r>
    </w:p>
    <w:p>
      <w:pPr>
        <w:pStyle w:val="BoxBody"/>
        <w:ind w:start="170"/>
      </w:pPr>
      <w:r>
        <w:rPr>
          <w:b/>
        </w:rPr>
        <w:t>Approaches</w:t>
      </w:r>
      <w:r>
        <w:t xml:space="preserve"> — </w:t>
      </w:r>
      <w:r>
        <w:rPr>
          <w:b/>
        </w:rPr>
        <w:t>Retropubic (Millin)</w:t>
      </w:r>
      <w:r>
        <w:t xml:space="preserve"> — through the prostatic capsule, better visualisation of the prostatic bed and bladder neck. </w:t>
      </w:r>
      <w:r>
        <w:rPr>
          <w:b/>
        </w:rPr>
        <w:t>Suprapubic (transvesical, Freyer)</w:t>
      </w:r>
      <w:r>
        <w:t xml:space="preserve"> — through the bladder, preferred when there is a large bladder stone or diverticulum to deal with.</w:t>
      </w:r>
    </w:p>
    <w:p>
      <w:pPr>
        <w:pStyle w:val="BoxBody"/>
        <w:ind w:start="170"/>
      </w:pPr>
      <w:r>
        <w:rPr>
          <w:b/>
        </w:rPr>
        <w:t>Complications</w:t>
      </w:r>
      <w:r>
        <w:t xml:space="preserve"> — Haemorrhage and clot retention (commonest early), urinary infection, incontinence, retrograde ejaculation, bladder-neck stenosis, urethral stricture, impotence, and osteitis pubis.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/>
          </w:p>
        </w:tc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Retropubic (Millin)</w:t>
            </w:r>
          </w:p>
        </w:tc>
        <w:tc>
          <w:tcPr>
            <w:tcW w:type="dxa" w:w="360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</w:pPr>
            <w:r>
              <w:t>Suprapubic (transvesical, Freyer)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Route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Through the prostatic capsule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Through the bladder wall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Bladder opened?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No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Yes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Best when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Pure prostatic enlargement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Large bladder stone or diverticulum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View of prostatic bed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Excellent — direct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Limited — from above</w:t>
            </w:r>
          </w:p>
        </w:tc>
      </w:tr>
      <w:tr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Extra catheter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Urethral only</w:t>
            </w:r>
          </w:p>
        </w:tc>
        <w:tc>
          <w:tcPr>
            <w:tcW w:type="dxa" w:w="360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 xml:space="preserve">Urethral </w:t>
            </w:r>
            <w:r>
              <w:rPr>
                <w:b/>
              </w:rPr>
              <w:t>plus</w:t>
            </w:r>
            <w:r>
              <w:t xml:space="preserve"> suprapubic</w:t>
            </w:r>
          </w:p>
        </w:tc>
      </w:tr>
      <w:tr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rPr>
                <w:b/>
              </w:rPr>
              <w:t>Key retractor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Millin self-retaining retractor</w:t>
            </w:r>
          </w:p>
        </w:tc>
        <w:tc>
          <w:tcPr>
            <w:tcW w:type="dxa" w:w="360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</w:pPr>
            <w:r>
              <w:t>Bladder (Judd-Mason) retractor</w:t>
            </w:r>
          </w:p>
        </w:tc>
      </w:tr>
    </w:tbl>
    <w:p>
      <w:pPr>
        <w:spacing w:before="0" w:after="160" w:line="240" w:lineRule="auto"/>
      </w:pPr>
    </w:p>
    <w:p>
      <w:pPr>
        <w:pStyle w:val="FigCaption"/>
        <w:jc w:val="center"/>
      </w:pPr>
      <w:r>
        <w:t>Table 3.1 — The two open approaches compared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State the </w:t>
            </w:r>
            <w:r>
              <w:rPr>
                <w:b/>
              </w:rPr>
              <w:t>two approaches by name</w:t>
            </w:r>
            <w:r>
              <w:t xml:space="preserve"> — retropubic (Millin) and suprapubic/transvesical (Freyer) — and one indication for each.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long instruments tray is mandatory</w:t>
            </w:r>
            <w:r>
              <w:t>, not optional.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Venous haemostasis</w:t>
            </w:r>
            <w:r>
              <w:t xml:space="preserve"> dominates: long right-angled forceps, long needle holders, capsular sutures, haemostatic agents and cross-matched blood.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</w:t>
            </w:r>
            <w:r>
              <w:rPr>
                <w:b/>
              </w:rPr>
              <w:t>three-way irrigating catheter with continuous bladder irrigation</w:t>
            </w:r>
            <w:r>
              <w:t xml:space="preserve"> is the most reliably examined item.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Illumination (head-light)</w:t>
            </w:r>
            <w:r>
              <w:t xml:space="preserve"> and a </w:t>
            </w:r>
            <w:r>
              <w:rPr>
                <w:b/>
              </w:rPr>
              <w:t>retropubic drain</w:t>
            </w:r>
            <w:r>
              <w:t xml:space="preserve"> are easily earned marks.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Name the </w:t>
            </w:r>
            <w:r>
              <w:rPr>
                <w:b/>
              </w:rPr>
              <w:t>prostatic enucleator</w:t>
            </w:r>
            <w:r>
              <w:t xml:space="preserve"> as the gland-specific instrument.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Describe the open prostatectomy tray.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A major tray plus a complete long instruments tray; a Millin, Balfour or Bookwalter self-retaining retractor with extra-deep Deaver, malleable and Judd-Mason bladder retractors and a head-light; a prostatic enucleator with long Allis/Babcock forceps, Millin capsule scalpel, boomerang needle and stone/clot forceps; long right-angled Mixter forceps, 25–30 cm needle holders, heavy absorbable suture, ligature carrier, knot pusher and haemostatic agents with cross-matched blood; a 22–24 Fr three-way irrigating Foley with continuous irrigation, a suprapubic catheter for the transvesical route, a retropubic drain and a bladder syringe; plus a cystoscope kept available.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Why is a three-way catheter essential after prostatectomy?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The prostatic bed bleeds freely and clot retention is the commonest early complication. A three-way catheter allows continuous bladder irrigation — separate inflow and outflow channels plus a balloon channel — which washes blood out before it clots and obstructs the bladder.</w:t>
      </w:r>
    </w:p>
    <w:p>
      <w:pPr>
        <w:spacing w:before="300" w:after="60" w:line="240" w:lineRule="auto"/>
        <w:keepLines/>
        <w:keepNext/>
        <w:pBdr>
          <w:bottom w:val="single" w:sz="18" w:space="1" w:color="000000"/>
        </w:pBdr>
      </w:pPr>
    </w:p>
    <w:p>
      <w:pPr>
        <w:pStyle w:val="Heading2"/>
        <w:spacing w:before="320" w:after="40"/>
        <w:keepLines/>
        <w:keepNext/>
        <w:pBdr>
          <w:bottom w:val="single" w:sz="12" w:space="3" w:color="000000"/>
        </w:pBdr>
      </w:pPr>
      <w:bookmarkStart w:id="1040" w:name="tray_3_3"/>
      <w:r>
        <w:rPr>
          <w:rFonts w:ascii="Calibri" w:hAnsi="Calibri"/>
          <w:b/>
          <w:color w:val="666666"/>
          <w:sz w:val="29"/>
        </w:rPr>
        <w:t xml:space="preserve">3.3   </w:t>
      </w:r>
      <w:r>
        <w:rPr>
          <w:rFonts w:ascii="Calibri" w:hAnsi="Calibri"/>
          <w:b/>
          <w:sz w:val="29"/>
        </w:rPr>
        <w:t>Kidney Tray</w:t>
      </w:r>
      <w:bookmarkEnd w:id="1040"/>
    </w:p>
    <w:p>
      <w:pPr>
        <w:spacing w:before="60" w:after="100"/>
      </w:pPr>
      <w:r>
        <w:rPr>
          <w:rFonts w:ascii="Calibri" w:hAnsi="Calibri"/>
          <w:b/>
          <w:caps/>
          <w:color w:val="555555"/>
          <w:sz w:val="17"/>
        </w:rPr>
        <w:t xml:space="preserve">Also called:  </w:t>
      </w:r>
      <w:r>
        <w:rPr>
          <w:i/>
          <w:color w:val="333333"/>
          <w:sz w:val="18"/>
        </w:rPr>
        <w:t>Nephrectomy tray · renal / flank exploration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808080"/>
          <w:left w:val="nil" w:sz="6" w:space="0" w:color="808080"/>
          <w:bottom w:val="nil" w:sz="6" w:space="0" w:color="808080"/>
          <w:right w:val="nil" w:sz="6" w:space="0" w:color="808080"/>
          <w:insideH w:val="nil" w:sz="6" w:space="0" w:color="808080"/>
          <w:insideV w:val="nil" w:sz="6" w:space="0" w:color="808080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W w:type="dxa" w:w="6917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rayLead"/>
            </w:pPr>
            <w:r>
              <w:t xml:space="preserve">The kidney lies </w:t>
            </w:r>
            <w:r>
              <w:rPr>
                <w:b/>
              </w:rPr>
              <w:t>retroperitoneally, high under the diaphragm and behind the ribs</w:t>
            </w:r>
            <w:r>
              <w:t xml:space="preserve">. The standard flank approach frequently requires </w:t>
            </w:r>
            <w:r>
              <w:rPr>
                <w:b/>
              </w:rPr>
              <w:t>removal or division of the 12th (or 11th) rib</w:t>
            </w:r>
            <w:r>
              <w:t xml:space="preserve">, so the kidney tray is unique among abdominal trays in carrying </w:t>
            </w:r>
            <w:r>
              <w:rPr>
                <w:b/>
              </w:rPr>
              <w:t>bone and rib instruments</w:t>
            </w:r>
            <w:r>
              <w:t xml:space="preserve"> alongside major and vascular instruments — and it must handle the short, high-pressure renal pedicle.</w:t>
            </w:r>
          </w:p>
          <w:p>
            <w:pPr>
              <w:pStyle w:val="TinyLabel"/>
            </w:pPr>
            <w:r>
              <w:t>Used for / includes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Simple and radical nephrectomy for tumour or non-function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Partial nephrectomy; nephron-sparing surgery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Pyelolithotomy and nephrolithotomy for renal calculi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Pyeloplasty for pelviureteric junction obstruction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Nephroureterectomy; donor and transplant nephrectomy</w:t>
            </w:r>
          </w:p>
          <w:p>
            <w:pPr>
              <w:pStyle w:val="Bullet"/>
              <w:ind w:start="238" w:hanging="238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>Drainage of a perinephric abscess; renal trauma exploration</w:t>
            </w:r>
          </w:p>
        </w:tc>
        <w:tc>
          <w:tcPr>
            <w:tcW w:type="dxa" w:w="198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368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  <w:spacing w:before="40" w:after="20" w:line="240" w:lineRule="auto"/>
              <w:pBdr>
                <w:top w:val="single" w:sz="4" w:space="2" w:color="999999"/>
                <w:left w:val="single" w:sz="4" w:space="3" w:color="999999"/>
                <w:bottom w:val="single" w:sz="4" w:space="2" w:color="999999"/>
                <w:right w:val="single" w:sz="4" w:space="3" w:color="999999"/>
              </w:pBdr>
            </w:pPr>
            <w:r>
              <w:drawing>
                <wp:inline xmlns:a="http://schemas.openxmlformats.org/drawingml/2006/main" xmlns:pic="http://schemas.openxmlformats.org/drawingml/2006/picture">
                  <wp:extent cx="2286000" cy="24460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te_3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4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FigCaption"/>
              <w:jc w:val="center"/>
              <w:spacing w:before="40" w:after="120"/>
            </w:pPr>
            <w:r>
              <w:t>Fig 3.3 — Bone, vascular and stone instruments together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E4E4E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Why bone instruments are on a kidney tray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kidney lies </w:t>
            </w:r>
            <w:r>
              <w:rPr>
                <w:b/>
              </w:rPr>
              <w:t>behind the 11th and 12th ribs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standard flank approach resects or divides the </w:t>
            </w:r>
            <w:r>
              <w:rPr>
                <w:b/>
              </w:rPr>
              <w:t>12th rib</w:t>
            </w:r>
            <w:r>
              <w:t xml:space="preserve"> for adequate exposure.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Hence rib shears, periosteal elevator, rongeur, rasp and bone wax — and a </w:t>
            </w:r>
            <w:r>
              <w:rPr>
                <w:b/>
              </w:rPr>
              <w:t>chest drain kept ready</w:t>
            </w:r>
            <w:r>
              <w:t xml:space="preserve"> because the pleura is often opened.</w:t>
            </w:r>
          </w:p>
        </w:tc>
      </w:tr>
    </w:tbl>
    <w:p>
      <w:pPr>
        <w:spacing w:before="0" w:after="140" w:line="240" w:lineRule="auto"/>
      </w:pPr>
    </w:p>
    <w:p>
      <w:pPr>
        <w:pStyle w:val="Heading3"/>
        <w:keepLines/>
        <w:keepNext/>
      </w:pPr>
      <w:r>
        <w:rPr>
          <w:rFonts w:ascii="Calibri" w:hAnsi="Calibri"/>
          <w:b/>
        </w:rPr>
        <w:t>Contents of the tray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4" w:space="0" w:color="BBBBBB"/>
          <w:insideV w:val="single" w:sz="4" w:space="0" w:color="BBBBBB"/>
        </w:tblBorders>
      </w:tblPr>
      <w:tblGrid>
        <w:gridCol w:w="3600"/>
        <w:gridCol w:w="3600"/>
        <w:gridCol w:w="3600"/>
      </w:tblGrid>
      <w:tr>
        <w:trPr>
          <w:tblHeader/>
          <w:cantSplit/>
        </w:trPr>
        <w:tc>
          <w:tcPr>
            <w:tcW w:type="dxa" w:w="850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center"/>
            </w:pPr>
            <w:r>
              <w:t>Qty</w:t>
            </w:r>
          </w:p>
        </w:tc>
        <w:tc>
          <w:tcPr>
            <w:tcW w:type="dxa" w:w="4082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Instrument</w:t>
            </w:r>
          </w:p>
        </w:tc>
        <w:tc>
          <w:tcPr>
            <w:tcW w:type="dxa" w:w="5868"/>
            <w:shd w:val="clear" w:color="auto" w:fill="D9D9D9"/>
            <w:tcMar>
              <w:top w:w="50" w:type="dxa"/>
              <w:start w:w="80" w:type="dxa"/>
              <w:bottom w:w="50" w:type="dxa"/>
              <w:end w:w="80" w:type="dxa"/>
            </w:tcMar>
            <w:tcBorders>
              <w:bottom w:val="single" w:sz="12" w:space="0" w:color="000000"/>
            </w:tcBorders>
          </w:tcPr>
          <w:p>
            <w:pPr>
              <w:pStyle w:val="TabHead"/>
              <w:jc w:val="left"/>
            </w:pPr>
            <w:r>
              <w:t>Key feature / rationale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BASE SET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Complete major procedures tray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see 1.1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instruments tray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renal pedicle is deep and high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RIB AND BONE INSTRUMENTS — UNIQUE TO THIS TRAY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Rib shears / rib cutter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divides the 12th or 11th rib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Periosteal elevator (Doyen rib raspatory)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strips periosteum from the rib before division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Rib rongeur / bone nibbler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trims the cut rib end smooth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rasp / file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smooths a sharp rib edge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Rib spreader (Finochietto), small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if the pleura is entered or the space widened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Gigli saw with handles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alternative rib division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Bone wax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haemostasis of the cut rib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VASCULAR CONTROL OF THE RENAL PEDICLE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Satinsky (side-biting) vascular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partial occlusion of the renal vein or vena cava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Kidney pedicle clamps (Herrick / Guyon)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heavy clamps for the pedicle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Bulldog clamps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temporary small-vessel occlusion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DeBakey vascular forceps, long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atraumatic vessel handling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Potts-Smith angled vascular scissors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arteriotomy or venotomy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6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Long right-angled (Mixter) forceps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encircling the artery and vein separately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Vessel loops and umbilical tapes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slinging the pedicle and ureter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Vascular suture 4-0/5-0 on a double-armed needle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non-absorbable monofilament; double-armed for the renal pedicle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Vascular staplers / clip appliers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pedicle control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Cross-matched blood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renal haemorrhage is rapid and heavy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STONE AND COLLECTING-SYSTEM INSTRUMENTS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4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Randall renal stone forceps, graded angles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signature item</w:t>
            </w:r>
            <w:r>
              <w:t xml:space="preserve"> — extracting calculi from the pelvis and calyces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Stone scoop and stone spoon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retrieves fragments and small calculi from the calyces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Nephroscope with light source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intra-renal inspection for residual stones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Ureteric catheters / stents (JJ)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splint the repair or the ureter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Bougies and probes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calibrate the pelvis and ureter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Fine absorbable suture 4-0/5-0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pelvis and ureteric closure — watertight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Intra-operative ultrasound / radiography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locates residual calculi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RETRACTION AND EXPOSURE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Deaver retractors, deep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reaches the renal pedicle, which lies deep and high in the flank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Richardson retractors, large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flank muscle layers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2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Malleable retractors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protects liver, spleen, colon and duodenum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Self-retaining ring / Bookwalter retractor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holds the flank exposure open without an assistant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1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Kidney (Gil-Vernet) retractor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elevates the kidney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Head-light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the renal pedicle lies deep and high; theatre lights do not reach it</w:t>
            </w:r>
          </w:p>
        </w:tc>
      </w:tr>
      <w:tr>
        <w:tc>
          <w:tcPr>
            <w:tcW w:type="dxa" w:w="10800"/>
            <w:gridSpan w:val="3"/>
            <w:shd w:val="clear" w:color="auto" w:fill="E4E4E4"/>
            <w:tcMar>
              <w:top w:w="48" w:type="dxa"/>
              <w:start w:w="80" w:type="dxa"/>
              <w:bottom w:w="48" w:type="dxa"/>
              <w:end w:w="80" w:type="dxa"/>
            </w:tcMar>
          </w:tcPr>
          <w:p>
            <w:pPr>
              <w:pStyle w:val="TabHead"/>
              <w:keepLines/>
              <w:keepNext/>
            </w:pPr>
            <w:r>
              <w:rPr>
                <w:rFonts w:ascii="Calibri" w:hAnsi="Calibri"/>
                <w:b/>
                <w:sz w:val="17"/>
                <w:spacing w:val="12"/>
              </w:rPr>
              <w:t>DRAINAGE AND CLOSURE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Closed suction drain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always</w:t>
            </w:r>
            <w:r>
              <w:t xml:space="preserve"> — retroperitoneal collections and urine leak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Chest drain with underwater seal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rPr>
                <w:b/>
              </w:rPr>
              <w:t>kept ready</w:t>
            </w:r>
            <w:r>
              <w:t xml:space="preserve"> — the pleura is commonly opened during rib resection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Nephrostomy tube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where the collecting system is drained</w:t>
            </w:r>
          </w:p>
        </w:tc>
      </w:tr>
      <w:tr>
        <w:tc>
          <w:tcPr>
            <w:tcW w:type="dxa" w:w="850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Urinary catheter</w:t>
            </w:r>
          </w:p>
        </w:tc>
        <w:tc>
          <w:tcPr>
            <w:tcW w:type="dxa" w:w="5868"/>
            <w:shd w:val="clear" w:color="auto" w:fill="F6F6F6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monitors output and decompresses the bladder during pelvic work</w:t>
            </w:r>
          </w:p>
        </w:tc>
      </w:tr>
      <w:tr>
        <w:tc>
          <w:tcPr>
            <w:tcW w:type="dxa" w:w="850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center"/>
            </w:pPr>
            <w:r>
              <w:t>—</w:t>
            </w:r>
          </w:p>
        </w:tc>
        <w:tc>
          <w:tcPr>
            <w:tcW w:type="dxa" w:w="4082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"/>
              <w:jc w:val="left"/>
            </w:pPr>
            <w:r>
              <w:rPr>
                <w:b/>
              </w:rPr>
              <w:t>Specimen container</w:t>
            </w:r>
          </w:p>
        </w:tc>
        <w:tc>
          <w:tcPr>
            <w:tcW w:type="dxa" w:w="5868"/>
            <w:vAlign w:val="top"/>
            <w:tcMar>
              <w:top w:w="36" w:type="dxa"/>
              <w:start w:w="80" w:type="dxa"/>
              <w:bottom w:w="36" w:type="dxa"/>
              <w:end w:w="80" w:type="dxa"/>
            </w:tcMar>
          </w:tcPr>
          <w:p>
            <w:pPr>
              <w:pStyle w:val="TabCellSm"/>
              <w:jc w:val="left"/>
            </w:pPr>
            <w:r>
              <w:t>kidney orientated and labelled; calculi sent separately for analysis</w:t>
            </w:r>
          </w:p>
        </w:tc>
      </w:tr>
    </w:tbl>
    <w:p>
      <w:pPr>
        <w:spacing w:before="0" w:after="16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Additional supplies and accessories</w:t>
      </w:r>
    </w:p>
    <w:p>
      <w:pPr>
        <w:pStyle w:val="BoxBody"/>
        <w:ind w:start="170"/>
      </w:pPr>
      <w:r>
        <w:rPr>
          <w:b/>
        </w:rPr>
        <w:t>Position</w:t>
      </w:r>
      <w:r>
        <w:t xml:space="preserve"> — </w:t>
      </w:r>
      <w:r>
        <w:rPr>
          <w:b/>
        </w:rPr>
        <w:t>Lateral decubitus (flank) position</w:t>
      </w:r>
      <w:r>
        <w:t xml:space="preserve"> with the affected side up, the table broken to open the space between the 12th rib and the iliac crest, a kidney rest or bolster beneath the flank, the lower leg flexed and the upper leg straight, with an axillary roll. Anterior transperitoneal or thoraco-abdominal approaches are used for large tumours.</w:t>
      </w:r>
    </w:p>
    <w:p>
      <w:pPr>
        <w:pStyle w:val="BoxBody"/>
        <w:ind w:start="170"/>
      </w:pPr>
      <w:r>
        <w:rPr>
          <w:b/>
        </w:rPr>
        <w:t>Structures at risk</w:t>
      </w:r>
      <w:r>
        <w:t xml:space="preserve"> — </w:t>
      </w:r>
      <w:r>
        <w:rPr>
          <w:b/>
        </w:rPr>
        <w:t>Pleura and diaphragm</w:t>
      </w:r>
      <w:r>
        <w:t xml:space="preserve"> superiorly (pneumothorax), colon and duodenum medially, spleen on the left, liver and vena cava on the right, and the ureter inferiorly.</w:t>
      </w:r>
    </w:p>
    <w:p>
      <w:pPr>
        <w:pStyle w:val="BoxBody"/>
        <w:ind w:start="170"/>
      </w:pPr>
      <w:r>
        <w:rPr>
          <w:b/>
        </w:rPr>
        <w:t>Order of pedicle ligation</w:t>
      </w:r>
      <w:r>
        <w:t xml:space="preserve"> — In radical nephrectomy the </w:t>
      </w:r>
      <w:r>
        <w:rPr>
          <w:b/>
        </w:rPr>
        <w:t>renal artery is ligated before the vein</w:t>
      </w:r>
      <w:r>
        <w:t>, to prevent venous engorgement of the kidney.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24" w:space="0" w:color="000000"/>
          <w:bottom w:val="single" w:sz="6" w:space="0" w:color="000000"/>
          <w:right w:val="single" w:sz="6" w:space="0" w:color="000000"/>
        </w:tblBorders>
      </w:tblPr>
      <w:tblGrid>
        <w:gridCol w:w="10800"/>
      </w:tblGrid>
      <w:tr>
        <w:tc>
          <w:tcPr>
            <w:tcW w:type="dxa" w:w="10800"/>
            <w:shd w:val="clear" w:color="auto" w:fill="F0F0F0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BoxHead"/>
              <w:spacing w:before="0" w:after="60"/>
            </w:pPr>
            <w:r>
              <w:t>Examination pointers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The kidney tray is the </w:t>
            </w:r>
            <w:r>
              <w:rPr>
                <w:b/>
              </w:rPr>
              <w:t>only abdominal tray carrying rib instruments</w:t>
            </w:r>
            <w:r>
              <w:t xml:space="preserve"> — explain why (retroperitoneal position behind the 12th rib).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Name the three signature groups: </w:t>
            </w:r>
            <w:r>
              <w:rPr>
                <w:b/>
              </w:rPr>
              <w:t>rib instruments, pedicle/vascular clamps, Randall stone forceps</w:t>
            </w:r>
            <w:r>
              <w:t>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rPr>
                <w:b/>
              </w:rPr>
              <w:t>Artery before vein</w:t>
            </w:r>
            <w:r>
              <w:t xml:space="preserve"> in radical nephrectomy — a classic one-liner.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 </w:t>
            </w:r>
            <w:r>
              <w:rPr>
                <w:b/>
              </w:rPr>
              <w:t>chest drain must be immediately available</w:t>
            </w:r>
            <w:r>
              <w:t xml:space="preserve"> because the pleura is frequently breached.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Describe the </w:t>
            </w:r>
            <w:r>
              <w:rPr>
                <w:b/>
              </w:rPr>
              <w:t>lateral flank position with the table broken and a kidney rest</w:t>
            </w:r>
            <w:r>
              <w:t xml:space="preserve"> — positioning marks are commonly given.</w:t>
            </w:r>
          </w:p>
          <w:p>
            <w:pPr>
              <w:pStyle w:val="BoxBody"/>
              <w:spacing w:before="20" w:after="40"/>
              <w:ind w:start="204" w:hanging="204"/>
            </w:pPr>
            <w:r>
              <w:rPr>
                <w:rFonts w:ascii="Calibri" w:hAnsi="Calibri"/>
                <w:b/>
              </w:rPr>
              <w:t xml:space="preserve">▪  </w:t>
            </w:r>
            <w:r>
              <w:t xml:space="preserve">A </w:t>
            </w:r>
            <w:r>
              <w:rPr>
                <w:b/>
              </w:rPr>
              <w:t>retroperitoneal drain is always left</w:t>
            </w:r>
            <w:r>
              <w:t xml:space="preserve">, and calculi go for </w:t>
            </w:r>
            <w:r>
              <w:rPr>
                <w:b/>
              </w:rPr>
              <w:t>stone analysis</w:t>
            </w:r>
            <w:r>
              <w:t>.</w:t>
            </w:r>
          </w:p>
        </w:tc>
      </w:tr>
    </w:tbl>
    <w:p>
      <w:pPr>
        <w:spacing w:before="0" w:after="140" w:line="240" w:lineRule="auto"/>
      </w:pPr>
    </w:p>
    <w:p>
      <w:pPr>
        <w:pStyle w:val="Heading4"/>
        <w:keepLines/>
        <w:keepNext/>
      </w:pPr>
      <w:r>
        <w:rPr>
          <w:rFonts w:ascii="Calibri" w:hAnsi="Calibri"/>
          <w:b/>
        </w:rPr>
        <w:t>Likely examination questions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Q1.  </w:t>
      </w:r>
      <w:r>
        <w:rPr>
          <w:b/>
          <w:sz w:val="19"/>
        </w:rPr>
        <w:t>What is special about a kidney tray compared with other abdominal trays?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It uniquely carries rib and bone instruments — rib shears, Doyen periosteal elevator, rib rongeur, rasp, Gigli saw, small rib spreader and bone wax — because the flank approach resects the 12th rib; it carries heavy renal pedicle clamps and Satinsky side-biting vascular clamps with vascular suture for the short high-pressure pedicle; it carries Randall stone forceps, scoops and a nephroscope for calculi; and a chest drain is kept ready because the pleura is frequently opened.</w:t>
      </w:r>
    </w:p>
    <w:p>
      <w:pPr>
        <w:spacing w:before="80" w:after="20"/>
        <w:ind w:start="311" w:hanging="311"/>
        <w:keepLines/>
        <w:keepNext/>
      </w:pPr>
      <w:r>
        <w:rPr>
          <w:rFonts w:ascii="Calibri" w:hAnsi="Calibri"/>
          <w:b/>
          <w:sz w:val="19"/>
        </w:rPr>
        <w:t xml:space="preserve">Q2.  </w:t>
      </w:r>
      <w:r>
        <w:rPr>
          <w:b/>
          <w:sz w:val="19"/>
        </w:rPr>
        <w:t>In radical nephrectomy, is the artery or the vein ligated first, and why?</w:t>
      </w:r>
    </w:p>
    <w:p>
      <w:pPr>
        <w:pStyle w:val="QBank"/>
        <w:spacing w:before="0" w:after="100"/>
        <w:ind w:start="595" w:hanging="283"/>
      </w:pPr>
      <w:r>
        <w:rPr>
          <w:rFonts w:ascii="Calibri" w:hAnsi="Calibri"/>
          <w:b/>
        </w:rPr>
        <w:t xml:space="preserve">A.  </w:t>
      </w:r>
      <w:r>
        <w:t>The renal artery is ligated first. Ligating the vein first would leave arterial inflow continuing into an obstructed venous outflow, causing engorgement, swelling and increased bleeding.</w:t>
      </w:r>
    </w:p>
    <w:sectPr w:rsidR="00FC693F" w:rsidRPr="0006063C" w:rsidSect="00034616">
      <w:headerReference w:type="default" r:id="rId9"/>
      <w:footerReference w:type="default" r:id="rId10"/>
      <w:pgSz w:w="12240" w:h="20160"/>
      <w:pgMar w:top="720" w:right="720" w:bottom="720" w:left="7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2" w:color="AAAAAA"/>
      </w:pBdr>
      <w:spacing w:before="60"/>
    </w:pPr>
    <w:r/>
    <w:r>
      <w:rPr>
        <w:rFonts w:ascii="Calibri" w:hAnsi="Calibri"/>
        <w:color w:val="555555"/>
        <w:sz w:val="19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rPr>
        <w:rFonts w:ascii="Calibri" w:hAnsi="Calibri"/>
        <w:b/>
        <w:sz w:val="19"/>
      </w:rPr>
      <w:t>1</w:t>
    </w:r>
    <w:r>
      <w:fldChar w:fldCharType="end"/>
    </w:r>
    <w:r>
      <w:rPr>
        <w:rFonts w:ascii="Calibri" w:hAnsi="Calibri"/>
        <w:color w:val="555555"/>
        <w:sz w:val="19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800" w:val="right"/>
      </w:tabs>
      <w:pBdr>
        <w:bottom w:val="single" w:sz="6" w:space="2" w:color="AAAAAA"/>
      </w:pBdr>
      <w:spacing w:after="80"/>
    </w:pPr>
    <w:r/>
    <w:r>
      <w:rPr>
        <w:rFonts w:ascii="Calibri" w:hAnsi="Calibri"/>
        <w:b/>
        <w:caps/>
        <w:color w:val="444444"/>
        <w:sz w:val="16"/>
      </w:rPr>
      <w:t>Preparation of Instrument Trays</w:t>
    </w:r>
    <w:r>
      <w:rPr>
        <w:rFonts w:ascii="Calibri" w:hAnsi="Calibri"/>
        <w:i/>
        <w:color w:val="666666"/>
        <w:sz w:val="16"/>
      </w:rPr>
      <w:tab/>
      <w:t>Complete Examination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Georgia" w:hAnsi="Georgia"/>
      <w:sz w:val="21"/>
      <w:rFonts w:ascii="Georgia" w:hAnsi="Georgia" w:cs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aps/>
      <w:color w:val="FFFFF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yLead">
    <w:name w:val="TrayLead"/>
    <w:pPr>
      <w:spacing w:before="0" w:after="80" w:line="274" w:lineRule="auto"/>
    </w:pPr>
    <w:rPr>
      <w:rFonts w:ascii="Georgia" w:hAnsi="Georgia" w:cs="Georgia" w:eastAsia="Georgia"/>
      <w:b w:val="0"/>
      <w:i w:val="0"/>
      <w:color w:val="000000"/>
      <w:sz w:val="21"/>
    </w:rPr>
  </w:style>
  <w:style w:type="paragraph" w:customStyle="1" w:styleId="TinyLabel">
    <w:name w:val="TinyLabel"/>
    <w:pPr>
      <w:spacing w:before="0" w:after="20" w:line="269" w:lineRule="auto"/>
      <w:keepNext/>
      <w:keepLines/>
    </w:pPr>
    <w:rPr>
      <w:rFonts w:ascii="Calibri" w:hAnsi="Calibri" w:cs="Calibri" w:eastAsia="Calibri"/>
      <w:b/>
      <w:i w:val="0"/>
      <w:caps/>
      <w:color w:val="333333"/>
      <w:sz w:val="16"/>
      <w:spacing w:val="12"/>
    </w:rPr>
  </w:style>
  <w:style w:type="paragraph" w:customStyle="1" w:styleId="Bullet">
    <w:name w:val="Bullet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20"/>
    </w:rPr>
  </w:style>
  <w:style w:type="paragraph" w:customStyle="1" w:styleId="SubBullet">
    <w:name w:val="SubBullet"/>
    <w:pPr>
      <w:spacing w:before="0" w:after="20" w:line="259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BoxHead">
    <w:name w:val="BoxHead"/>
    <w:pPr>
      <w:spacing w:before="0" w:after="40" w:line="269" w:lineRule="auto"/>
      <w:keepNext/>
      <w:keepLines/>
    </w:pPr>
    <w:rPr>
      <w:rFonts w:ascii="Calibri" w:hAnsi="Calibri" w:cs="Calibri" w:eastAsia="Calibri"/>
      <w:b/>
      <w:i w:val="0"/>
      <w:caps/>
      <w:color w:val="000000"/>
      <w:sz w:val="19"/>
      <w:spacing w:val="10"/>
    </w:rPr>
  </w:style>
  <w:style w:type="paragraph" w:customStyle="1" w:styleId="BoxBody">
    <w:name w:val="BoxBody"/>
    <w:pPr>
      <w:spacing w:before="0" w:after="4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  <w:style w:type="paragraph" w:customStyle="1" w:styleId="TabHead">
    <w:name w:val="TabHead"/>
    <w:pPr>
      <w:spacing w:before="20" w:after="20" w:line="252" w:lineRule="auto"/>
      <w:keepNext/>
      <w:keepLines/>
    </w:pPr>
    <w:rPr>
      <w:rFonts w:ascii="Calibri" w:hAnsi="Calibri" w:cs="Calibri" w:eastAsia="Calibri"/>
      <w:b/>
      <w:i w:val="0"/>
      <w:color w:val="000000"/>
      <w:sz w:val="18"/>
    </w:rPr>
  </w:style>
  <w:style w:type="paragraph" w:customStyle="1" w:styleId="TabCell">
    <w:name w:val="TabCell"/>
    <w:pPr>
      <w:spacing w:before="20" w:after="20" w:line="254" w:lineRule="auto"/>
    </w:pPr>
    <w:rPr>
      <w:rFonts w:ascii="Georgia" w:hAnsi="Georgia" w:cs="Georgia" w:eastAsia="Georgia"/>
      <w:b w:val="0"/>
      <w:i w:val="0"/>
      <w:color w:val="000000"/>
      <w:sz w:val="18"/>
    </w:rPr>
  </w:style>
  <w:style w:type="paragraph" w:customStyle="1" w:styleId="TabCellSm">
    <w:name w:val="TabCellSm"/>
    <w:pPr>
      <w:spacing w:before="20" w:after="20" w:line="252" w:lineRule="auto"/>
    </w:pPr>
    <w:rPr>
      <w:rFonts w:ascii="Georgia" w:hAnsi="Georgia" w:cs="Georgia" w:eastAsia="Georgia"/>
      <w:b w:val="0"/>
      <w:i w:val="0"/>
      <w:color w:val="000000"/>
      <w:sz w:val="17"/>
    </w:rPr>
  </w:style>
  <w:style w:type="paragraph" w:customStyle="1" w:styleId="FigCaption">
    <w:name w:val="FigCaption"/>
    <w:pPr>
      <w:spacing w:before="40" w:after="120" w:line="252" w:lineRule="auto"/>
      <w:jc w:val="center"/>
    </w:pPr>
    <w:rPr>
      <w:rFonts w:ascii="Calibri" w:hAnsi="Calibri" w:cs="Calibri" w:eastAsia="Calibri"/>
      <w:b w:val="0"/>
      <w:i/>
      <w:color w:val="333333"/>
      <w:sz w:val="16"/>
    </w:rPr>
  </w:style>
  <w:style w:type="paragraph" w:customStyle="1" w:styleId="TOCHead">
    <w:name w:val="TOCHead"/>
    <w:pPr>
      <w:spacing w:before="0" w:after="80" w:line="269" w:lineRule="auto"/>
      <w:jc w:val="center"/>
    </w:pPr>
    <w:rPr>
      <w:rFonts w:ascii="Calibri" w:hAnsi="Calibri" w:cs="Calibri" w:eastAsia="Calibri"/>
      <w:b/>
      <w:i w:val="0"/>
      <w:caps/>
      <w:color w:val="000000"/>
      <w:sz w:val="40"/>
      <w:spacing w:val="24"/>
    </w:rPr>
  </w:style>
  <w:style w:type="paragraph" w:customStyle="1" w:styleId="CoverTitle">
    <w:name w:val="CoverTitle"/>
    <w:pPr>
      <w:spacing w:before="0" w:after="0" w:line="240" w:lineRule="auto"/>
      <w:jc w:val="center"/>
    </w:pPr>
    <w:rPr>
      <w:rFonts w:ascii="Calibri" w:hAnsi="Calibri" w:cs="Calibri" w:eastAsia="Calibri"/>
      <w:b/>
      <w:i w:val="0"/>
      <w:color w:val="000000"/>
      <w:sz w:val="68"/>
    </w:rPr>
  </w:style>
  <w:style w:type="paragraph" w:customStyle="1" w:styleId="CoverSub">
    <w:name w:val="CoverSub"/>
    <w:pPr>
      <w:spacing w:before="0" w:after="0" w:line="269" w:lineRule="auto"/>
      <w:jc w:val="center"/>
    </w:pPr>
    <w:rPr>
      <w:rFonts w:ascii="Calibri" w:hAnsi="Calibri" w:cs="Calibri" w:eastAsia="Calibri"/>
      <w:b w:val="0"/>
      <w:i w:val="0"/>
      <w:color w:val="333333"/>
      <w:sz w:val="26"/>
    </w:rPr>
  </w:style>
  <w:style w:type="paragraph" w:customStyle="1" w:styleId="Mnemonic">
    <w:name w:val="Mnemonic"/>
    <w:pPr>
      <w:spacing w:before="0" w:after="40" w:line="264" w:lineRule="auto"/>
    </w:pPr>
    <w:rPr>
      <w:rFonts w:ascii="Consolas" w:hAnsi="Consolas" w:cs="Consolas" w:eastAsia="Consolas"/>
      <w:b/>
      <w:i w:val="0"/>
      <w:color w:val="000000"/>
      <w:sz w:val="19"/>
    </w:rPr>
  </w:style>
  <w:style w:type="paragraph" w:customStyle="1" w:styleId="QBank">
    <w:name w:val="QBank"/>
    <w:pPr>
      <w:spacing w:before="0" w:after="60" w:line="264" w:lineRule="auto"/>
    </w:pPr>
    <w:rPr>
      <w:rFonts w:ascii="Georgia" w:hAnsi="Georgia" w:cs="Georgia" w:eastAsia="Georgia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