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Review meeting with David and Susan Clarke, held 14 May 2026.</w:t>
      </w:r>
    </w:p>
    <w:p>
      <w:r>
        <w:t>Both are now retired. They confirmed their objectives and circumstances are unchanged since the last review, and both remain comfortable with the balanced approach to risk we agreed.</w:t>
      </w:r>
    </w:p>
    <w:p>
      <w:r>
        <w:t>We talked briefly about a holiday they are planning for the autumn; this has no bearing on the advice but they were keen to mention it.</w:t>
      </w:r>
    </w:p>
    <w:p>
      <w:r>
        <w:t>The main item was their jointly-held General Investment Account on the Holloway platform. David had been watching it and noted it had recovered well over the spring.</w:t>
      </w:r>
    </w:p>
    <w:p>
      <w:r>
        <w:t>I pulled the account up live during the meeting. It was showing a little over £45,000, which is up from where it had been earlier in the year when we last looked at the statements.</w:t>
      </w:r>
    </w:p>
    <w:p>
      <w:r>
        <w:t>David and Susan asked whether it was worth keeping the GIA running alongside their ISAs. We discussed the trade-offs and they decided they would rather simplify.</w:t>
      </w:r>
    </w:p>
    <w:p>
      <w:r>
        <w:t>We agreed to disinvest the joint GIA in full and use the proceeds to top up both David's and Susan's Stocks &amp; Shares ISAs for the new tax year, split equally between the two ISAs.</w:t>
      </w:r>
    </w:p>
    <w:p>
      <w:r>
        <w:t>Both ISAs are already part-funded for the year; this top-up uses the remaining allowance across the two of them.</w:t>
      </w:r>
    </w:p>
    <w:p>
      <w:r>
        <w:t>Neither has any income requirement from the portfolio at the moment.</w:t>
      </w:r>
    </w:p>
    <w:p>
      <w:r>
        <w:t>Susan asked what the ongoing charges would look like after the change. I said I would confirm the exact figures in the report rather than quote them from memory in the meeting.</w:t>
      </w:r>
    </w:p>
    <w:p>
      <w:r>
        <w:t>We noted that selling down the GIA is a disposal and may have a capital gains position to consider; I will set that out in the report for them.</w:t>
      </w:r>
    </w:p>
    <w:p>
      <w:r>
        <w:t>Next steps: prepare the advice report covering both ISAs and the joint GIA, and confirm the charges.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