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Report Requirement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Adviser</w:t>
            </w:r>
          </w:p>
        </w:tc>
        <w:tc>
          <w:tcPr>
            <w:tcW w:type="dxa" w:w="4320"/>
          </w:tcPr>
          <w:p>
            <w:r>
              <w:t>Daniel Reeves</w:t>
            </w:r>
          </w:p>
        </w:tc>
      </w:tr>
      <w:tr>
        <w:tc>
          <w:tcPr>
            <w:tcW w:type="dxa" w:w="4320"/>
          </w:tcPr>
          <w:p>
            <w:r>
              <w:t>Accounts covered</w:t>
            </w:r>
          </w:p>
        </w:tc>
        <w:tc>
          <w:tcPr>
            <w:tcW w:type="dxa" w:w="4320"/>
          </w:tcPr>
          <w:p>
            <w:r>
              <w:t>Holloway ISAs (David and Susan) and the joint GIA</w:t>
            </w:r>
          </w:p>
        </w:tc>
      </w:tr>
      <w:tr>
        <w:tc>
          <w:tcPr>
            <w:tcW w:type="dxa" w:w="4320"/>
          </w:tcPr>
          <w:p>
            <w:r>
              <w:t>Investment amount</w:t>
            </w:r>
          </w:p>
        </w:tc>
        <w:tc>
          <w:tcPr>
            <w:tcW w:type="dxa" w:w="4320"/>
          </w:tcPr>
          <w:p>
            <w:r>
              <w:t>Full value of the joint GIA</w:t>
            </w:r>
          </w:p>
        </w:tc>
      </w:tr>
      <w:tr>
        <w:tc>
          <w:tcPr>
            <w:tcW w:type="dxa" w:w="4320"/>
          </w:tcPr>
          <w:p>
            <w:r>
              <w:t>Source of funds</w:t>
            </w:r>
          </w:p>
        </w:tc>
        <w:tc>
          <w:tcPr>
            <w:tcW w:type="dxa" w:w="4320"/>
          </w:tcPr>
          <w:p>
            <w:r>
              <w:t>Joint General Investment Account</w:t>
            </w:r>
          </w:p>
        </w:tc>
      </w:tr>
      <w:tr>
        <w:tc>
          <w:tcPr>
            <w:tcW w:type="dxa" w:w="4320"/>
          </w:tcPr>
          <w:p>
            <w:r>
              <w:t>Selling existing investments?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Product recommended</w:t>
            </w:r>
          </w:p>
        </w:tc>
        <w:tc>
          <w:tcPr>
            <w:tcW w:type="dxa" w:w="4320"/>
          </w:tcPr>
          <w:p>
            <w:r>
              <w:t>Top up of both Stocks &amp; Shares ISAs</w:t>
            </w:r>
          </w:p>
        </w:tc>
      </w:tr>
      <w:tr>
        <w:tc>
          <w:tcPr>
            <w:tcW w:type="dxa" w:w="4320"/>
          </w:tcPr>
          <w:p>
            <w:r>
              <w:t>Held in single or joint name?</w:t>
            </w:r>
          </w:p>
        </w:tc>
        <w:tc>
          <w:tcPr>
            <w:tcW w:type="dxa" w:w="4320"/>
          </w:tcPr>
          <w:p>
            <w:r>
              <w:t>Joint clients, individual ISAs</w:t>
            </w:r>
          </w:p>
        </w:tc>
      </w:tr>
      <w:tr>
        <w:tc>
          <w:tcPr>
            <w:tcW w:type="dxa" w:w="4320"/>
          </w:tcPr>
          <w:p>
            <w:r>
              <w:t>Agreed risk profile</w:t>
            </w:r>
          </w:p>
        </w:tc>
        <w:tc>
          <w:tcPr>
            <w:tcW w:type="dxa" w:w="4320"/>
          </w:tcPr>
          <w:p>
            <w:r>
              <w:t>5 (balanced)</w:t>
            </w:r>
          </w:p>
        </w:tc>
      </w:tr>
      <w:tr>
        <w:tc>
          <w:tcPr>
            <w:tcW w:type="dxa" w:w="4320"/>
          </w:tcPr>
          <w:p>
            <w:r>
              <w:t>Initial charge</w:t>
            </w:r>
          </w:p>
        </w:tc>
        <w:tc>
          <w:tcPr>
            <w:tcW w:type="dxa" w:w="4320"/>
          </w:tcPr>
          <w:p>
            <w:r>
              <w:t>0%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