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3404607" w14:textId="20F0448E" w:rsidR="00333828" w:rsidRDefault="00757BFF" w:rsidP="00757BFF">
      <w:pPr>
        <w:pStyle w:val="Default"/>
        <w:jc w:val="center"/>
        <w:rPr>
          <w:b/>
          <w:bCs/>
        </w:rPr>
      </w:pPr>
      <w:r w:rsidRPr="00757BFF">
        <w:rPr>
          <w:b/>
          <w:bCs/>
        </w:rPr>
        <w:t>PROJEKT 1</w:t>
      </w:r>
    </w:p>
    <w:p w14:paraId="3C82B069" w14:textId="183BE0D3" w:rsidR="002814CA" w:rsidRDefault="002814CA" w:rsidP="00757BFF">
      <w:pPr>
        <w:pStyle w:val="Default"/>
        <w:jc w:val="center"/>
        <w:rPr>
          <w:b/>
          <w:bCs/>
        </w:rPr>
      </w:pPr>
      <w:r>
        <w:rPr>
          <w:b/>
          <w:bCs/>
        </w:rPr>
        <w:t>Raport do 12:00 dnia 28.03.2021</w:t>
      </w:r>
    </w:p>
    <w:p w14:paraId="4C2CC7A2" w14:textId="6006DE24" w:rsidR="002814CA" w:rsidRPr="00757BFF" w:rsidRDefault="002814CA" w:rsidP="00757BFF">
      <w:pPr>
        <w:pStyle w:val="Default"/>
        <w:jc w:val="center"/>
        <w:rPr>
          <w:b/>
          <w:bCs/>
        </w:rPr>
      </w:pPr>
      <w:r>
        <w:rPr>
          <w:b/>
          <w:bCs/>
        </w:rPr>
        <w:t>Prezentacja: 29.03.2021</w:t>
      </w:r>
    </w:p>
    <w:p w14:paraId="31B970A2" w14:textId="77777777" w:rsidR="00757BFF" w:rsidRDefault="00757BFF" w:rsidP="00333828">
      <w:pPr>
        <w:pStyle w:val="Default"/>
      </w:pPr>
    </w:p>
    <w:p w14:paraId="7981B7E5" w14:textId="462140FE" w:rsidR="004A75A1" w:rsidRDefault="00333828" w:rsidP="00333828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Plik „gbcs_short.dta” zawiera dane dotyczące 686 chorych na raka piersi operowanych i leczonych chemioterapią. Niektóre z kobiet otrzymywały również terapię hormonalną. </w:t>
      </w:r>
      <w:r w:rsidR="004A75A1">
        <w:rPr>
          <w:sz w:val="22"/>
          <w:szCs w:val="22"/>
        </w:rPr>
        <w:t>Plik można wczytać za pomocą:</w:t>
      </w:r>
    </w:p>
    <w:p w14:paraId="04C73402" w14:textId="6922DB22" w:rsidR="004A75A1" w:rsidRDefault="004A75A1" w:rsidP="00333828">
      <w:pPr>
        <w:pStyle w:val="Default"/>
        <w:rPr>
          <w:sz w:val="22"/>
          <w:szCs w:val="22"/>
        </w:rPr>
      </w:pPr>
    </w:p>
    <w:p w14:paraId="19A0BB7B" w14:textId="77777777" w:rsidR="004A75A1" w:rsidRPr="004A75A1" w:rsidRDefault="004A75A1" w:rsidP="004A75A1">
      <w:pPr>
        <w:pStyle w:val="Default"/>
        <w:rPr>
          <w:rFonts w:ascii="Courier New" w:hAnsi="Courier New" w:cs="Courier New"/>
          <w:sz w:val="20"/>
          <w:szCs w:val="20"/>
          <w:lang w:val="en-US"/>
        </w:rPr>
      </w:pPr>
      <w:r w:rsidRPr="004A75A1">
        <w:rPr>
          <w:rFonts w:ascii="Courier New" w:hAnsi="Courier New" w:cs="Courier New"/>
          <w:sz w:val="20"/>
          <w:szCs w:val="20"/>
          <w:lang w:val="en-US"/>
        </w:rPr>
        <w:t>library(foreign)</w:t>
      </w:r>
    </w:p>
    <w:p w14:paraId="33C7C1B7" w14:textId="28E99223" w:rsidR="004A75A1" w:rsidRPr="004A75A1" w:rsidRDefault="004A75A1" w:rsidP="00333828">
      <w:pPr>
        <w:pStyle w:val="Default"/>
        <w:rPr>
          <w:rFonts w:ascii="Courier New" w:hAnsi="Courier New" w:cs="Courier New"/>
          <w:sz w:val="20"/>
          <w:szCs w:val="20"/>
          <w:lang w:val="en-US"/>
        </w:rPr>
      </w:pPr>
      <w:r w:rsidRPr="004A75A1">
        <w:rPr>
          <w:rFonts w:ascii="Courier New" w:hAnsi="Courier New" w:cs="Courier New"/>
          <w:sz w:val="20"/>
          <w:szCs w:val="20"/>
          <w:lang w:val="en-US"/>
        </w:rPr>
        <w:t>read.dta("gbcs_short.dta")</w:t>
      </w:r>
    </w:p>
    <w:p w14:paraId="115E55E4" w14:textId="77777777" w:rsidR="004A75A1" w:rsidRPr="004A75A1" w:rsidRDefault="004A75A1" w:rsidP="00333828">
      <w:pPr>
        <w:pStyle w:val="Default"/>
        <w:rPr>
          <w:sz w:val="22"/>
          <w:szCs w:val="22"/>
          <w:lang w:val="en-US"/>
        </w:rPr>
      </w:pPr>
    </w:p>
    <w:p w14:paraId="73CB3BF4" w14:textId="01924279" w:rsidR="00333828" w:rsidRDefault="00333828" w:rsidP="00333828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Plik zawiera następujące zmienne: </w:t>
      </w:r>
    </w:p>
    <w:p w14:paraId="7B140C92" w14:textId="77777777" w:rsidR="00333828" w:rsidRDefault="00333828" w:rsidP="00333828">
      <w:pPr>
        <w:pStyle w:val="Default"/>
        <w:rPr>
          <w:sz w:val="22"/>
          <w:szCs w:val="22"/>
        </w:rPr>
      </w:pPr>
    </w:p>
    <w:p w14:paraId="56C7EF6F" w14:textId="77777777" w:rsidR="00333828" w:rsidRPr="004A75A1" w:rsidRDefault="00333828" w:rsidP="00333828">
      <w:pPr>
        <w:pStyle w:val="Default"/>
        <w:rPr>
          <w:rFonts w:ascii="Courier New" w:hAnsi="Courier New" w:cs="Courier New"/>
          <w:sz w:val="20"/>
          <w:szCs w:val="20"/>
        </w:rPr>
      </w:pPr>
      <w:r w:rsidRPr="004A75A1">
        <w:rPr>
          <w:rFonts w:ascii="Courier New" w:hAnsi="Courier New" w:cs="Courier New"/>
          <w:sz w:val="20"/>
          <w:szCs w:val="20"/>
        </w:rPr>
        <w:t xml:space="preserve">id - identyfikator chorej </w:t>
      </w:r>
    </w:p>
    <w:p w14:paraId="4F394F76" w14:textId="77777777" w:rsidR="00333828" w:rsidRPr="004A75A1" w:rsidRDefault="00333828" w:rsidP="00333828">
      <w:pPr>
        <w:pStyle w:val="Default"/>
        <w:rPr>
          <w:rFonts w:ascii="Courier New" w:hAnsi="Courier New" w:cs="Courier New"/>
          <w:sz w:val="20"/>
          <w:szCs w:val="20"/>
        </w:rPr>
      </w:pPr>
      <w:r w:rsidRPr="004A75A1">
        <w:rPr>
          <w:rFonts w:ascii="Courier New" w:hAnsi="Courier New" w:cs="Courier New"/>
          <w:sz w:val="20"/>
          <w:szCs w:val="20"/>
        </w:rPr>
        <w:t xml:space="preserve">meno - wskaźnik menopauzy (1 – nie, 2 – tak) </w:t>
      </w:r>
    </w:p>
    <w:p w14:paraId="64AA4F69" w14:textId="77777777" w:rsidR="00333828" w:rsidRPr="004A75A1" w:rsidRDefault="00333828" w:rsidP="00333828">
      <w:pPr>
        <w:pStyle w:val="Default"/>
        <w:rPr>
          <w:rFonts w:ascii="Courier New" w:hAnsi="Courier New" w:cs="Courier New"/>
          <w:sz w:val="20"/>
          <w:szCs w:val="20"/>
        </w:rPr>
      </w:pPr>
      <w:r w:rsidRPr="004A75A1">
        <w:rPr>
          <w:rFonts w:ascii="Courier New" w:hAnsi="Courier New" w:cs="Courier New"/>
          <w:sz w:val="20"/>
          <w:szCs w:val="20"/>
        </w:rPr>
        <w:t xml:space="preserve">horm - wskaźnik użycia terapii hormonalnej (1 – nie, 2 – tak) </w:t>
      </w:r>
    </w:p>
    <w:p w14:paraId="74B55E69" w14:textId="77777777" w:rsidR="00333828" w:rsidRPr="004A75A1" w:rsidRDefault="00333828" w:rsidP="00333828">
      <w:pPr>
        <w:pStyle w:val="Default"/>
        <w:rPr>
          <w:rFonts w:ascii="Courier New" w:hAnsi="Courier New" w:cs="Courier New"/>
          <w:sz w:val="20"/>
          <w:szCs w:val="20"/>
        </w:rPr>
      </w:pPr>
      <w:r w:rsidRPr="004A75A1">
        <w:rPr>
          <w:rFonts w:ascii="Courier New" w:hAnsi="Courier New" w:cs="Courier New"/>
          <w:sz w:val="20"/>
          <w:szCs w:val="20"/>
        </w:rPr>
        <w:t xml:space="preserve">prog - wskaźnik receptorów progesteronu (0 – ujemny, 1 – dodatni) </w:t>
      </w:r>
    </w:p>
    <w:p w14:paraId="6CF3D83B" w14:textId="77777777" w:rsidR="00333828" w:rsidRPr="004A75A1" w:rsidRDefault="00333828" w:rsidP="00333828">
      <w:pPr>
        <w:pStyle w:val="Default"/>
        <w:rPr>
          <w:rFonts w:ascii="Courier New" w:hAnsi="Courier New" w:cs="Courier New"/>
          <w:sz w:val="20"/>
          <w:szCs w:val="20"/>
        </w:rPr>
      </w:pPr>
      <w:r w:rsidRPr="004A75A1">
        <w:rPr>
          <w:rFonts w:ascii="Courier New" w:hAnsi="Courier New" w:cs="Courier New"/>
          <w:sz w:val="20"/>
          <w:szCs w:val="20"/>
        </w:rPr>
        <w:t xml:space="preserve">estr - wskaźnik receptorów estrogenu (0 – ujemny, 1 – dodatni) </w:t>
      </w:r>
    </w:p>
    <w:p w14:paraId="61BB3376" w14:textId="77777777" w:rsidR="00333828" w:rsidRPr="004A75A1" w:rsidRDefault="00333828" w:rsidP="00333828">
      <w:pPr>
        <w:pStyle w:val="Default"/>
        <w:rPr>
          <w:rFonts w:ascii="Courier New" w:hAnsi="Courier New" w:cs="Courier New"/>
          <w:sz w:val="20"/>
          <w:szCs w:val="20"/>
        </w:rPr>
      </w:pPr>
      <w:r w:rsidRPr="004A75A1">
        <w:rPr>
          <w:rFonts w:ascii="Courier New" w:hAnsi="Courier New" w:cs="Courier New"/>
          <w:sz w:val="20"/>
          <w:szCs w:val="20"/>
        </w:rPr>
        <w:t xml:space="preserve">grade - stopień zróżnicowania komórek nowotworu (1–niski, 2–średni, 3-wysoki) </w:t>
      </w:r>
    </w:p>
    <w:p w14:paraId="65B22296" w14:textId="77777777" w:rsidR="00333828" w:rsidRPr="004A75A1" w:rsidRDefault="00333828" w:rsidP="00333828">
      <w:pPr>
        <w:pStyle w:val="Default"/>
        <w:rPr>
          <w:rFonts w:ascii="Courier New" w:hAnsi="Courier New" w:cs="Courier New"/>
          <w:sz w:val="20"/>
          <w:szCs w:val="20"/>
        </w:rPr>
      </w:pPr>
      <w:r w:rsidRPr="004A75A1">
        <w:rPr>
          <w:rFonts w:ascii="Courier New" w:hAnsi="Courier New" w:cs="Courier New"/>
          <w:sz w:val="20"/>
          <w:szCs w:val="20"/>
        </w:rPr>
        <w:t xml:space="preserve">size - wielkość guza (w cm) </w:t>
      </w:r>
    </w:p>
    <w:p w14:paraId="7DE5C3D5" w14:textId="77777777" w:rsidR="00333828" w:rsidRPr="004A75A1" w:rsidRDefault="00333828" w:rsidP="00333828">
      <w:pPr>
        <w:pStyle w:val="Default"/>
        <w:rPr>
          <w:rFonts w:ascii="Courier New" w:hAnsi="Courier New" w:cs="Courier New"/>
          <w:sz w:val="20"/>
          <w:szCs w:val="20"/>
        </w:rPr>
      </w:pPr>
      <w:r w:rsidRPr="004A75A1">
        <w:rPr>
          <w:rFonts w:ascii="Courier New" w:hAnsi="Courier New" w:cs="Courier New"/>
          <w:sz w:val="20"/>
          <w:szCs w:val="20"/>
        </w:rPr>
        <w:t xml:space="preserve">nodes - liczba węzłów chłonnych z przerzutami nowotworu </w:t>
      </w:r>
    </w:p>
    <w:p w14:paraId="7296BF6E" w14:textId="77777777" w:rsidR="00333828" w:rsidRPr="004A75A1" w:rsidRDefault="00333828" w:rsidP="00333828">
      <w:pPr>
        <w:pStyle w:val="Default"/>
        <w:rPr>
          <w:rFonts w:ascii="Courier New" w:hAnsi="Courier New" w:cs="Courier New"/>
          <w:sz w:val="20"/>
          <w:szCs w:val="20"/>
        </w:rPr>
      </w:pPr>
      <w:r w:rsidRPr="004A75A1">
        <w:rPr>
          <w:rFonts w:ascii="Courier New" w:hAnsi="Courier New" w:cs="Courier New"/>
          <w:sz w:val="20"/>
          <w:szCs w:val="20"/>
        </w:rPr>
        <w:t xml:space="preserve">rectime - czas przeżycia bez nawrotu choroby (dni) </w:t>
      </w:r>
    </w:p>
    <w:p w14:paraId="1C3AE54F" w14:textId="4B3330A7" w:rsidR="00333828" w:rsidRPr="004A75A1" w:rsidRDefault="00333828" w:rsidP="00333828">
      <w:pPr>
        <w:pStyle w:val="Default"/>
        <w:rPr>
          <w:rFonts w:ascii="Courier New" w:hAnsi="Courier New" w:cs="Courier New"/>
          <w:sz w:val="20"/>
          <w:szCs w:val="20"/>
        </w:rPr>
      </w:pPr>
      <w:r w:rsidRPr="004A75A1">
        <w:rPr>
          <w:rFonts w:ascii="Courier New" w:hAnsi="Courier New" w:cs="Courier New"/>
          <w:sz w:val="20"/>
          <w:szCs w:val="20"/>
        </w:rPr>
        <w:t xml:space="preserve">censrec - wskaźnik zdarzenia (0 – cenzurowanie, 1- zgon lub nawrót choroby) </w:t>
      </w:r>
    </w:p>
    <w:p w14:paraId="05DE5B00" w14:textId="77777777" w:rsidR="00333828" w:rsidRDefault="00333828" w:rsidP="00333828">
      <w:pPr>
        <w:pStyle w:val="Default"/>
        <w:rPr>
          <w:rFonts w:ascii="Courier New" w:hAnsi="Courier New" w:cs="Courier New"/>
          <w:sz w:val="18"/>
          <w:szCs w:val="18"/>
        </w:rPr>
      </w:pPr>
    </w:p>
    <w:p w14:paraId="1A7BD567" w14:textId="7E6E1E7D" w:rsidR="00333828" w:rsidRDefault="00333828" w:rsidP="00333828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Interesuje nas pytanie, które ze zmiennych mają wpływ na czas przeżycia bez nawrotu choroby? W celu udzielenia odpowiedzi na to pytanie, przeprowadź odpowiednia analizę danych: </w:t>
      </w:r>
    </w:p>
    <w:p w14:paraId="7C51A5A2" w14:textId="77777777" w:rsidR="00333828" w:rsidRDefault="00333828" w:rsidP="00333828">
      <w:pPr>
        <w:pStyle w:val="Default"/>
        <w:rPr>
          <w:sz w:val="22"/>
          <w:szCs w:val="22"/>
        </w:rPr>
      </w:pPr>
    </w:p>
    <w:p w14:paraId="1BB691C2" w14:textId="61948C42" w:rsidR="00333828" w:rsidRDefault="00333828" w:rsidP="00333828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- Przedstaw wykresy i/lub statystyki opisowe, które pozwolą ocenić wpływ zmiennych na czas przeżycia. </w:t>
      </w:r>
    </w:p>
    <w:p w14:paraId="1AD59AB8" w14:textId="77777777" w:rsidR="00333828" w:rsidRDefault="00333828" w:rsidP="00333828">
      <w:pPr>
        <w:pStyle w:val="Default"/>
        <w:rPr>
          <w:sz w:val="22"/>
          <w:szCs w:val="22"/>
        </w:rPr>
      </w:pPr>
    </w:p>
    <w:p w14:paraId="460281F0" w14:textId="775B471D" w:rsidR="00333828" w:rsidRDefault="00333828" w:rsidP="00333828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- Przeprowadź testy, pozwalający na formalną ocenę hipotez dotyczących różnic w funkcjach przeżycia. </w:t>
      </w:r>
    </w:p>
    <w:p w14:paraId="03C411C2" w14:textId="77777777" w:rsidR="00333828" w:rsidRDefault="00333828" w:rsidP="00333828">
      <w:pPr>
        <w:pStyle w:val="Default"/>
        <w:rPr>
          <w:sz w:val="22"/>
          <w:szCs w:val="22"/>
        </w:rPr>
      </w:pPr>
    </w:p>
    <w:p w14:paraId="693FB272" w14:textId="13E9FA73" w:rsidR="00333828" w:rsidRDefault="00333828" w:rsidP="00333828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- Oceń, czy testy powinny brać pod uwagę wpływ innych czynników niż leczenie. Jeśli tak, przeprowadź odpowiednią analizę. </w:t>
      </w:r>
    </w:p>
    <w:p w14:paraId="1239BF62" w14:textId="77777777" w:rsidR="00333828" w:rsidRDefault="00333828" w:rsidP="00333828">
      <w:pPr>
        <w:pStyle w:val="Default"/>
        <w:rPr>
          <w:sz w:val="22"/>
          <w:szCs w:val="22"/>
        </w:rPr>
      </w:pPr>
    </w:p>
    <w:p w14:paraId="4503C3DD" w14:textId="630CCAA3" w:rsidR="00980ACD" w:rsidRDefault="00333828" w:rsidP="00333828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Krótki raport może zawierać wydruki z programów, ale musi również zawierać opis i interpretację uzyskanych wyników. </w:t>
      </w:r>
      <w:r w:rsidRPr="00333828">
        <w:rPr>
          <w:sz w:val="22"/>
          <w:szCs w:val="22"/>
        </w:rPr>
        <w:t xml:space="preserve">Na podstawie raportu przygotuj krótką prezentację podsumowującą metody analizy i jej wyniki. </w:t>
      </w:r>
    </w:p>
    <w:p w14:paraId="7CC6AF45" w14:textId="77777777" w:rsidR="002814CA" w:rsidRPr="00333828" w:rsidRDefault="002814CA" w:rsidP="00333828">
      <w:pPr>
        <w:pStyle w:val="Default"/>
        <w:rPr>
          <w:sz w:val="22"/>
          <w:szCs w:val="22"/>
        </w:rPr>
      </w:pPr>
    </w:p>
    <w:sectPr w:rsidR="002814CA" w:rsidRPr="0033382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828"/>
    <w:rsid w:val="002814CA"/>
    <w:rsid w:val="00333828"/>
    <w:rsid w:val="004A75A1"/>
    <w:rsid w:val="00757BFF"/>
    <w:rsid w:val="00980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4932C1"/>
  <w15:chartTrackingRefBased/>
  <w15:docId w15:val="{B1A76B5A-DECF-4D1D-8A14-55472AEE1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lang w:val="en-U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33382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343</TotalTime>
  <Pages>1</Pages>
  <Words>233</Words>
  <Characters>1398</Characters>
  <Application>Microsoft Office Word</Application>
  <DocSecurity>0</DocSecurity>
  <Lines>11</Lines>
  <Paragraphs>3</Paragraphs>
  <ScaleCrop>false</ScaleCrop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Ewa Kominiak</dc:creator>
  <cp:keywords/>
  <dc:description/>
  <cp:lastModifiedBy>Ewa Kominiak</cp:lastModifiedBy>
  <cp:revision>4</cp:revision>
  <dcterms:created xsi:type="dcterms:W3CDTF">2021-03-15T08:10:00Z</dcterms:created>
  <dcterms:modified xsi:type="dcterms:W3CDTF">2021-03-15T21:33:00Z</dcterms:modified>
</cp:coreProperties>
</file>