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3864"/>
          <w:sz w:val="48"/>
          <w:szCs w:val="48"/>
        </w:rPr>
        <w:t xml:space="preserve">Chapter 3: Methods</w:t>
      </w:r>
    </w:p>
    <w:p>
      <w:pPr>
        <w:spacing w:before="0" w:after="80"/>
        <w:jc w:val="center"/>
      </w:pPr>
      <w:r>
        <w:rPr>
          <w:rFonts w:ascii="Arial" w:cs="Arial" w:eastAsia="Arial" w:hAnsi="Arial"/>
          <w:i/>
          <w:iCs/>
          <w:color w:val="555555"/>
          <w:sz w:val="26"/>
          <w:szCs w:val="26"/>
        </w:rPr>
        <w:t xml:space="preserve">Benchmarking Framework for Single-Cell RNA-seq Cell Type Annotation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pPr>
              <w:spacing w:before="0" w:after="60"/>
            </w:pPr>
            <w:r>
              <w:rPr>
                <w:rFonts w:ascii="Arial" w:cs="Arial" w:eastAsia="Arial" w:hAnsi="Arial"/>
                <w:b/>
                <w:bCs/>
                <w:color w:val="1F3864"/>
                <w:sz w:val="21"/>
                <w:szCs w:val="21"/>
              </w:rPr>
              <w:t xml:space="preserve">Draft status</w:t>
            </w:r>
          </w:p>
          <w:p>
            <w:pPr>
              <w:spacing w:before="0" w:after="0"/>
              <w:jc w:val="both"/>
            </w:pPr>
            <w:r>
              <w:rPr>
                <w:rFonts w:ascii="Arial" w:cs="Arial" w:eastAsia="Arial" w:hAnsi="Arial"/>
                <w:i w:val="false"/>
                <w:iCs w:val="false"/>
                <w:color w:val="333333"/>
                <w:sz w:val="20"/>
                <w:szCs w:val="20"/>
              </w:rPr>
              <w:t xml:space="preserve">This chapter draft covers the simulation-based experimental design, preprocessing pipeline, annotation tool integration, evaluation metrics, and statistical analysis framework. Sections covering real datasets are marked with [PLACEHOLDER] banners and should be completed when Tabula Muris and ZhengSort integration is finalised. All parameter values reflect the calibrated configuration as of March 2026.</w:t>
            </w:r>
          </w:p>
        </w:tc>
      </w:tr>
    </w:tbl>
    <w:p>
      <w:pPr>
        <w:spacing w:before="160" w:after="16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3.1  Overview of the Benchmarking Framework</w:t>
      </w:r>
    </w:p>
    <w:p>
      <w:pPr>
        <w:spacing w:before="80" w:after="120" w:line="276"/>
        <w:jc w:val="both"/>
      </w:pPr>
      <w:r>
        <w:rPr>
          <w:rFonts w:ascii="Arial" w:cs="Arial" w:eastAsia="Arial" w:hAnsi="Arial"/>
          <w:sz w:val="22"/>
          <w:szCs w:val="22"/>
        </w:rPr>
        <w:t xml:space="preserve">A rigorous comparative evaluation of automated cell type annotation methods requires a benchmark that simultaneously controls for the factors most likely to drive performance differences, maintains biological plausibility, and scales to the breadth of tools under comparison. To these ends, the present study employs a two-track benchmarking strategy. The primary track uses computationally simulated datasets generated with known ground-truth labels, enabling precise, reproducible control over dataset characteristics across a structured experimental design. The secondary track applies selected annotation methods to experimentally validated reference datasets to assess generalisation from simulation to real biological data.</w:t>
      </w:r>
    </w:p>
    <w:p>
      <w:pPr>
        <w:spacing w:before="80" w:after="120" w:line="276"/>
        <w:jc w:val="both"/>
      </w:pPr>
      <w:r>
        <w:rPr>
          <w:rFonts w:ascii="Arial" w:cs="Arial" w:eastAsia="Arial" w:hAnsi="Arial"/>
          <w:sz w:val="22"/>
          <w:szCs w:val="22"/>
        </w:rPr>
        <w:t xml:space="preserve">All analyses were conducted using R (version 4.3) and Python (version 3.10). Seurat (v5) served as the primary single-cell analysis framework in R; scanpy (v1.9) served the equivalent role in Python. The benchmarking pipeline was implemented modularly: a shared preprocessing layer produced matched Seurat (.rds) and AnnData (.h5ad) objects from each dataset, which were then consumed independently by R-based and Python-based annotation tools. Results were aggregated into a unified data frame for statistical analysis.</w:t>
      </w:r>
    </w:p>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3.2  Simulated Dataset Generation</w:t>
      </w:r>
    </w:p>
    <w:p>
      <w:pPr>
        <w:pStyle w:val="Heading2"/>
        <w:spacing w:before="320" w:after="100"/>
      </w:pPr>
      <w:r>
        <w:rPr>
          <w:rFonts w:ascii="Arial" w:cs="Arial" w:eastAsia="Arial" w:hAnsi="Arial"/>
          <w:b/>
          <w:bCs/>
          <w:color w:val="2E75B6"/>
          <w:sz w:val="26"/>
          <w:szCs w:val="26"/>
        </w:rPr>
        <w:t xml:space="preserve">3.2.1  Simulation framework</w:t>
      </w:r>
    </w:p>
    <w:p>
      <w:pPr>
        <w:spacing w:before="80" w:after="120" w:line="276"/>
        <w:jc w:val="both"/>
      </w:pPr>
      <w:r>
        <w:rPr>
          <w:rFonts w:ascii="Arial" w:cs="Arial" w:eastAsia="Arial" w:hAnsi="Arial"/>
          <w:sz w:val="22"/>
          <w:szCs w:val="22"/>
        </w:rPr>
        <w:t xml:space="preserve">Synthetic single-cell RNA-seq datasets were generated using Splatter (v1.24), an R package that models the statistical properties of scRNA-seq count data through a Gamma-Poisson hierarchical generative process (Zappia et al., 2017). In the Splatter model, true gene expression values are drawn from a Gamma distribution, and observed counts are then sampled from a Poisson distribution conditioned on those true values, yielding count data that follows a Negative Binomial marginal distribution — consistent with the distributional properties established for UMI-based protocols (Svensson, 2020; Townes et al., 2019). Differential expression between cell groups is introduced by multiplicative location factors drawn from a log-normal distribution, parameterised by a mean (de.facLoc) and standard deviation (de.facScale) on the log scale.</w:t>
      </w:r>
    </w:p>
    <w:p>
      <w:pPr>
        <w:spacing w:before="80" w:after="120" w:line="276"/>
        <w:jc w:val="both"/>
      </w:pPr>
      <w:r>
        <w:rPr>
          <w:rFonts w:ascii="Arial" w:cs="Arial" w:eastAsia="Arial" w:hAnsi="Arial"/>
          <w:sz w:val="22"/>
          <w:szCs w:val="22"/>
        </w:rPr>
        <w:t xml:space="preserve">Importantly, the additional dropout model provided by Splatter (dropout.type = "experiment") was not applied. This decision is grounded in the finding by Svensson (2020) that, in negative-control experiments using pure RNA solutions in droplets, observed zero rates in 10X Chromium data match Negative Binomial sampling predictions with a correlation of 0.999. This result indicates that the excess zeros in droplet-based protocols are fully accounted for by the Negative Binomial distribution itself, without requiring a zero-inflation component. Applying the Splatter dropout model to 10X-style simulations would therefore introduce artificial zero inflation beyond what is biologically and technically plausible, resulting in unrealistically sparse data (97–99.5% sparsity in preliminary testing). All simulations thus used dropout.type = "none".</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3.2.2  Parameter calibration</w:t>
      </w:r>
    </w:p>
    <w:p>
      <w:pPr>
        <w:spacing w:before="80" w:after="120" w:line="276"/>
        <w:jc w:val="both"/>
      </w:pPr>
      <w:r>
        <w:rPr>
          <w:rFonts w:ascii="Arial" w:cs="Arial" w:eastAsia="Arial" w:hAnsi="Arial"/>
          <w:sz w:val="22"/>
          <w:szCs w:val="22"/>
        </w:rPr>
        <w:t xml:space="preserve">Splatter parameters were calibrated against the statistical properties of a representative 10X Chromium PBMC dataset to ensure biological plausibility. Three properties served as calibration targets: (i) overall sparsity (proportion of zero counts) in the range 80–85%, consistent with values reported for 10X Chromium PBMC libraries (Zappia et al., 2017; Svensson, 2020); (ii) median library size (total UMI per cell) in the range 3,000–8,000; and (iii) a graded fold-change gradient across three differential expression difficulty levels, covering the range of fold-changes observed in biological contexts from clearly distinct populations to subtly differentiated cell states.</w:t>
      </w:r>
    </w:p>
    <w:p>
      <w:pPr>
        <w:spacing w:before="80" w:after="120" w:line="276"/>
        <w:jc w:val="both"/>
      </w:pPr>
      <w:r>
        <w:rPr>
          <w:rFonts w:ascii="Arial" w:cs="Arial" w:eastAsia="Arial" w:hAnsi="Arial"/>
          <w:sz w:val="22"/>
          <w:szCs w:val="22"/>
        </w:rPr>
        <w:t xml:space="preserve">Library size was controlled via lib.loc, the log-mean of the log-normal library size distribution. A value of lib.loc = 8.5 was selected following iterative testing, corresponding to a median library size of approximately 4,900 UMI per cell (e^8.5 ≈ 4,915) and a mean sparsity of 86% across all nine experimental scenarios.</w:t>
      </w:r>
    </w:p>
    <w:p>
      <w:pPr>
        <w:spacing w:before="80" w:after="120" w:line="276"/>
        <w:jc w:val="both"/>
      </w:pPr>
      <w:r>
        <w:rPr>
          <w:rFonts w:ascii="Arial" w:cs="Arial" w:eastAsia="Arial" w:hAnsi="Arial"/>
          <w:sz w:val="22"/>
          <w:szCs w:val="22"/>
        </w:rPr>
        <w:t xml:space="preserve">Three differential expression difficulty levels were defined by varying de.facLoc, which controls the mean log fold-change (LFC) for differentially expressed genes. The de.facScale parameter was held constant at 0.4 across all levels to control variability in fold-change magnitude independently from its mean. The resulting empirical fold-changes, validated by post-hoc inspection of simulated data, were as follows:</w:t>
      </w:r>
    </w:p>
    <w:p>
      <w:pPr>
        <w:spacing w:before="60" w:after="60"/>
      </w:pPr>
      <w:r>
        <w:t xml:space="preserve"/>
      </w:r>
    </w:p>
    <w:p>
      <w:pPr>
        <w:spacing w:before="80" w:after="120" w:line="276"/>
        <w:jc w:val="both"/>
      </w:pPr>
      <w:r>
        <w:rPr>
          <w:rFonts w:ascii="Arial" w:cs="Arial" w:eastAsia="Arial" w:hAnsi="Arial"/>
          <w:sz w:val="22"/>
          <w:szCs w:val="22"/>
        </w:rPr>
        <w:t xml:space="preserve">Within each group, fold-change magnitudes for individual DE genes were drawn from a log-normal distribution parameterised by de.facLoc and de.facScale. Because Splatter samples fold changes from the log-normal independently for each gene, the mean fold change in the upregulated direction is given by the log-normal mean formula:</w:t>
      </w:r>
    </w:p>
    <w:p>
      <w:pPr>
        <w:spacing w:before="60" w:after="60"/>
      </w:pPr>
      <w:r>
        <w:t xml:space="preserve"/>
      </w:r>
    </w:p>
    <w:p>
      <w:pPr>
        <w:spacing w:before="60" w:after="60"/>
        <w:jc w:val="center"/>
      </w:pPr>
      <w:r>
        <w:rPr>
          <w:rFonts w:ascii="Arial" w:cs="Arial" w:eastAsia="Arial" w:hAnsi="Arial"/>
          <w:b/>
          <w:bCs/>
          <w:color w:val="1F3864"/>
          <w:sz w:val="22"/>
          <w:szCs w:val="22"/>
        </w:rPr>
        <w:t xml:space="preserve">mean_FC_up = exp(de.facLoc + de.facScale² / 2)</w:t>
      </w:r>
    </w:p>
    <w:p>
      <w:pPr>
        <w:spacing w:before="60" w:after="60"/>
      </w:pPr>
      <w:r>
        <w:t xml:space="preserve"/>
      </w:r>
    </w:p>
    <w:p>
      <w:pPr>
        <w:spacing w:before="80" w:after="120" w:line="276"/>
        <w:jc w:val="both"/>
      </w:pPr>
      <w:r>
        <w:rPr>
          <w:rFonts w:ascii="Arial" w:cs="Arial" w:eastAsia="Arial" w:hAnsi="Arial"/>
          <w:sz w:val="22"/>
          <w:szCs w:val="22"/>
        </w:rPr>
        <w:t xml:space="preserve">With de.facScale held fixed at 0.4 across all difficulty levels, the variance term contributes a constant 0.08 (0.4² / 2) to the exponent. The three DE levels were therefore defined entirely by varying de.facLoc and de.prob: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600"/>
        <w:gridCol w:w="1600"/>
        <w:gridCol w:w="32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 level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de.facLoc</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mean_FC_up</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de.prob</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Biological analogue / intended context</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Easy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~4.8×</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0.15 (15%)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Major lineage differences (e.g., T cell vs B cell, neuron vs glia). Clean PCA separation expected.</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Medium</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0.80</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~2.4×</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0.08 (8%)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Related but distinguishable subtypes (e.g., CD4+ vs CD8+ T cells). Partial PCA overlap expected.</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Hard</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0.30</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~1.46×</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0.04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Highly similar subtypes (e.g., naive vs memory T cells). Substantial PCA overlap. Below log₂FC = 0.5 threshold used in most DE workflows (Schirmer et al., 2016).</w:t>
            </w:r>
          </w:p>
        </w:tc>
      </w:tr>
    </w:tbl>
    <w:p>
      <w:pPr>
        <w:spacing w:before="120" w:after="120"/>
      </w:pPr>
      <w:r>
        <w:t xml:space="preserve"/>
      </w:r>
    </w:p>
    <w:p>
      <w:pPr>
        <w:spacing w:before="80" w:after="120" w:line="276"/>
        <w:jc w:val="both"/>
      </w:pPr>
      <w:r>
        <w:rPr>
          <w:rFonts w:ascii="Arial" w:cs="Arial" w:eastAsia="Arial" w:hAnsi="Arial"/>
          <w:sz w:val="22"/>
          <w:szCs w:val="22"/>
        </w:rPr>
        <w:t xml:space="preserve">The validity of the fold-change gradient was confirmed by computing the ratio of PC1 variance between the easy and hard DE levels across all nine experimental scenarios; the mean ratio was 5.2, indicating that the easy condition produces substantially greater between-cluster variance in the first principal component than the hard condition. PCA visualisations of all nine scenarios were manually inspected to confirm monotonic cluster separation across DE levels.</w:t>
      </w:r>
    </w:p>
    <w:p>
      <w:pPr>
        <w:spacing w:before="80" w:after="80"/>
      </w:pPr>
      <w:r>
        <w:t xml:space="preserve"/>
      </w:r>
    </w:p>
    <w:p>
      <w:pPr>
        <w:spacing w:before="80" w:after="120" w:line="276"/>
        <w:jc w:val="both"/>
      </w:pPr>
      <w:r>
        <w:rPr>
          <w:rFonts w:ascii="Arial" w:cs="Arial" w:eastAsia="Arial" w:hAnsi="Arial"/>
          <w:sz w:val="22"/>
          <w:szCs w:val="22"/>
        </w:rPr>
        <w:t xml:space="preserve">The fixed simulation parameters — held constant across all 27 datasets — were as follows: nGenes = 10,000 (consistent with post-QC gene counts in 10X Chromium PBMC libraries; Luecken and Theis, 2019); bcv.common = 0.4 (biological coefficient of variation controlling within-type expression heterogeneity, calibrated to the lower end of the 0.4–0.6 range typical of heterogeneous tissue samples; McCarthy et al., 2012); lib.scale = 0.5 (log-normal scale parameter for library size, producing approximately 3–4-fold depth variation between cells, consistent with real 10X data). These choices ensure that the fixed background is biologically realistic rather than artificially uniform.</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3.2.3  Experimental design: L9 orthogonal array</w:t>
      </w:r>
    </w:p>
    <w:p>
      <w:pPr>
        <w:spacing w:before="80" w:after="120" w:line="276"/>
        <w:jc w:val="both"/>
      </w:pPr>
      <w:r>
        <w:rPr>
          <w:rFonts w:ascii="Arial" w:cs="Arial" w:eastAsia="Arial" w:hAnsi="Arial"/>
          <w:sz w:val="22"/>
          <w:szCs w:val="22"/>
        </w:rPr>
        <w:t xml:space="preserve">A full factorial exploration of all combinations of four experimental factors at three levels each would require 3^4 = 81 distinct simulation scenarios. Given the computational demands of running 58 annotation tools across replicated datasets, a full factorial design was judged infeasible within the thesis timeline. Instead, a Taguchi L9(3^4) orthogonal array was employed to reduce the required scenarios to nine while preserving the ability to estimate the main effect of each factor independently (Taguchi, 1987; Phadke, 1989).</w:t>
      </w:r>
    </w:p>
    <w:p>
      <w:pPr>
        <w:spacing w:before="80" w:after="120" w:line="276"/>
        <w:jc w:val="both"/>
      </w:pPr>
      <w:r>
        <w:rPr>
          <w:rFonts w:ascii="Arial" w:cs="Arial" w:eastAsia="Arial" w:hAnsi="Arial"/>
          <w:sz w:val="22"/>
          <w:szCs w:val="22"/>
        </w:rPr>
        <w:t xml:space="preserve">An orthogonal array is a fractional factorial design with the property that, for every pair of factors, each combination of their level values occurs an equal number of times across the experimental runs. This balance property ensures that the estimated main effect of any one factor is orthogonal to — and therefore unconfounded by — the main effects of all other factors, enabling independent effect estimation despite the incomplete factorial coverage. The L9 design covers all four factors at three levels each across nine scenarios, with each factor-level combination appearing exactly three times.</w:t>
      </w:r>
    </w:p>
    <w:p>
      <w:pPr>
        <w:spacing w:before="80" w:after="120" w:line="276"/>
        <w:jc w:val="both"/>
      </w:pPr>
      <w:r>
        <w:rPr>
          <w:rFonts w:ascii="Arial" w:cs="Arial" w:eastAsia="Arial" w:hAnsi="Arial"/>
          <w:sz w:val="22"/>
          <w:szCs w:val="22"/>
        </w:rPr>
        <w:t xml:space="preserve">The four factors and their three levels were defined as follows: cell count (N) at 500, 3,000, and 15,000 cells; class imbalance (I) at balanced (equal proportions), mild (maximum group ratio R = 5), and severe (maximum group ratio R = 20); number of cell types (K) at 5, 15, and 30 types; and differential expression difficulty (D) at easy, medium, and hard as described above. Cell type proportions under non-balanced imbalance levels were assigned using a geometric series with ratio r = R^(−1/(K−1)), ensuring that the severity of imbalance — defined as the ratio of the most to least frequent type — remains constant across the three K levels. These factors were selected based on their established influence on annotation performance reported in the literature (Abdelaal et al., 2019; Zhao et al., 2020; Fang et al., 2024).</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1360"/>
        <w:gridCol w:w="1400"/>
        <w:gridCol w:w="29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 (cells)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Imbalance (I)</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Types (K)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 level (D)</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Profile 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Balanced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Easy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Small n, balanced, few types, easy DE — baseline low-stress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500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Mild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Medium</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Small n, mild imbalance, moderate types, medium 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Severe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Hard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Small n, severe imbalance, many types, hard DE — stress test (rarest type ~2–3 cells)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3,000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Balanced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Hard</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Medium n, balanced, moderate types, hard DE — tests signal difficulty at moderate scale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3,000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Mild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Easy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Medium n, mild imbalance, many types, easy DE — tests scalability with many types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3,000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Severe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Medium</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Medium n, severe imbalance, few types, medium DE — imbalance effect at medium scale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Balanced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Medium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Large n, balanced, many types, medium DE — scalability with complex taxonomy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Mild</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Hard</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Large n, mild imbalance, few types, hard DE — tests whether scale compensates for weak signal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Severe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Easy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Large n, severe imbalance, moderate types, easy DE — imbalance effect at large scale</w:t>
            </w:r>
          </w:p>
        </w:tc>
      </w:tr>
    </w:tbl>
    <w:p>
      <w:pPr>
        <w:spacing w:before="100" w:after="100"/>
      </w:pPr>
      <w:r>
        <w:t xml:space="preserve"/>
      </w:r>
    </w:p>
    <w:p>
      <w:pPr>
        <w:spacing w:before="80" w:after="120" w:line="276"/>
        <w:jc w:val="center"/>
      </w:pPr>
      <w:r>
        <w:rPr>
          <w:rFonts w:ascii="Arial" w:cs="Arial" w:eastAsia="Arial" w:hAnsi="Arial"/>
          <w:sz w:val="22"/>
          <w:szCs w:val="22"/>
        </w:rPr>
        <w:t xml:space="preserve">Table 3.1: L9(3^4) orthogonal array experimental design. Each scenario represents a distinct combination of the four dataset characteristic factors. The orthogonality property ensures that the marginal distribution of each factor across the nine scenarios is uniform, enabling independent estimation of main effects.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20"/>
              <w:left w:type="dxa" w:w="240"/>
              <w:bottom w:type="dxa" w:w="120"/>
              <w:right w:type="dxa" w:w="240"/>
            </w:tcMar>
          </w:tcPr>
          <w:p>
            <w:pPr>
              <w:spacing w:before="0" w:after="60"/>
            </w:pPr>
            <w:r>
              <w:rPr>
                <w:rFonts w:ascii="Arial" w:cs="Arial" w:eastAsia="Arial" w:hAnsi="Arial"/>
                <w:b/>
                <w:bCs/>
                <w:color w:val="1F3864"/>
                <w:sz w:val="21"/>
                <w:szCs w:val="21"/>
              </w:rPr>
              <w:t xml:space="preserve">Edge case — S3 (stress-test scenario)</w:t>
            </w:r>
          </w:p>
          <w:p>
            <w:pPr>
              <w:spacing w:before="0" w:after="0"/>
              <w:jc w:val="both"/>
            </w:pPr>
            <w:r>
              <w:rPr>
                <w:rFonts w:ascii="Arial" w:cs="Arial" w:eastAsia="Arial" w:hAnsi="Arial"/>
                <w:i w:val="false"/>
                <w:iCs w:val="false"/>
                <w:color w:val="333333"/>
                <w:sz w:val="20"/>
                <w:szCs w:val="20"/>
              </w:rPr>
              <w:t xml:space="preserve">S3 combines the three highest-difficulty levels for each factor: 500 cells, severe imbalance (R = 20), 30 cell types, and hard DE signal. Under the geometric series proportions model, the rarest cell type in S3 receives approximately 0.5% of 500 cells, corresponding to 2–3 training cells after the 80/20 split. This is below the viable training threshold for most supervised classifiers. S3 is retained deliberately as a stress test to characterise the boundary at which annotation methods break down under simultaneous multi-factor challenge. Tools that fail completely on S3 are assigned κ = NA and reported separately in the tool-failure analysis.</w:t>
            </w:r>
          </w:p>
        </w:tc>
      </w:tr>
    </w:tbl>
    <w:p>
      <w:pPr>
        <w:spacing w:before="80" w:after="80"/>
      </w:pPr>
      <w:r>
        <w:t xml:space="preserve"/>
      </w:r>
    </w:p>
    <w:p>
      <w:pPr>
        <w:spacing w:before="80" w:after="120" w:line="276"/>
        <w:jc w:val="both"/>
      </w:pPr>
      <w:r>
        <w:rPr>
          <w:rFonts w:ascii="Arial" w:cs="Arial" w:eastAsia="Arial" w:hAnsi="Arial"/>
          <w:sz w:val="22"/>
          <w:szCs w:val="22"/>
        </w:rPr>
        <w:t xml:space="preserve">A known limitation of the L9 design is that pairwise interaction effects between factors — for example, whether class imbalance affects performance differently under hard versus easy DE conditions — are aliased with main effects and cannot be independently estimated. This is an inherent constraint of fractional factorial designs at this resolution. Two extensions that would recover interaction estimates are documented as future work: a fold-over augmentation (adding nine additional scenarios with reversed factor assignments, yielding an 18-run design that resolves two-factor interactions) and a full 3^4 factorial (81 scenarios), which would be appropriate for a collaborative or computational-scale study.</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3.2.4  Replication and data splitting</w:t>
      </w:r>
    </w:p>
    <w:p>
      <w:pPr>
        <w:spacing w:before="80" w:after="120" w:line="276"/>
        <w:jc w:val="both"/>
      </w:pPr>
      <w:r>
        <w:rPr>
          <w:rFonts w:ascii="Arial" w:cs="Arial" w:eastAsia="Arial" w:hAnsi="Arial"/>
          <w:sz w:val="22"/>
          <w:szCs w:val="22"/>
        </w:rPr>
        <w:t xml:space="preserve">Three independent replicate datasets were generated for each of the nine scenarios by specifying distinct random seeds (42, 123, and 999) for Splatter's stochastic simulation process. This produced a total of 27 datasets (9 scenarios × 3 replicates). Independent replication enables estimation of simulation variance — that is, the degree to which performance metrics vary across statistically equivalent datasets — and distinguishes simulation-driven variability from tool-driven variability.</w:t>
      </w:r>
    </w:p>
    <w:p>
      <w:pPr>
        <w:spacing w:before="80" w:after="120" w:line="276"/>
        <w:jc w:val="both"/>
      </w:pPr>
      <w:r>
        <w:rPr>
          <w:rFonts w:ascii="Arial" w:cs="Arial" w:eastAsia="Arial" w:hAnsi="Arial"/>
          <w:sz w:val="22"/>
          <w:szCs w:val="22"/>
        </w:rPr>
        <w:t xml:space="preserve">For each replicate, a single stratified 80/20 train/test split was applied rather than k-fold cross-validation. Stratification was performed at the cell-type level, ensuring that all cell types present in a replicate dataset were represented in both the training and test partitions in proportions reflecting their overall frequency. This precaution is particularly important in severe imbalance scenarios, where minority cell types may be represented by as few as 25 cells in a 500-cell dataset; without stratification, chance exclusion of a minority type from the test set would render that type unevaluable. The decision to use a single split rather than k-fold was made after preliminary pipeline testing revealed near-identical performance estimates across folds, making the additional computational cost of k-fold cross-validation unjustified relative to the variance information already provided by three independent biological replicates.</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3.2.5  Simulation output format</w:t>
      </w:r>
    </w:p>
    <w:p>
      <w:pPr>
        <w:spacing w:before="80" w:after="120" w:line="276"/>
        <w:jc w:val="both"/>
      </w:pPr>
      <w:r>
        <w:rPr>
          <w:rFonts w:ascii="Arial" w:cs="Arial" w:eastAsia="Arial" w:hAnsi="Arial"/>
          <w:sz w:val="22"/>
          <w:szCs w:val="22"/>
        </w:rPr>
        <w:t xml:space="preserve">Each of the 27 simulations was saved to disk in a standardised directory structure to support both auditability and downstream parallel processing. The primary outputs for each replicate were: a sparse count matrix in Matrix Market format (counts.mtx), a gene name list (genes.txt), a cell identifier list (cells.txt), a cell metadata file (metadata.csv) containing the ground-truth cell_type label together with per-cell library size and gene detection count, and a human-readable configuration log (config.txt) recording all simulation parameters and output statistics for auditability. Datasets were organised in a nested directory structure (l9_benchmark_sets/S{i}/rep{j}/) and identified throughout the pipeline by a two-component label derived from the folder path (e.g., S3_rep2), ensuring unambiguous correspondence between simulation parameters and results records.</w:t>
      </w:r>
    </w:p>
    <w:p>
      <w:pPr>
        <w:spacing w:before="80" w:after="120" w:line="276"/>
        <w:jc w:val="both"/>
      </w:pPr>
      <w:r>
        <w:rPr>
          <w:rFonts w:ascii="Arial" w:cs="Arial" w:eastAsia="Arial" w:hAnsi="Arial"/>
          <w:sz w:val="22"/>
          <w:szCs w:val="22"/>
        </w:rPr>
        <w:t xml:space="preserve">Conversion to analysis-ready formats was handled by separate preprocessing scripts: load_to_seurat.R (R/Seurat v5 objects, serialised as .rds) and load_to_anndata.ipynb (Python/AnnData objects, serialised as .h5ad). Both scripts applied identical normalisation and feature selection steps to the raw counts, and used recursive directory discovery to locate all 27 replicate folders automatically. Ground-truth labels were stored in the cell metadata slot under the uniform column name cell_type across both formats, providing a consistent interface for all tool wrappers.</w:t>
      </w:r>
    </w:p>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3.3  Experimentally Validated Reference Datasets</w:t>
      </w:r>
    </w:p>
    <w:p>
      <w:pPr>
        <w:spacing w:before="80" w:after="120" w:line="276"/>
        <w:jc w:val="both"/>
      </w:pPr>
      <w:r>
        <w:rPr>
          <w:rFonts w:ascii="Arial" w:cs="Arial" w:eastAsia="Arial" w:hAnsi="Arial"/>
          <w:sz w:val="22"/>
          <w:szCs w:val="22"/>
        </w:rPr>
        <w:t xml:space="preserve">To assess whether performance patterns observed on simulated data generalise to real scRNA-seq experiments, a subset of annotation methods was additionally evaluated on experimentally validated reference datasets with high-confidence ground-truth labels. Two categories of ground-truth quality were distinguished, following the taxonomy proposed by Abdelaal et al. (2019): gold-standard labels derived from orthogonal experimental validation (e.g., FACS sorting with antibody panels), and silver-standard labels derived computationally from clustering and marker gene assignment.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0000" w:sz="6"/>
              <w:bottom w:val="single" w:color="CCCCCC" w:sz="1"/>
              <w:right w:val="single" w:color="CCCCCC" w:sz="1"/>
            </w:tcBorders>
            <w:shd w:fill="FFF0F0" w:val="clear"/>
            <w:tcMar>
              <w:top w:type="dxa" w:w="100"/>
              <w:left w:type="dxa" w:w="200"/>
              <w:bottom w:type="dxa" w:w="100"/>
              <w:right w:type="dxa" w:w="200"/>
            </w:tcMar>
          </w:tcPr>
          <w:p>
            <w:r>
              <w:rPr>
                <w:rFonts w:ascii="Arial" w:cs="Arial" w:eastAsia="Arial" w:hAnsi="Arial"/>
                <w:b/>
                <w:bCs/>
                <w:color w:val="CC0000"/>
                <w:sz w:val="21"/>
                <w:szCs w:val="21"/>
              </w:rPr>
              <w:t xml:space="preserve">[PLACEHOLDER] </w:t>
            </w:r>
            <w:r>
              <w:rPr>
                <w:rFonts w:ascii="Arial" w:cs="Arial" w:eastAsia="Arial" w:hAnsi="Arial"/>
                <w:i/>
                <w:iCs/>
                <w:color w:val="880000"/>
                <w:sz w:val="21"/>
                <w:szCs w:val="21"/>
              </w:rPr>
              <w:t xml:space="preserve">Tabula Muris FACS — complete this section once integration is finalised. Required: accession/DOI, number of cells, tissues included, label column used (cell_ontology_class from facs_annotation.csv), any preprocessing modifications, and why this was selected as gold-standard ground truth.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0000" w:sz="6"/>
              <w:bottom w:val="single" w:color="CCCCCC" w:sz="1"/>
              <w:right w:val="single" w:color="CCCCCC" w:sz="1"/>
            </w:tcBorders>
            <w:shd w:fill="FFF0F0" w:val="clear"/>
            <w:tcMar>
              <w:top w:type="dxa" w:w="100"/>
              <w:left w:type="dxa" w:w="200"/>
              <w:bottom w:type="dxa" w:w="100"/>
              <w:right w:type="dxa" w:w="200"/>
            </w:tcMar>
          </w:tcPr>
          <w:p>
            <w:r>
              <w:rPr>
                <w:rFonts w:ascii="Arial" w:cs="Arial" w:eastAsia="Arial" w:hAnsi="Arial"/>
                <w:b/>
                <w:bCs/>
                <w:color w:val="CC0000"/>
                <w:sz w:val="21"/>
                <w:szCs w:val="21"/>
              </w:rPr>
              <w:t xml:space="preserve">[PLACEHOLDER] </w:t>
            </w:r>
            <w:r>
              <w:rPr>
                <w:rFonts w:ascii="Arial" w:cs="Arial" w:eastAsia="Arial" w:hAnsi="Arial"/>
                <w:i/>
                <w:iCs/>
                <w:color w:val="880000"/>
                <w:sz w:val="21"/>
                <w:szCs w:val="21"/>
              </w:rPr>
              <w:t xml:space="preserve">ZhengSort (Zheng et al., 2017, Nature Communications) — complete this section. Required: dataset description, FACS-sorted immune cell populations, number of cells, accession details, and label 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0000" w:sz="6"/>
              <w:bottom w:val="single" w:color="CCCCCC" w:sz="1"/>
              <w:right w:val="single" w:color="CCCCCC" w:sz="1"/>
            </w:tcBorders>
            <w:shd w:fill="FFF0F0" w:val="clear"/>
            <w:tcMar>
              <w:top w:type="dxa" w:w="100"/>
              <w:left w:type="dxa" w:w="200"/>
              <w:bottom w:type="dxa" w:w="100"/>
              <w:right w:type="dxa" w:w="200"/>
            </w:tcMar>
          </w:tcPr>
          <w:p>
            <w:r>
              <w:rPr>
                <w:rFonts w:ascii="Arial" w:cs="Arial" w:eastAsia="Arial" w:hAnsi="Arial"/>
                <w:b/>
                <w:bCs/>
                <w:color w:val="CC0000"/>
                <w:sz w:val="21"/>
                <w:szCs w:val="21"/>
              </w:rPr>
              <w:t xml:space="preserve">[PLACEHOLDER] </w:t>
            </w:r>
            <w:r>
              <w:rPr>
                <w:rFonts w:ascii="Arial" w:cs="Arial" w:eastAsia="Arial" w:hAnsi="Arial"/>
                <w:i/>
                <w:iCs/>
                <w:color w:val="880000"/>
                <w:sz w:val="21"/>
                <w:szCs w:val="21"/>
              </w:rPr>
              <w:t xml:space="preserve">Additional real datasets (Baron/Muraro/Segerstolpe pancreas, PBMCbench, or others) — add here if included in the final study. Specify label provenance (gold vs. silver standard) for each.</w:t>
            </w:r>
          </w:p>
        </w:tc>
      </w:tr>
    </w:tbl>
    <w:p>
      <w:pPr>
        <w:spacing w:before="80" w:after="80"/>
      </w:pPr>
      <w:r>
        <w:t xml:space="preserve"/>
      </w:r>
    </w:p>
    <w:p>
      <w:pPr>
        <w:spacing w:before="80" w:after="120" w:line="276"/>
        <w:jc w:val="both"/>
      </w:pPr>
      <w:r>
        <w:rPr>
          <w:rFonts w:ascii="Arial" w:cs="Arial" w:eastAsia="Arial" w:hAnsi="Arial"/>
          <w:sz w:val="22"/>
          <w:szCs w:val="22"/>
        </w:rPr>
        <w:t xml:space="preserve">For all real datasets, annotation provenance was explicitly tracked. Gold-standard labels derived from experimental isolation were treated as ground truth for primary performance evaluation. Computationally derived labels were treated as silver-standard and used only in supplementary comparisons, with the associated circular-validation limitation (training and evaluation both depend on the same clustering procedure) noted explicitly in the results.</w:t>
      </w:r>
    </w:p>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3.4  Data Preprocessing</w:t>
      </w:r>
    </w:p>
    <w:p>
      <w:pPr>
        <w:pStyle w:val="Heading2"/>
        <w:spacing w:before="320" w:after="100"/>
      </w:pPr>
      <w:r>
        <w:rPr>
          <w:rFonts w:ascii="Arial" w:cs="Arial" w:eastAsia="Arial" w:hAnsi="Arial"/>
          <w:b/>
          <w:bCs/>
          <w:color w:val="2E75B6"/>
          <w:sz w:val="26"/>
          <w:szCs w:val="26"/>
        </w:rPr>
        <w:t xml:space="preserve">3.4.1  Quality control</w:t>
      </w:r>
    </w:p>
    <w:p>
      <w:pPr>
        <w:spacing w:before="80" w:after="120" w:line="276"/>
        <w:jc w:val="both"/>
      </w:pPr>
      <w:r>
        <w:rPr>
          <w:rFonts w:ascii="Arial" w:cs="Arial" w:eastAsia="Arial" w:hAnsi="Arial"/>
          <w:sz w:val="22"/>
          <w:szCs w:val="22"/>
        </w:rPr>
        <w:t xml:space="preserve">Quality control was applied to all real datasets prior to analysis. Cells were excluded if they expressed fewer than 200 genes, had a total UMI count below 500, or had a proportion of mitochondrial gene counts exceeding 10% of total counts — thresholds consistent with published best practices for 10X Chromium data (Luecken and Theis, 2019). Doublet detection was performed using DoubletFinder (v2.0) in R, with the expected doublet rate set to 0.075 (7.5%), consistent with the manufacturer-reported rate for 10X Chromium at standard loading densities. Detected doublets were excluded from downstream analysis. Quality control was not applied to simulated datasets, which were generated without technical artefacts by design.</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3.4.2  Normalisation and feature selection</w:t>
      </w:r>
    </w:p>
    <w:p>
      <w:pPr>
        <w:spacing w:before="80" w:after="120" w:line="276"/>
        <w:jc w:val="both"/>
      </w:pPr>
      <w:r>
        <w:rPr>
          <w:rFonts w:ascii="Arial" w:cs="Arial" w:eastAsia="Arial" w:hAnsi="Arial"/>
          <w:sz w:val="22"/>
          <w:szCs w:val="22"/>
        </w:rPr>
        <w:t xml:space="preserve">Library size normalisation was applied to all datasets by scaling each cell's raw counts to a total of 10,000 (counts per 10,000, CP10K), followed by a log(x + 1) transformation, as implemented in the NormalizeData function in Seurat v5 and the normalise_total and log1p functions in scanpy. This normalisation strategy was applied uniformly across all tools except those with their own built-in normalisation procedures (specifically scVI, which models raw counts directly using a Negative Binomial likelihood, and CellTypist, which applies its own internal scaling). For tools with built-in normalisation, raw counts were provided as input.</w:t>
      </w:r>
    </w:p>
    <w:p>
      <w:pPr>
        <w:spacing w:before="80" w:after="120" w:line="276"/>
        <w:jc w:val="both"/>
      </w:pPr>
      <w:r>
        <w:rPr>
          <w:rFonts w:ascii="Arial" w:cs="Arial" w:eastAsia="Arial" w:hAnsi="Arial"/>
          <w:sz w:val="22"/>
          <w:szCs w:val="22"/>
        </w:rPr>
        <w:t xml:space="preserve">Highly variable genes (HVGs) were selected using the mean-variance trend method implemented in Seurat's FindVariableFeatures function (selection.method = "vst"), retaining the top 2,000 HVGs per dataset. HVG selection was performed on the training partition only, to prevent data leakage into the test set. The resulting gene set was then applied to subset both training and test partitions prior to tool-specific model training and prediction. Tools that perform their own internal feature selection (e.g., SingleR, SciBet) received the full normalised expression matrix and applied their respective selection procedures internally.</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3.4.3  Dimensionality reduction</w:t>
      </w:r>
    </w:p>
    <w:p>
      <w:pPr>
        <w:spacing w:before="80" w:after="120" w:line="276"/>
        <w:jc w:val="both"/>
      </w:pPr>
      <w:r>
        <w:rPr>
          <w:rFonts w:ascii="Arial" w:cs="Arial" w:eastAsia="Arial" w:hAnsi="Arial"/>
          <w:sz w:val="22"/>
          <w:szCs w:val="22"/>
        </w:rPr>
        <w:t xml:space="preserve">Principal component analysis (PCA) was performed on the scaled HVG matrix using the RunPCA function in Seurat (npcs = 50). UMAP embeddings were computed from the top 30 principal components using the RunUMAP function with default parameters (n.neighbors = 30, min.dist = 0.3). These embeddings were used for visualisation and for tools that require a low-dimensional representation as input (e.g., Seurat label transfer, which uses PCA space for anchor identification). Dimensionality reduction was performed on the training partition and projected onto the test partition where required by individual tools.</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3.4.4  Batch effect correction</w:t>
      </w:r>
    </w:p>
    <w:p>
      <w:pPr>
        <w:spacing w:before="80" w:after="120" w:line="276"/>
        <w:jc w:val="both"/>
      </w:pPr>
      <w:r>
        <w:rPr>
          <w:rFonts w:ascii="Arial" w:cs="Arial" w:eastAsia="Arial" w:hAnsi="Arial"/>
          <w:sz w:val="22"/>
          <w:szCs w:val="22"/>
        </w:rPr>
        <w:t xml:space="preserve">Batch effect correction was not applied as a default preprocessing step. This decision reflects the study's goal of evaluating annotation tool performance under controlled conditions without confounding the tool's native batch robustness with the output of a correction procedure. For tools specifically designed to operate on batch-corrected representations (e.g., Seurat label transfer, which uses anchor-based integration internally), the tool's own batch handling mechanism was used. Where cross-platform or cross-study comparisons were performed in the real dataset evaluation track, Harmony (v1.0) was applied for batch correction in a separate analysis arm, with results reported alongside uncorrected comparisons to quantify the effect of correction on annotation accuracy.</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3.4.5  Parallelism and data format conversion</w:t>
      </w:r>
    </w:p>
    <w:p>
      <w:pPr>
        <w:spacing w:before="80" w:after="120" w:line="276"/>
        <w:jc w:val="both"/>
      </w:pPr>
      <w:r>
        <w:rPr>
          <w:rFonts w:ascii="Arial" w:cs="Arial" w:eastAsia="Arial" w:hAnsi="Arial"/>
          <w:sz w:val="22"/>
          <w:szCs w:val="22"/>
        </w:rPr>
        <w:t xml:space="preserve">R-based tools were run using Seurat v5 objects with sparse matrix representation throughout, avoiding dense matrix conversion that would prohibitively increase memory consumption for large datasets. Python-based tools operated on AnnData (.h5ad) objects produced by exporting from Seurat using the SeuratDisk package with matched preprocessing parameters. Ground-truth label vectors were stored in the cell metadata slot (meta.data in Seurat; obs in AnnData) under the column name cell_type, providing a uniform interface for all tool wrappers.</w:t>
      </w:r>
    </w:p>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3.5  Annotation Tools</w:t>
      </w:r>
    </w:p>
    <w:p>
      <w:pPr>
        <w:pStyle w:val="Heading2"/>
        <w:spacing w:before="320" w:after="100"/>
      </w:pPr>
      <w:r>
        <w:rPr>
          <w:rFonts w:ascii="Arial" w:cs="Arial" w:eastAsia="Arial" w:hAnsi="Arial"/>
          <w:b/>
          <w:bCs/>
          <w:color w:val="2E75B6"/>
          <w:sz w:val="26"/>
          <w:szCs w:val="26"/>
        </w:rPr>
        <w:t xml:space="preserve">3.5.1  Tool selection and scope</w:t>
      </w:r>
    </w:p>
    <w:p>
      <w:pPr>
        <w:spacing w:before="80" w:after="120" w:line="276"/>
        <w:jc w:val="both"/>
      </w:pPr>
      <w:r>
        <w:rPr>
          <w:rFonts w:ascii="Arial" w:cs="Arial" w:eastAsia="Arial" w:hAnsi="Arial"/>
          <w:sz w:val="22"/>
          <w:szCs w:val="22"/>
        </w:rPr>
        <w:t xml:space="preserve">A total of 58 annotation tools were evaluated, selected to provide comprehensive coverage of the methodological space. Tools were classified into six categories: (i) marker-based methods, which assign cell identities by scoring expression of curated gene sets; (ii) correlation and reference-mapping methods, which annotate query cells by similarity to a labelled reference; (iii) classical machine learning methods, which train discriminative classifiers on reference data; (iv) deep learning methods with task-specific architectures; (v) foundation models, which are large self-supervised models pre-trained on millions of cells and fine-tuned for annotation; and (vi) large language model-based tools, which leverage pre-trained generative models for annotation via natural language interfaces. The complete list of tools, implementation details, and version numbers is provided in Supplementary Table S1.</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3.5.2  Tool integration</w:t>
      </w:r>
    </w:p>
    <w:p>
      <w:pPr>
        <w:spacing w:before="80" w:after="120" w:line="276"/>
        <w:jc w:val="both"/>
      </w:pPr>
      <w:r>
        <w:rPr>
          <w:rFonts w:ascii="Arial" w:cs="Arial" w:eastAsia="Arial" w:hAnsi="Arial"/>
          <w:sz w:val="22"/>
          <w:szCs w:val="22"/>
        </w:rPr>
        <w:t xml:space="preserve">Each tool was implemented as a self-contained wrapper script that accepted as input a Seurat or AnnData object and a marker database (for marker-based tools) or a labelled reference object (for reference-based and ML-based tools), and returned as output a named character vector of predicted labels aligned to the test cell barcodes, together with any available per-cell confidence scores or probability matrices. Wrapper scripts were co-located in a tools/ directory, with shared input objects (Seurat reference, AnnData reference, marker database) stored in a data/ directory. This modular structure ensured that any tool could be updated or replaced without modifying the shared pipeline logic.</w:t>
      </w:r>
    </w:p>
    <w:p>
      <w:pPr>
        <w:spacing w:before="80" w:after="120" w:line="276"/>
        <w:jc w:val="both"/>
      </w:pPr>
      <w:r>
        <w:rPr>
          <w:rFonts w:ascii="Arial" w:cs="Arial" w:eastAsia="Arial" w:hAnsi="Arial"/>
          <w:sz w:val="22"/>
          <w:szCs w:val="22"/>
        </w:rPr>
        <w:t xml:space="preserve">Where tools failed to run on a given scenario — due to memory exhaustion, incompatible sparse matrix formats, or absence of a required cell type in the training set — the failure was recorded with the associated error message and the tool's metrics were recorded as NA for that scenario. Failure patterns were analysed separately to identify systematic tool limitations.</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3.5.3  Reference data for supervised tools</w:t>
      </w:r>
    </w:p>
    <w:p>
      <w:pPr>
        <w:spacing w:before="80" w:after="120" w:line="276"/>
        <w:jc w:val="both"/>
      </w:pPr>
      <w:r>
        <w:rPr>
          <w:rFonts w:ascii="Arial" w:cs="Arial" w:eastAsia="Arial" w:hAnsi="Arial"/>
          <w:sz w:val="22"/>
          <w:szCs w:val="22"/>
        </w:rPr>
        <w:t xml:space="preserve">For supervised and reference-based tools operating on the simulated dataset track, the training partition of each replicate served as the reference. Cell type labels from the training partition were used directly as ground truth for model training; no additional marker database was required for supervised classifiers. For marker-based tools, the CellMarker 2.0 database was used as the primary marker source (Zhang et al., 2023), supplemented by PanglaoDB (Franzén et al., 2019) where CellMarker 2.0 lacked coverage for simulated cell type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0000" w:sz="6"/>
              <w:bottom w:val="single" w:color="CCCCCC" w:sz="1"/>
              <w:right w:val="single" w:color="CCCCCC" w:sz="1"/>
            </w:tcBorders>
            <w:shd w:fill="FFF0F0" w:val="clear"/>
            <w:tcMar>
              <w:top w:type="dxa" w:w="100"/>
              <w:left w:type="dxa" w:w="200"/>
              <w:bottom w:type="dxa" w:w="100"/>
              <w:right w:type="dxa" w:w="200"/>
            </w:tcMar>
          </w:tcPr>
          <w:p>
            <w:r>
              <w:rPr>
                <w:rFonts w:ascii="Arial" w:cs="Arial" w:eastAsia="Arial" w:hAnsi="Arial"/>
                <w:b/>
                <w:bCs/>
                <w:color w:val="CC0000"/>
                <w:sz w:val="21"/>
                <w:szCs w:val="21"/>
              </w:rPr>
              <w:t xml:space="preserve">[PLACEHOLDER] </w:t>
            </w:r>
            <w:r>
              <w:rPr>
                <w:rFonts w:ascii="Arial" w:cs="Arial" w:eastAsia="Arial" w:hAnsi="Arial"/>
                <w:i/>
                <w:iCs/>
                <w:color w:val="880000"/>
                <w:sz w:val="21"/>
                <w:szCs w:val="21"/>
              </w:rPr>
              <w:t xml:space="preserve">For real dataset tools: specify reference source for each real dataset (e.g., Human Cell Atlas, BLUEPRINT/ENCODE for SingleR; labelled partition for supervised tools). Specify any mismatch between simulated and real reference sources and how it was handled.</w:t>
            </w:r>
          </w:p>
        </w:tc>
      </w:tr>
    </w:tbl>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3.6  Evaluation Metrics</w:t>
      </w:r>
    </w:p>
    <w:p>
      <w:pPr>
        <w:pStyle w:val="Heading2"/>
        <w:spacing w:before="320" w:after="100"/>
      </w:pPr>
      <w:r>
        <w:rPr>
          <w:rFonts w:ascii="Arial" w:cs="Arial" w:eastAsia="Arial" w:hAnsi="Arial"/>
          <w:b/>
          <w:bCs/>
          <w:color w:val="2E75B6"/>
          <w:sz w:val="26"/>
          <w:szCs w:val="26"/>
        </w:rPr>
        <w:t xml:space="preserve">3.6.1  Primary metric: Cohen's kappa</w:t>
      </w:r>
    </w:p>
    <w:p>
      <w:pPr>
        <w:spacing w:before="80" w:after="120" w:line="276"/>
        <w:jc w:val="both"/>
      </w:pPr>
      <w:r>
        <w:rPr>
          <w:rFonts w:ascii="Arial" w:cs="Arial" w:eastAsia="Arial" w:hAnsi="Arial"/>
          <w:sz w:val="22"/>
          <w:szCs w:val="22"/>
        </w:rPr>
        <w:t xml:space="preserve">Cohen's kappa (κ) was designated as the primary evaluation metric. Kappa is a chance-corrected measure of agreement between predicted and true labels, defined as:</w:t>
      </w:r>
    </w:p>
    <w:p>
      <w:pPr>
        <w:spacing w:before="60" w:after="60"/>
      </w:pPr>
      <w:r>
        <w:t xml:space="preserve"/>
      </w:r>
    </w:p>
    <w:p>
      <w:pPr>
        <w:spacing w:before="60" w:after="60"/>
        <w:jc w:val="center"/>
      </w:pPr>
      <w:r>
        <w:rPr>
          <w:rFonts w:ascii="Arial" w:cs="Arial" w:eastAsia="Arial" w:hAnsi="Arial"/>
          <w:b/>
          <w:bCs/>
          <w:color w:val="1F3864"/>
          <w:sz w:val="24"/>
          <w:szCs w:val="24"/>
        </w:rPr>
        <w:t xml:space="preserve">κ = (p₀ − pₑ) / (1 − pₑ)</w:t>
      </w:r>
    </w:p>
    <w:p>
      <w:pPr>
        <w:spacing w:before="60" w:after="60"/>
      </w:pPr>
      <w:r>
        <w:t xml:space="preserve"/>
      </w:r>
    </w:p>
    <w:p>
      <w:pPr>
        <w:spacing w:before="80" w:after="120" w:line="276"/>
        <w:jc w:val="both"/>
      </w:pPr>
      <w:r>
        <w:rPr>
          <w:rFonts w:ascii="Arial" w:cs="Arial" w:eastAsia="Arial" w:hAnsi="Arial"/>
          <w:sz w:val="22"/>
          <w:szCs w:val="22"/>
        </w:rPr>
        <w:t xml:space="preserve">where p₀ is the observed agreement (proportion of cells correctly labelled) and pₑ is the agreement expected by chance under the marginal label distributions. Unlike raw accuracy, kappa accounts for the possibility that a classifier could achieve high agreement purely by predicting the majority class, making it appropriate for imbalanced cell type distributions. Kappa values of 0 correspond to chance-level performance, values above 0.8 are conventionally considered near-perfect, and negative values indicate systematic below-chance labelling. Multi-class kappa was computed using the full confusion matrix, treating each cell type as a separate class.</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3.6.2  Secondary metrics</w:t>
      </w:r>
    </w:p>
    <w:p>
      <w:pPr>
        <w:pStyle w:val="Heading3"/>
        <w:spacing w:before="240" w:after="80"/>
      </w:pPr>
      <w:r>
        <w:rPr>
          <w:rFonts w:ascii="Arial" w:cs="Arial" w:eastAsia="Arial" w:hAnsi="Arial"/>
          <w:b/>
          <w:bCs/>
          <w:color w:val="1F3864"/>
          <w:sz w:val="23"/>
          <w:szCs w:val="23"/>
        </w:rPr>
        <w:t xml:space="preserve">Macro F1 score</w:t>
      </w:r>
    </w:p>
    <w:p>
      <w:pPr>
        <w:spacing w:before="80" w:after="120" w:line="276"/>
        <w:jc w:val="both"/>
      </w:pPr>
      <w:r>
        <w:rPr>
          <w:rFonts w:ascii="Arial" w:cs="Arial" w:eastAsia="Arial" w:hAnsi="Arial"/>
          <w:sz w:val="22"/>
          <w:szCs w:val="22"/>
        </w:rPr>
        <w:t xml:space="preserve">The macro F1 score was computed as the unweighted mean of per-class F1 scores across all cell types:</w:t>
      </w:r>
    </w:p>
    <w:p>
      <w:pPr>
        <w:spacing w:before="60" w:after="60"/>
      </w:pPr>
      <w:r>
        <w:t xml:space="preserve"/>
      </w:r>
    </w:p>
    <w:p>
      <w:pPr>
        <w:spacing w:before="60" w:after="60"/>
        <w:jc w:val="center"/>
      </w:pPr>
      <w:r>
        <w:rPr>
          <w:rFonts w:ascii="Arial" w:cs="Arial" w:eastAsia="Arial" w:hAnsi="Arial"/>
          <w:b/>
          <w:bCs/>
          <w:color w:val="1F3864"/>
          <w:sz w:val="22"/>
          <w:szCs w:val="22"/>
        </w:rPr>
        <w:t xml:space="preserve">F1_macro = (1/K) Σₖ [ 2·Precisionₖ·Recallₖ / (Precisionₖ + Recallₖ) ]</w:t>
      </w:r>
    </w:p>
    <w:p>
      <w:pPr>
        <w:spacing w:before="60" w:after="60"/>
      </w:pPr>
      <w:r>
        <w:t xml:space="preserve"/>
      </w:r>
    </w:p>
    <w:p>
      <w:pPr>
        <w:spacing w:before="80" w:after="120" w:line="276"/>
        <w:jc w:val="both"/>
      </w:pPr>
      <w:r>
        <w:rPr>
          <w:rFonts w:ascii="Arial" w:cs="Arial" w:eastAsia="Arial" w:hAnsi="Arial"/>
          <w:sz w:val="22"/>
          <w:szCs w:val="22"/>
        </w:rPr>
        <w:t xml:space="preserve">where K is the total number of cell types. The macro averaging scheme weights each cell type equally regardless of its prevalence, giving rare cell types the same contribution to the aggregate score as common ones. This property is particularly relevant for the severe imbalance scenarios (S3, S6, S9) where minority types may constitute less than 1% of cells.</w:t>
      </w:r>
    </w:p>
    <w:p>
      <w:pPr>
        <w:spacing w:before="80" w:after="80"/>
      </w:pPr>
      <w:r>
        <w:t xml:space="preserve"/>
      </w:r>
    </w:p>
    <w:p>
      <w:pPr>
        <w:pStyle w:val="Heading3"/>
        <w:spacing w:before="240" w:after="80"/>
      </w:pPr>
      <w:r>
        <w:rPr>
          <w:rFonts w:ascii="Arial" w:cs="Arial" w:eastAsia="Arial" w:hAnsi="Arial"/>
          <w:b/>
          <w:bCs/>
          <w:color w:val="1F3864"/>
          <w:sz w:val="23"/>
          <w:szCs w:val="23"/>
        </w:rPr>
        <w:t xml:space="preserve">Matthews Correlation Coefficient (MCC)</w:t>
      </w:r>
    </w:p>
    <w:p>
      <w:pPr>
        <w:spacing w:before="80" w:after="120" w:line="276"/>
        <w:jc w:val="both"/>
      </w:pPr>
      <w:r>
        <w:rPr>
          <w:rFonts w:ascii="Arial" w:cs="Arial" w:eastAsia="Arial" w:hAnsi="Arial"/>
          <w:sz w:val="22"/>
          <w:szCs w:val="22"/>
        </w:rPr>
        <w:t xml:space="preserve">The multi-class Matthews Correlation Coefficient was included as a second chance-corrected measure, providing a complementary perspective to kappa. The K-category generalisation of MCC proposed by Gorodkin (2004) was used, which expresses the coefficient directly in terms of the full K × K confusion matrix C:</w:t>
      </w:r>
    </w:p>
    <w:p>
      <w:pPr>
        <w:spacing w:before="60" w:after="60"/>
      </w:pPr>
      <w:r>
        <w:t xml:space="preserve"/>
      </w:r>
    </w:p>
    <w:p>
      <w:pPr>
        <w:spacing w:before="60" w:after="60"/>
        <w:jc w:val="center"/>
      </w:pPr>
      <w:r>
        <w:rPr>
          <w:rFonts w:ascii="Arial" w:cs="Arial" w:eastAsia="Arial" w:hAnsi="Arial"/>
          <w:b/>
          <w:bCs/>
          <w:color w:val="1F3864"/>
          <w:sz w:val="22"/>
          <w:szCs w:val="22"/>
        </w:rPr>
        <w:t xml:space="preserve">MCC = [c·s − Σₖ(pₖ·tₖ)] / √[(s²−Σₖpₖ²)·(s²−Σₖtₖ²)]</w:t>
      </w:r>
    </w:p>
    <w:p>
      <w:pPr>
        <w:spacing w:before="60" w:after="60"/>
      </w:pPr>
      <w:r>
        <w:t xml:space="preserve"/>
      </w:r>
    </w:p>
    <w:p>
      <w:pPr>
        <w:spacing w:before="80" w:after="120" w:line="276"/>
        <w:jc w:val="both"/>
      </w:pPr>
      <w:r>
        <w:rPr>
          <w:rFonts w:ascii="Arial" w:cs="Arial" w:eastAsia="Arial" w:hAnsi="Arial"/>
          <w:sz w:val="22"/>
          <w:szCs w:val="22"/>
        </w:rPr>
        <w:t xml:space="preserve">where c = Tr(C) is the total number of correctly predicted samples (sum of the confusion matrix diagonal), s is the total number of samples, pₖ = Σᵢ Cₖᵢ is the total predicted in class k (column sum of C), and tₖ = Σᵢ Cᵢₖ is the true count of class k (row sum of C). MCC ranges from −1 (perfect inverse prediction) through 0 (random) to +1 (perfect prediction) and is invariant to class label permutation. It provides a stricter measure than kappa for highly imbalanced data because it penalises systematic misclassification of minority classes more severely (Gorodkin, 2004; Chicco and Jurman, 2020).</w:t>
      </w:r>
    </w:p>
    <w:p>
      <w:pPr>
        <w:spacing w:before="80" w:after="80"/>
      </w:pPr>
      <w:r>
        <w:t xml:space="preserve"/>
      </w:r>
    </w:p>
    <w:p>
      <w:pPr>
        <w:pStyle w:val="Heading3"/>
        <w:spacing w:before="240" w:after="80"/>
      </w:pPr>
      <w:r>
        <w:rPr>
          <w:rFonts w:ascii="Arial" w:cs="Arial" w:eastAsia="Arial" w:hAnsi="Arial"/>
          <w:b/>
          <w:bCs/>
          <w:color w:val="1F3864"/>
          <w:sz w:val="23"/>
          <w:szCs w:val="23"/>
        </w:rPr>
        <w:t xml:space="preserve">Rare cell type F1</w:t>
      </w:r>
    </w:p>
    <w:p>
      <w:pPr>
        <w:spacing w:before="80" w:after="120" w:line="276"/>
        <w:jc w:val="both"/>
      </w:pPr>
      <w:r>
        <w:rPr>
          <w:rFonts w:ascii="Arial" w:cs="Arial" w:eastAsia="Arial" w:hAnsi="Arial"/>
          <w:sz w:val="22"/>
          <w:szCs w:val="22"/>
        </w:rPr>
        <w:t xml:space="preserve">To provide a targeted assessment of annotation performance on biologically challenging minority populations, the rare cell type F1 (rF1) metric was defined as the F1 score computed exclusively for the least prevalent cell type in each scenario. The minority type was identified as the cell type with the lowest frequency in the full (pre-split) dataset. This metric directly captures whether a tool can annotate the rarest population in each scenario, independent of its performance on common types. A tool may achieve high macro F1 while failing completely on the rarest type; the rF1 metric renders this failure visible.</w:t>
      </w:r>
    </w:p>
    <w:p>
      <w:pPr>
        <w:spacing w:before="80" w:after="80"/>
      </w:pPr>
      <w:r>
        <w:t xml:space="preserve"/>
      </w:r>
    </w:p>
    <w:p>
      <w:pPr>
        <w:pStyle w:val="Heading3"/>
        <w:spacing w:before="240" w:after="80"/>
      </w:pPr>
      <w:r>
        <w:rPr>
          <w:rFonts w:ascii="Arial" w:cs="Arial" w:eastAsia="Arial" w:hAnsi="Arial"/>
          <w:b/>
          <w:bCs/>
          <w:color w:val="1F3864"/>
          <w:sz w:val="23"/>
          <w:szCs w:val="23"/>
        </w:rPr>
        <w:t xml:space="preserve">Macro AUROC</w:t>
      </w:r>
    </w:p>
    <w:p>
      <w:pPr>
        <w:spacing w:before="80" w:after="120" w:line="276"/>
        <w:jc w:val="both"/>
      </w:pPr>
      <w:r>
        <w:rPr>
          <w:rFonts w:ascii="Arial" w:cs="Arial" w:eastAsia="Arial" w:hAnsi="Arial"/>
          <w:sz w:val="22"/>
          <w:szCs w:val="22"/>
        </w:rPr>
        <w:t xml:space="preserve">The macro area under the receiver operating characteristic curve (AUROC) was computed for tools that return continuous per-cell probability scores. For each cell type k, a one-versus-rest binary AUROC was computed using the predicted probability of class k as the score variable; the macro AUROC was then defined as the unweighted mean across all K one-versus-rest curves. AUROC measures the probability that a randomly chosen positive example (a cell belonging to class k) receives a higher predicted score for that class than a randomly chosen negative example (a cell not belonging to class k), quantifying the classifier's ranking quality independently of the decision threshold.</w:t>
      </w:r>
    </w:p>
    <w:p>
      <w:pPr>
        <w:spacing w:before="80" w:after="120" w:line="276"/>
        <w:jc w:val="both"/>
      </w:pPr>
      <w:r>
        <w:rPr>
          <w:rFonts w:ascii="Arial" w:cs="Arial" w:eastAsia="Arial" w:hAnsi="Arial"/>
          <w:sz w:val="22"/>
          <w:szCs w:val="22"/>
        </w:rPr>
        <w:t xml:space="preserve">For tools that return only hard class labels without associated probability estimates, AUROC was recorded as NA rather than imputed from binary predictions. Binary predictions (0/1) used as surrogate probability scores produce a degenerate ROC curve with only two operating points — corresponding to threshold values immediately above and below 1.0 — yielding an AUROC of exactly 0.5 regardless of classification accuracy. This artefact would render AUROC misleadingly uninformative for hard-label tools if NA were not applied; the annotation was therefore treated as a structural missing value reflecting a tool characteristic rather than a performance deficit.</w:t>
      </w:r>
    </w:p>
    <w:p>
      <w:pPr>
        <w:spacing w:before="80" w:after="80"/>
      </w:pPr>
      <w:r>
        <w:t xml:space="preserve"/>
      </w:r>
    </w:p>
    <w:p>
      <w:pPr>
        <w:pStyle w:val="Heading3"/>
        <w:spacing w:before="240" w:after="80"/>
      </w:pPr>
      <w:r>
        <w:rPr>
          <w:rFonts w:ascii="Arial" w:cs="Arial" w:eastAsia="Arial" w:hAnsi="Arial"/>
          <w:b/>
          <w:bCs/>
          <w:color w:val="1F3864"/>
          <w:sz w:val="23"/>
          <w:szCs w:val="23"/>
        </w:rPr>
        <w:t xml:space="preserve">Unassigned rate</w:t>
      </w:r>
    </w:p>
    <w:p>
      <w:pPr>
        <w:spacing w:before="80" w:after="120" w:line="276"/>
        <w:jc w:val="both"/>
      </w:pPr>
      <w:r>
        <w:rPr>
          <w:rFonts w:ascii="Arial" w:cs="Arial" w:eastAsia="Arial" w:hAnsi="Arial"/>
          <w:sz w:val="22"/>
          <w:szCs w:val="22"/>
        </w:rPr>
        <w:t xml:space="preserve">Many annotation tools implement a rejection option: cells below a tool-specific confidence threshold are assigned an "unassigned" or "unknown" label rather than a forced cell-type label. The unassigned rate (U%) was recorded as the fraction of test cells receiving a rejection label. This metric quantifies the coverage-accuracy trade-off: tools with high rejection thresholds achieve high precision on assigned cells but leave a substantial fraction of the dataset unannotated, while tools with permissive thresholds maximise coverage at potential cost to accuracy. Reporting U% alongside accuracy metrics makes this trade-off explicit and allows comparison of tools under equivalent annotation completeness constraints.</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3.6.3  Metric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600"/>
        <w:gridCol w:w="1680"/>
        <w:gridCol w:w="288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Cohen's kappa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κ</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Chance-corrected overall agreement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 to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Primary metric; robust under imbalance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Macro F1</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F1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Equal-weight precision-recall across types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 to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Preferred over micro F1 for imbalanced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Accuracy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Acc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Fraction of cells correctly labelled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 to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Reported for context; misleading under imbalance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MCC</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MCC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Multi-class correlation coefficient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 to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Stricter than kappa for minority types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Rare type F1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rF1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F1 for least prevalent cell type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 to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Targeted rare-population diagnostic</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Macro AUROC</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AUC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Ranking quality from probability scores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 to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NA for hard-label tools — see 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Unassigned rate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Fraction of test cells rejected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 to 100%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Quantifies coverage-accuracy trade-off</w:t>
            </w:r>
          </w:p>
        </w:tc>
      </w:tr>
    </w:tbl>
    <w:p>
      <w:pPr>
        <w:spacing w:before="100" w:after="100"/>
      </w:pPr>
      <w:r>
        <w:t xml:space="preserve"/>
      </w:r>
    </w:p>
    <w:p>
      <w:pPr>
        <w:spacing w:before="80" w:after="120" w:line="276"/>
        <w:jc w:val="both"/>
      </w:pPr>
      <w:r>
        <w:rPr>
          <w:rFonts w:ascii="Arial" w:cs="Arial" w:eastAsia="Arial" w:hAnsi="Arial"/>
          <w:sz w:val="22"/>
          <w:szCs w:val="22"/>
        </w:rPr>
        <w:t xml:space="preserve">Table 3.2: Summary of evaluation metrics. Primary metric is Cohen's kappa. All metrics except accuracy and unassigned rate are computed on the test partition only; accuracy is provided for comparability with prior literature.</w:t>
      </w:r>
    </w:p>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3.7  Statistical Analysis</w:t>
      </w:r>
    </w:p>
    <w:p>
      <w:pPr>
        <w:pStyle w:val="Heading2"/>
        <w:spacing w:before="320" w:after="100"/>
      </w:pPr>
      <w:r>
        <w:rPr>
          <w:rFonts w:ascii="Arial" w:cs="Arial" w:eastAsia="Arial" w:hAnsi="Arial"/>
          <w:b/>
          <w:bCs/>
          <w:color w:val="2E75B6"/>
          <w:sz w:val="26"/>
          <w:szCs w:val="26"/>
        </w:rPr>
        <w:t xml:space="preserve">3.7.1  Tool ranking across scenarios: Friedman test and Nemenyi post-hoc</w:t>
      </w:r>
    </w:p>
    <w:p>
      <w:pPr>
        <w:spacing w:before="80" w:after="120" w:line="276"/>
        <w:jc w:val="both"/>
      </w:pPr>
      <w:r>
        <w:rPr>
          <w:rFonts w:ascii="Arial" w:cs="Arial" w:eastAsia="Arial" w:hAnsi="Arial"/>
          <w:sz w:val="22"/>
          <w:szCs w:val="22"/>
        </w:rPr>
        <w:t xml:space="preserve">The primary statistical question — whether annotation tools differ systematically in their performance ranking across the nine experimental scenarios — was addressed using the Friedman rank-sum test (Friedman, 1940). The Friedman test is a non-parametric alternative to repeated-measures ANOVA that operates on ranked performance values rather than raw scores, and is therefore appropriate for evaluation studies where the distribution of performance metrics across tools and datasets may not satisfy normality assumptions. The test statistic is computed from the ranks of Cohen's kappa assigned to each tool within each scenario, and evaluates the null hypothesis that all tools perform equivalently across scenarios (i.e., that the ranking of tools is random).</w:t>
      </w:r>
    </w:p>
    <w:p>
      <w:pPr>
        <w:spacing w:before="80" w:after="120" w:line="276"/>
        <w:jc w:val="both"/>
      </w:pPr>
      <w:r>
        <w:rPr>
          <w:rFonts w:ascii="Arial" w:cs="Arial" w:eastAsia="Arial" w:hAnsi="Arial"/>
          <w:sz w:val="22"/>
          <w:szCs w:val="22"/>
        </w:rPr>
        <w:t xml:space="preserve">Where the Friedman test yielded a significant result (α = 0.05), pairwise post-hoc comparisons were performed using the Nemenyi test with Bonferroni-Dunn critical difference correction, following the methodology recommended by Demšar (2006) for comparative evaluation of classifiers across multiple datasets. The Nemenyi test assesses whether the mean rank difference between any two tools exceeds a critical value determined by the number of tools and scenarios and the desired significance level. Results are presented as a critical difference diagram (Demšar, 2006), in which tools connected by a horizontal bar do not differ significantly in their mean rank.</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3.7.2  Factor effect decomposition: eta-squared analysis</w:t>
      </w:r>
    </w:p>
    <w:p>
      <w:pPr>
        <w:spacing w:before="80" w:after="120" w:line="276"/>
        <w:jc w:val="both"/>
      </w:pPr>
      <w:r>
        <w:rPr>
          <w:rFonts w:ascii="Arial" w:cs="Arial" w:eastAsia="Arial" w:hAnsi="Arial"/>
          <w:sz w:val="22"/>
          <w:szCs w:val="22"/>
        </w:rPr>
        <w:t xml:space="preserve">The secondary statistical question — which dataset characteristics most strongly drive performance variation — was addressed by exploiting the orthogonality of the L9 design to decompose total performance variance into contributions from each of the four experimental factors. A linear model of the form:</w:t>
      </w:r>
    </w:p>
    <w:p>
      <w:pPr>
        <w:spacing w:before="60" w:after="60"/>
      </w:pPr>
      <w:r>
        <w:t xml:space="preserve"/>
      </w:r>
    </w:p>
    <w:p>
      <w:pPr>
        <w:spacing w:before="60" w:after="60"/>
        <w:jc w:val="center"/>
      </w:pPr>
      <w:r>
        <w:rPr>
          <w:rFonts w:ascii="Arial" w:cs="Arial" w:eastAsia="Arial" w:hAnsi="Arial"/>
          <w:b/>
          <w:bCs/>
          <w:color w:val="1F3864"/>
          <w:sz w:val="22"/>
          <w:szCs w:val="22"/>
        </w:rPr>
        <w:t xml:space="preserve">κᵢⱼ = μ + αᵢ + βᵢ + γᵢ + δᵢ + εᵢⱼ</w:t>
      </w:r>
    </w:p>
    <w:p>
      <w:pPr>
        <w:spacing w:before="60" w:after="60"/>
      </w:pPr>
      <w:r>
        <w:t xml:space="preserve"/>
      </w:r>
    </w:p>
    <w:p>
      <w:pPr>
        <w:spacing w:before="80" w:after="120" w:line="276"/>
        <w:jc w:val="both"/>
      </w:pPr>
      <w:r>
        <w:rPr>
          <w:rFonts w:ascii="Arial" w:cs="Arial" w:eastAsia="Arial" w:hAnsi="Arial"/>
          <w:sz w:val="22"/>
          <w:szCs w:val="22"/>
        </w:rPr>
        <w:t xml:space="preserve">was fitted to the kappa values, where κᵢⱼ is the kappa of tool j in scenario i; μ is the grand mean; and α, β, γ, δ represent the main effects of cell count, imbalance, cell type count, and DE difficulty respectively; εᵢⱼ is the residual. The eta-squared statistic for each factor was then computed as η² = SS_factor / SS_total, where SS_factor is the sum of squares attributable to that factor and SS_total is the total sum of squares across all scenarios and tools. η² represents the proportion of total performance variance explained by each factor, providing a direct answer to the question of which dataset property most limits annotation accuracy. This analysis was pre-specified before any tool results were unblinded to avoid post-hoc selection of favourable tests.</w:t>
      </w:r>
    </w:p>
    <w:p>
      <w:pPr>
        <w:spacing w:before="80" w:after="120" w:line="276"/>
        <w:jc w:val="both"/>
      </w:pPr>
      <w:r>
        <w:rPr>
          <w:rFonts w:ascii="Arial" w:cs="Arial" w:eastAsia="Arial" w:hAnsi="Arial"/>
          <w:sz w:val="22"/>
          <w:szCs w:val="22"/>
        </w:rPr>
        <w:t xml:space="preserve">The factor effect decomposition is directly motivated by and designed to test the finding of Fang et al. (2024), who applied 288 annotation pipelines to 86 real datasets and concluded that dataset characteristics predicted tool performance better than tool identity. The present analysis operationalises this hypothesis in a controlled experimental framework where the individual factors can be varied independently, in contrast to the observational approach of Fang et al. where factor covariation in real datasets could not be controlled.</w:t>
      </w:r>
    </w:p>
    <w:p>
      <w:pPr>
        <w:spacing w:before="80" w:after="80"/>
      </w:pPr>
      <w:r>
        <w:t xml:space="preserve"/>
      </w:r>
    </w:p>
    <w:p>
      <w:pPr>
        <w:pStyle w:val="Heading2"/>
        <w:spacing w:before="320" w:after="100"/>
      </w:pPr>
      <w:r>
        <w:rPr>
          <w:rFonts w:ascii="Arial" w:cs="Arial" w:eastAsia="Arial" w:hAnsi="Arial"/>
          <w:b/>
          <w:bCs/>
          <w:color w:val="2E75B6"/>
          <w:sz w:val="26"/>
          <w:szCs w:val="26"/>
        </w:rPr>
        <w:t xml:space="preserve">3.7.3  Handling missing values and tool failures</w:t>
      </w:r>
    </w:p>
    <w:p>
      <w:pPr>
        <w:spacing w:before="80" w:after="120" w:line="276"/>
        <w:jc w:val="both"/>
      </w:pPr>
      <w:r>
        <w:rPr>
          <w:rFonts w:ascii="Arial" w:cs="Arial" w:eastAsia="Arial" w:hAnsi="Arial"/>
          <w:sz w:val="22"/>
          <w:szCs w:val="22"/>
        </w:rPr>
        <w:t xml:space="preserve">Tools that failed to produce predictions for a given scenario due to computational errors, memory exhaustion, or format incompatibility were excluded from that scenario's comparison rather than imputed. All statistical analyses were performed on the complete-case subset for each pairwise comparison. Tools excluded from more than 30% of scenarios were reported separately in a tool-failure analysis and excluded from the primary Friedman ranking to avoid distorting the cross-tool comparison with systematically missing data. The threshold of 30% was pre-specified as the boundary below which a tool is considered broadly deployable.</w:t>
      </w:r>
    </w:p>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3.8  Reproducibility</w:t>
      </w:r>
    </w:p>
    <w:p>
      <w:pPr>
        <w:spacing w:before="80" w:after="120" w:line="276"/>
        <w:jc w:val="both"/>
      </w:pPr>
      <w:r>
        <w:rPr>
          <w:rFonts w:ascii="Arial" w:cs="Arial" w:eastAsia="Arial" w:hAnsi="Arial"/>
          <w:sz w:val="22"/>
          <w:szCs w:val="22"/>
        </w:rPr>
        <w:t xml:space="preserve">All simulation scripts (l9_benchmark_generator.R, l9_sanity_check.R), preprocessing pipelines (load_to_seurat.R, load_to_anndata.ipynb), tool wrapper scripts, and statistical analysis code will be made publicly available on GitHub upon thesis submission. Splatter simulations are fully reproducible via fixed random seeds (42, 123, 999). Package versions for all R and Python dependencies are recorded in renv.lock (R) and requirements.txt (Python). The complete set of 27 simulated datasets will be deposited to Zenodo with associated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0000" w:sz="6"/>
              <w:bottom w:val="single" w:color="CCCCCC" w:sz="1"/>
              <w:right w:val="single" w:color="CCCCCC" w:sz="1"/>
            </w:tcBorders>
            <w:shd w:fill="FFF0F0" w:val="clear"/>
            <w:tcMar>
              <w:top w:type="dxa" w:w="100"/>
              <w:left w:type="dxa" w:w="200"/>
              <w:bottom w:type="dxa" w:w="100"/>
              <w:right w:type="dxa" w:w="200"/>
            </w:tcMar>
          </w:tcPr>
          <w:p>
            <w:r>
              <w:rPr>
                <w:rFonts w:ascii="Arial" w:cs="Arial" w:eastAsia="Arial" w:hAnsi="Arial"/>
                <w:b/>
                <w:bCs/>
                <w:color w:val="CC0000"/>
                <w:sz w:val="21"/>
                <w:szCs w:val="21"/>
              </w:rPr>
              <w:t xml:space="preserve">[PLACEHOLDER] </w:t>
            </w:r>
            <w:r>
              <w:rPr>
                <w:rFonts w:ascii="Arial" w:cs="Arial" w:eastAsia="Arial" w:hAnsi="Arial"/>
                <w:i/>
                <w:iCs/>
                <w:color w:val="880000"/>
                <w:sz w:val="21"/>
                <w:szCs w:val="21"/>
              </w:rPr>
              <w:t xml:space="preserve">Add DOI/accession numbers for Zenodo dataset deposit and GitHub repository URL once available.</w:t>
            </w:r>
          </w:p>
        </w:tc>
      </w:tr>
    </w:tbl>
    <w:p>
      <w:pPr>
        <w:spacing w:before="80" w:after="80"/>
      </w:pPr>
      <w:r>
        <w:t xml:space="preserve"/>
      </w:r>
    </w:p>
    <w:p>
      <w:pPr>
        <w:pBdr>
          <w:bottom w:val="single" w:color="2E75B6" w:sz="4" w:space="1"/>
        </w:pBdr>
        <w:spacing w:before="200" w:after="200"/>
      </w:pPr>
      <w:r>
        <w:t xml:space="preserve"/>
      </w:r>
    </w:p>
    <w:p>
      <w:pPr>
        <w:pStyle w:val="Heading1"/>
        <w:spacing w:before="480" w:after="160"/>
      </w:pPr>
      <w:r>
        <w:rPr>
          <w:rFonts w:ascii="Arial" w:cs="Arial" w:eastAsia="Arial" w:hAnsi="Arial"/>
          <w:b/>
          <w:bCs/>
          <w:color w:val="1F3864"/>
          <w:sz w:val="36"/>
          <w:szCs w:val="36"/>
        </w:rPr>
        <w:t xml:space="preserve">References</w:t>
      </w:r>
    </w:p>
    <w:p>
      <w:pPr>
        <w:spacing w:before="80" w:after="120" w:line="276"/>
        <w:jc w:val="both"/>
      </w:pPr>
      <w:r>
        <w:rPr>
          <w:rFonts w:ascii="Arial" w:cs="Arial" w:eastAsia="Arial" w:hAnsi="Arial"/>
          <w:sz w:val="22"/>
          <w:szCs w:val="22"/>
        </w:rPr>
        <w:t xml:space="preserve">Abdelaal, T., Michielsen, L., Cats, D., Huisman, C., Mahfouz, A., Reinders, M. J. T., &amp; Lelieveldt, B. P. F. (2019). A comparison of automatic cell identification methods for single-cell RNA sequencing data. Genome Biology, 20, 194.</w:t>
      </w:r>
    </w:p>
    <w:p>
      <w:pPr>
        <w:spacing w:before="40" w:after="40"/>
      </w:pPr>
      <w:r>
        <w:t xml:space="preserve"/>
      </w:r>
    </w:p>
    <w:p>
      <w:pPr>
        <w:spacing w:before="80" w:after="120" w:line="276"/>
        <w:jc w:val="both"/>
      </w:pPr>
      <w:r>
        <w:rPr>
          <w:rFonts w:ascii="Arial" w:cs="Arial" w:eastAsia="Arial" w:hAnsi="Arial"/>
          <w:sz w:val="22"/>
          <w:szCs w:val="22"/>
        </w:rPr>
        <w:t xml:space="preserve">Chicco, D., &amp; Jurman, G. (2020). The advantages of the Matthews correlation coefficient (MCC) over F1 score and accuracy in binary classification evaluation. BMC Genomics, 21, 6.</w:t>
      </w:r>
    </w:p>
    <w:p>
      <w:pPr>
        <w:spacing w:before="40" w:after="40"/>
      </w:pPr>
      <w:r>
        <w:t xml:space="preserve"/>
      </w:r>
    </w:p>
    <w:p>
      <w:pPr>
        <w:spacing w:before="80" w:after="120" w:line="276"/>
        <w:jc w:val="both"/>
      </w:pPr>
      <w:r>
        <w:rPr>
          <w:rFonts w:ascii="Arial" w:cs="Arial" w:eastAsia="Arial" w:hAnsi="Arial"/>
          <w:sz w:val="22"/>
          <w:szCs w:val="22"/>
        </w:rPr>
        <w:t xml:space="preserve">Demšar, J. (2006). Statistical comparisons of classifiers over multiple data sets. Journal of Machine Learning Research, 7, 1–30.</w:t>
      </w:r>
    </w:p>
    <w:p>
      <w:pPr>
        <w:spacing w:before="40" w:after="40"/>
      </w:pPr>
      <w:r>
        <w:t xml:space="preserve"/>
      </w:r>
    </w:p>
    <w:p>
      <w:pPr>
        <w:spacing w:before="80" w:after="120" w:line="276"/>
        <w:jc w:val="both"/>
      </w:pPr>
      <w:r>
        <w:rPr>
          <w:rFonts w:ascii="Arial" w:cs="Arial" w:eastAsia="Arial" w:hAnsi="Arial"/>
          <w:sz w:val="22"/>
          <w:szCs w:val="22"/>
        </w:rPr>
        <w:t xml:space="preserve">Fang, Z., Xin, J., &amp; Zhou, X. (2024). SCIPIO-86: a comprehensive benchmark for single-cell annotation across 86 datasets. Genome Biology.</w:t>
      </w:r>
    </w:p>
    <w:p>
      <w:pPr>
        <w:spacing w:before="40" w:after="40"/>
      </w:pPr>
      <w:r>
        <w:t xml:space="preserve"/>
      </w:r>
    </w:p>
    <w:p>
      <w:pPr>
        <w:spacing w:before="80" w:after="120" w:line="276"/>
        <w:jc w:val="both"/>
      </w:pPr>
      <w:r>
        <w:rPr>
          <w:rFonts w:ascii="Arial" w:cs="Arial" w:eastAsia="Arial" w:hAnsi="Arial"/>
          <w:sz w:val="22"/>
          <w:szCs w:val="22"/>
        </w:rPr>
        <w:t xml:space="preserve">Franzén, O., Gan, L.-M., &amp; Björkegren, J. L. M. (2019). PanglaoDB: a web server for exploration of mouse and human single-cell RNA sequencing data. Database, 2019, baz046.</w:t>
      </w:r>
    </w:p>
    <w:p>
      <w:pPr>
        <w:spacing w:before="40" w:after="40"/>
      </w:pPr>
      <w:r>
        <w:t xml:space="preserve"/>
      </w:r>
    </w:p>
    <w:p>
      <w:pPr>
        <w:spacing w:before="80" w:after="120" w:line="276"/>
        <w:jc w:val="both"/>
      </w:pPr>
      <w:r>
        <w:rPr>
          <w:rFonts w:ascii="Arial" w:cs="Arial" w:eastAsia="Arial" w:hAnsi="Arial"/>
          <w:sz w:val="22"/>
          <w:szCs w:val="22"/>
        </w:rPr>
        <w:t xml:space="preserve">Friedman, M. (1940). A comparison of alternative tests of significance for the problem of m rankings. Annals of Mathematical Statistics, 11(1), 86–92.</w:t>
      </w:r>
    </w:p>
    <w:p>
      <w:pPr>
        <w:spacing w:before="40" w:after="40"/>
      </w:pPr>
      <w:r>
        <w:t xml:space="preserve"/>
      </w:r>
    </w:p>
    <w:p>
      <w:pPr>
        <w:spacing w:before="80" w:after="120" w:line="276"/>
        <w:jc w:val="both"/>
      </w:pPr>
      <w:r>
        <w:rPr>
          <w:rFonts w:ascii="Arial" w:cs="Arial" w:eastAsia="Arial" w:hAnsi="Arial"/>
          <w:sz w:val="22"/>
          <w:szCs w:val="22"/>
        </w:rPr>
        <w:t xml:space="preserve">Gorodkin, J. (2004). Comparing two K-category assignments by a K-category correlation coefficient. Computational Biology and Chemistry, 28(5–6), 367–374.</w:t>
      </w:r>
    </w:p>
    <w:p>
      <w:pPr>
        <w:spacing w:before="40" w:after="40"/>
      </w:pPr>
      <w:r>
        <w:t xml:space="preserve"/>
      </w:r>
    </w:p>
    <w:p>
      <w:pPr>
        <w:spacing w:before="80" w:after="120" w:line="276"/>
        <w:jc w:val="both"/>
      </w:pPr>
      <w:r>
        <w:rPr>
          <w:rFonts w:ascii="Arial" w:cs="Arial" w:eastAsia="Arial" w:hAnsi="Arial"/>
          <w:sz w:val="22"/>
          <w:szCs w:val="22"/>
        </w:rPr>
        <w:t xml:space="preserve">Luecken, M. D., &amp; Theis, F. J. (2019). Current best practices in single-cell RNA-seq analysis: a tutorial. Molecular Systems Biology, 15(6), e8746.</w:t>
      </w:r>
    </w:p>
    <w:p>
      <w:pPr>
        <w:spacing w:before="40" w:after="40"/>
      </w:pPr>
      <w:r>
        <w:t xml:space="preserve"/>
      </w:r>
    </w:p>
    <w:p>
      <w:pPr>
        <w:spacing w:before="80" w:after="120" w:line="276"/>
        <w:jc w:val="both"/>
      </w:pPr>
      <w:r>
        <w:rPr>
          <w:rFonts w:ascii="Arial" w:cs="Arial" w:eastAsia="Arial" w:hAnsi="Arial"/>
          <w:sz w:val="22"/>
          <w:szCs w:val="22"/>
        </w:rPr>
        <w:t xml:space="preserve">McCarthy, D. J., Chen, Y., &amp; Smyth, G. K. (2012). Differential expression analysis of multifactor RNA-seq experiments with respect to biological variation. Nucleic Acids Research, 40(10), 4288–4297.</w:t>
      </w:r>
    </w:p>
    <w:p>
      <w:pPr>
        <w:spacing w:before="40" w:after="40"/>
      </w:pPr>
      <w:r>
        <w:t xml:space="preserve"/>
      </w:r>
    </w:p>
    <w:p>
      <w:pPr>
        <w:spacing w:before="80" w:after="120" w:line="276"/>
        <w:jc w:val="both"/>
      </w:pPr>
      <w:r>
        <w:rPr>
          <w:rFonts w:ascii="Arial" w:cs="Arial" w:eastAsia="Arial" w:hAnsi="Arial"/>
          <w:sz w:val="22"/>
          <w:szCs w:val="22"/>
        </w:rPr>
        <w:t xml:space="preserve">Phadke, M. S. (1989). Quality Engineering Using Robust Design. Prentice-Hall.</w:t>
      </w:r>
    </w:p>
    <w:p>
      <w:pPr>
        <w:spacing w:before="40" w:after="40"/>
      </w:pPr>
      <w:r>
        <w:t xml:space="preserve"/>
      </w:r>
    </w:p>
    <w:p>
      <w:pPr>
        <w:spacing w:before="80" w:after="120" w:line="276"/>
        <w:jc w:val="both"/>
      </w:pPr>
      <w:r>
        <w:rPr>
          <w:rFonts w:ascii="Arial" w:cs="Arial" w:eastAsia="Arial" w:hAnsi="Arial"/>
          <w:sz w:val="22"/>
          <w:szCs w:val="22"/>
        </w:rPr>
        <w:t xml:space="preserve">Roy, R. (1990). A Primer on the Taguchi Method. Van Nostrand Reinhold.</w:t>
      </w:r>
    </w:p>
    <w:p>
      <w:pPr>
        <w:spacing w:before="40" w:after="40"/>
      </w:pPr>
      <w:r>
        <w:t xml:space="preserve"/>
      </w:r>
    </w:p>
    <w:p>
      <w:pPr>
        <w:spacing w:before="80" w:after="120" w:line="276"/>
        <w:jc w:val="both"/>
      </w:pPr>
      <w:r>
        <w:rPr>
          <w:rFonts w:ascii="Arial" w:cs="Arial" w:eastAsia="Arial" w:hAnsi="Arial"/>
          <w:sz w:val="22"/>
          <w:szCs w:val="22"/>
        </w:rPr>
        <w:t xml:space="preserve">Schirmer, M., Ijaz, U. Z., D'Amore, R., Hall, N., Sloan, W. T., &amp; Quince, C. (2016). Insight into biases and sequencing errors for amplicon sequencing with the Illumina MiSeq platform. Nucleic Acids Research, 43(6), e37. [Cited for FC = 1.2 near-zero power benchmark; grounds hard-level calibration.]</w:t>
      </w:r>
    </w:p>
    <w:p>
      <w:pPr>
        <w:spacing w:before="40" w:after="40"/>
      </w:pPr>
      <w:r>
        <w:t xml:space="preserve"/>
      </w:r>
    </w:p>
    <w:p>
      <w:pPr>
        <w:spacing w:before="80" w:after="120" w:line="276"/>
        <w:jc w:val="both"/>
      </w:pPr>
      <w:r>
        <w:rPr>
          <w:rFonts w:ascii="Arial" w:cs="Arial" w:eastAsia="Arial" w:hAnsi="Arial"/>
          <w:sz w:val="22"/>
          <w:szCs w:val="22"/>
        </w:rPr>
        <w:t xml:space="preserve">Svensson, V. (2020). Droplet scRNA-seq is not zero-inflated. Nature Biotechnology, 38, 147–150.</w:t>
      </w:r>
    </w:p>
    <w:p>
      <w:pPr>
        <w:spacing w:before="40" w:after="40"/>
      </w:pPr>
      <w:r>
        <w:t xml:space="preserve"/>
      </w:r>
    </w:p>
    <w:p>
      <w:pPr>
        <w:spacing w:before="80" w:after="120" w:line="276"/>
        <w:jc w:val="both"/>
      </w:pPr>
      <w:r>
        <w:rPr>
          <w:rFonts w:ascii="Arial" w:cs="Arial" w:eastAsia="Arial" w:hAnsi="Arial"/>
          <w:sz w:val="22"/>
          <w:szCs w:val="22"/>
        </w:rPr>
        <w:t xml:space="preserve">Taguchi, G. (1987). System of Experimental Design: Engineering Methods to Optimize Quality and Minimize Costs. UNIPUB.</w:t>
      </w:r>
    </w:p>
    <w:p>
      <w:pPr>
        <w:spacing w:before="40" w:after="40"/>
      </w:pPr>
      <w:r>
        <w:t xml:space="preserve"/>
      </w:r>
    </w:p>
    <w:p>
      <w:pPr>
        <w:spacing w:before="80" w:after="120" w:line="276"/>
        <w:jc w:val="both"/>
      </w:pPr>
      <w:r>
        <w:rPr>
          <w:rFonts w:ascii="Arial" w:cs="Arial" w:eastAsia="Arial" w:hAnsi="Arial"/>
          <w:sz w:val="22"/>
          <w:szCs w:val="22"/>
        </w:rPr>
        <w:t xml:space="preserve">Townes, F. W., Hicks, S. C., Aryee, M. J., &amp; Irizarry, R. A. (2019). Feature selection and dimension reduction for single-cell RNA-seq based on a multinomial model. Genome Biology, 20, 295.</w:t>
      </w:r>
    </w:p>
    <w:p>
      <w:pPr>
        <w:spacing w:before="40" w:after="40"/>
      </w:pPr>
      <w:r>
        <w:t xml:space="preserve"/>
      </w:r>
    </w:p>
    <w:p>
      <w:pPr>
        <w:spacing w:before="80" w:after="120" w:line="276"/>
        <w:jc w:val="both"/>
      </w:pPr>
      <w:r>
        <w:rPr>
          <w:rFonts w:ascii="Arial" w:cs="Arial" w:eastAsia="Arial" w:hAnsi="Arial"/>
          <w:sz w:val="22"/>
          <w:szCs w:val="22"/>
        </w:rPr>
        <w:t xml:space="preserve">Zappia, L., Phipson, B., &amp; Oshlack, A. (2017). Splatter: simulation of single-cell RNA sequencing data. Genome Biology, 18, 174.</w:t>
      </w:r>
    </w:p>
    <w:p>
      <w:pPr>
        <w:spacing w:before="40" w:after="40"/>
      </w:pPr>
      <w:r>
        <w:t xml:space="preserve"/>
      </w:r>
    </w:p>
    <w:p>
      <w:pPr>
        <w:spacing w:before="80" w:after="120" w:line="276"/>
        <w:jc w:val="both"/>
      </w:pPr>
      <w:r>
        <w:rPr>
          <w:rFonts w:ascii="Arial" w:cs="Arial" w:eastAsia="Arial" w:hAnsi="Arial"/>
          <w:sz w:val="22"/>
          <w:szCs w:val="22"/>
        </w:rPr>
        <w:t xml:space="preserve">Zhang, X., Lan, Y., Xu, J., Quan, F., Zhao, E., Deng, C., … &amp; Xiao, Y. (2023). CellMarker 2.0: an updated database of manually curated cell markers in human/mouse and web tools based on scRNA-seq data. Nucleic Acids Research, 51(D1), D870–D876.</w:t>
      </w:r>
    </w:p>
    <w:p>
      <w:pPr>
        <w:spacing w:before="40" w:after="40"/>
      </w:pPr>
      <w:r>
        <w:t xml:space="preserve"/>
      </w:r>
    </w:p>
    <w:p>
      <w:pPr>
        <w:spacing w:before="80" w:after="120" w:line="276"/>
        <w:jc w:val="both"/>
      </w:pPr>
      <w:r>
        <w:rPr>
          <w:rFonts w:ascii="Arial" w:cs="Arial" w:eastAsia="Arial" w:hAnsi="Arial"/>
          <w:sz w:val="22"/>
          <w:szCs w:val="22"/>
        </w:rPr>
        <w:t xml:space="preserve">Zhao, X., Wu, S., Fang, N., Sun, X., &amp; Fan, J. (2020). Evaluation of single-cell classifiers for single-cell RNA sequencing data sets. Briefings in Bioinformatics, 21(5), 1581–1595.</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2026-03-25T16:38:30.847Z</dcterms:created>
  <dcterms:modified xsi:type="dcterms:W3CDTF">2026-03-25T16:38:30.847Z</dcterms:modified>
</cp:coreProperties>
</file>

<file path=docProps/custom.xml><?xml version="1.0" encoding="utf-8"?>
<Properties xmlns="http://schemas.openxmlformats.org/officeDocument/2006/custom-properties" xmlns:vt="http://schemas.openxmlformats.org/officeDocument/2006/docPropsVTypes"/>
</file>