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4057"/>
          <w:sz w:val="44"/>
          <w:szCs w:val="44"/>
        </w:rPr>
        <w:t xml:space="preserve">Structural Signatures of Interpretability Failure:</w:t>
      </w:r>
    </w:p>
    <w:p>
      <w:pPr>
        <w:spacing w:after="600"/>
        <w:jc w:val="center"/>
      </w:pPr>
      <w:r>
        <w:rPr>
          <w:rFonts w:ascii="Arial" w:cs="Arial" w:eastAsia="Arial" w:hAnsi="Arial"/>
          <w:b/>
          <w:bCs/>
          <w:color w:val="2E4057"/>
          <w:sz w:val="40"/>
          <w:szCs w:val="40"/>
        </w:rPr>
        <w:t xml:space="preserve">Mining Attribution Graphs to Detect Superposition</w:t>
      </w:r>
    </w:p>
    <w:p>
      <w:pPr>
        <w:spacing w:after="100"/>
        <w:jc w:val="center"/>
      </w:pPr>
      <w:r>
        <w:rPr>
          <w:rFonts w:ascii="Arial" w:cs="Arial" w:eastAsia="Arial" w:hAnsi="Arial"/>
          <w:i/>
          <w:iCs/>
          <w:color w:val="666666"/>
          <w:sz w:val="26"/>
          <w:szCs w:val="26"/>
        </w:rPr>
        <w:t xml:space="preserve">A Data Mining Approach to Mechanistic Interpretability</w:t>
      </w:r>
    </w:p>
    <w:p>
      <w:pPr>
        <w:spacing w:before="1200"/>
      </w:pPr>
    </w:p>
    <w:p>
      <w:pPr>
        <w:spacing w:after="100"/>
        <w:jc w:val="center"/>
      </w:pPr>
      <w:r>
        <w:rPr>
          <w:rFonts w:ascii="Arial" w:cs="Arial" w:eastAsia="Arial" w:hAnsi="Arial"/>
          <w:sz w:val="24"/>
          <w:szCs w:val="24"/>
        </w:rPr>
        <w:t xml:space="preserve">Author: O</w:t>
      </w:r>
    </w:p>
    <w:p>
      <w:pPr>
        <w:spacing w:after="100"/>
        <w:jc w:val="center"/>
      </w:pPr>
      <w:r>
        <w:rPr>
          <w:rFonts w:ascii="Arial" w:cs="Arial" w:eastAsia="Arial" w:hAnsi="Arial"/>
          <w:sz w:val="24"/>
          <w:szCs w:val="24"/>
        </w:rPr>
        <w:t xml:space="preserve">Course: Data Mining</w:t>
      </w:r>
    </w:p>
    <w:p>
      <w:pPr>
        <w:spacing w:after="100"/>
        <w:jc w:val="center"/>
      </w:pPr>
      <w:r>
        <w:rPr>
          <w:rFonts w:ascii="Arial" w:cs="Arial" w:eastAsia="Arial" w:hAnsi="Arial"/>
          <w:sz w:val="24"/>
          <w:szCs w:val="24"/>
        </w:rPr>
        <w:t xml:space="preserve">Date: March 2026</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sz w:val="32"/>
          <w:szCs w:val="32"/>
        </w:rPr>
        <w:t xml:space="preserve">Abstract</w:t>
      </w:r>
    </w:p>
    <w:p>
      <w:pPr>
        <w:spacing w:after="160" w:line="320"/>
      </w:pPr>
      <w:r>
        <w:rPr>
          <w:rFonts w:ascii="Arial" w:cs="Arial" w:eastAsia="Arial" w:hAnsi="Arial"/>
          <w:sz w:val="22"/>
          <w:szCs w:val="22"/>
        </w:rPr>
        <w:t xml:space="preserve">Modern large language models exhibit superposition, a phenomenon where neural network features share dimensional representations, making individual features difficult to isolate and interpret. While Anthropic and other labs have developed circuit-tracing tools to extract attribution graphs that map information flow through neural networks, there is no established method to determine from the graph structure alone whether the underlying computation is interpretable. This project applies data mining and graph neural network techniques to attribution graphs extracted from Gemma-2-2B using Anthropic’s open-source circuit-tracer library. We compute 34 structural graph metrics across 375 synthetic and 30 real attribution graphs, discovering that metrics such as tree-likeness, cycle density, modularity, and spectral gap are highly predictive of interpretability. We further train a Graph Attention Network (GAT) that learns to predict interpretability scores directly from graph topology, achieving strong performance on held-out test data. Our hybrid model, combining learned graph representations with hand-crafted structural features, demonstrates that both sources of information are complementary. These results suggest that structural graph mining can serve as a scalable, automated diagnostic for interpretability quality in neural networks.</w:t>
      </w:r>
    </w:p>
    <w:p>
      <w:r>
        <w:br w:type="page"/>
      </w:r>
    </w:p>
    <w:p>
      <w:pPr>
        <w:pStyle w:val="Heading1"/>
        <w:spacing w:after="200" w:before="360"/>
      </w:pPr>
      <w:r>
        <w:rPr>
          <w:rFonts w:ascii="Arial" w:cs="Arial" w:eastAsia="Arial" w:hAnsi="Arial"/>
          <w:b/>
          <w:bCs/>
          <w:sz w:val="32"/>
          <w:szCs w:val="32"/>
        </w:rPr>
        <w:t xml:space="preserve">1. Background</w:t>
      </w:r>
    </w:p>
    <w:p>
      <w:pPr>
        <w:pStyle w:val="Heading2"/>
        <w:spacing w:after="200" w:before="240"/>
      </w:pPr>
      <w:r>
        <w:rPr>
          <w:rFonts w:ascii="Arial" w:cs="Arial" w:eastAsia="Arial" w:hAnsi="Arial"/>
          <w:b/>
          <w:bCs/>
          <w:sz w:val="28"/>
          <w:szCs w:val="28"/>
        </w:rPr>
        <w:t xml:space="preserve">1.1 Mechanistic Interpretability</w:t>
      </w:r>
    </w:p>
    <w:p>
      <w:pPr>
        <w:spacing w:after="160" w:line="320"/>
      </w:pPr>
      <w:r>
        <w:rPr>
          <w:rFonts w:ascii="Arial" w:cs="Arial" w:eastAsia="Arial" w:hAnsi="Arial"/>
          <w:sz w:val="22"/>
          <w:szCs w:val="22"/>
        </w:rPr>
        <w:t xml:space="preserve">Mechanistic interpretability aims to reverse-engineer the internal computations of neural networks by identifying meaningful features and the circuits that connect them. Unlike black-box interpretability methods (e.g., LIME, SHAP) that explain model behavior through input perturbation, mechanistic interpretability seeks to understand the actual algorithms implemented by the network’s weights and activations. This approach has gained significant traction following breakthroughs by Anthropic, DeepMind, and OpenAI in identifying features like induction heads, factual recall circuits, and safety-relevant computations within large language models.</w:t>
      </w:r>
    </w:p>
    <w:p>
      <w:pPr>
        <w:pStyle w:val="Heading2"/>
        <w:spacing w:after="200" w:before="240"/>
      </w:pPr>
      <w:r>
        <w:rPr>
          <w:rFonts w:ascii="Arial" w:cs="Arial" w:eastAsia="Arial" w:hAnsi="Arial"/>
          <w:b/>
          <w:bCs/>
          <w:sz w:val="28"/>
          <w:szCs w:val="28"/>
        </w:rPr>
        <w:t xml:space="preserve">1.2 Attribution Graphs and Circuit Tracing</w:t>
      </w:r>
    </w:p>
    <w:p>
      <w:pPr>
        <w:spacing w:after="160" w:line="320"/>
      </w:pPr>
      <w:r>
        <w:rPr>
          <w:rFonts w:ascii="Arial" w:cs="Arial" w:eastAsia="Arial" w:hAnsi="Arial"/>
          <w:sz w:val="22"/>
          <w:szCs w:val="22"/>
        </w:rPr>
        <w:t xml:space="preserve">Attribution graphs are directed graphs that represent how information flows through a neural network during a specific computation. Each node represents a feature (a specific neuron or transcoder direction that activates in response to a meaningful pattern), and each directed edge represents how one feature influences another downstream. Anthropic’s circuit-tracer library generates these graphs by tracing the causal influence of each feature through the network, producing a complete map of the computation for a given input prompt. The resulting graph typically contains hundreds of feature nodes organized by network layer, with weighted edges representing the strength of influence between features.</w:t>
      </w:r>
    </w:p>
    <w:p>
      <w:pPr>
        <w:pStyle w:val="Heading2"/>
        <w:spacing w:after="200" w:before="240"/>
      </w:pPr>
      <w:r>
        <w:rPr>
          <w:rFonts w:ascii="Arial" w:cs="Arial" w:eastAsia="Arial" w:hAnsi="Arial"/>
          <w:b/>
          <w:bCs/>
          <w:sz w:val="28"/>
          <w:szCs w:val="28"/>
        </w:rPr>
        <w:t xml:space="preserve">1.3 The Superposition Problem</w:t>
      </w:r>
    </w:p>
    <w:p>
      <w:pPr>
        <w:spacing w:after="160" w:line="320"/>
      </w:pPr>
      <w:r>
        <w:rPr>
          <w:rFonts w:ascii="Arial" w:cs="Arial" w:eastAsia="Arial" w:hAnsi="Arial"/>
          <w:sz w:val="22"/>
          <w:szCs w:val="22"/>
        </w:rPr>
        <w:t xml:space="preserve">Superposition occurs when a neural network represents more features than it has dimensions, causing features to share the same representational space. Elhage et al. (2022) demonstrated in “Toy Models of Superposition” that neural networks routinely pack more concepts into their representations than they have neurons, using approximate orthogonal arrangements. This creates a fundamental challenge for interpretability: when features overlap, their attribution graphs become tangled and difficult to decompose into clean, understandable circuits. A key open question is whether it is possible to detect superposition from the structure of an attribution graph alone, without requiring access to the model’s internal representations.</w:t>
      </w:r>
    </w:p>
    <w:p>
      <w:pPr>
        <w:pStyle w:val="Heading2"/>
        <w:spacing w:after="200" w:before="240"/>
      </w:pPr>
      <w:r>
        <w:rPr>
          <w:rFonts w:ascii="Arial" w:cs="Arial" w:eastAsia="Arial" w:hAnsi="Arial"/>
          <w:b/>
          <w:bCs/>
          <w:sz w:val="28"/>
          <w:szCs w:val="28"/>
        </w:rPr>
        <w:t xml:space="preserve">1.4 Graph Mining for Neural Network Analysis</w:t>
      </w:r>
    </w:p>
    <w:p>
      <w:pPr>
        <w:spacing w:after="160" w:line="320"/>
      </w:pPr>
      <w:r>
        <w:rPr>
          <w:rFonts w:ascii="Arial" w:cs="Arial" w:eastAsia="Arial" w:hAnsi="Arial"/>
          <w:sz w:val="22"/>
          <w:szCs w:val="22"/>
        </w:rPr>
        <w:t xml:space="preserve">Graph mining techniques, including community detection, motif analysis, spectral methods, and graph neural networks, have been extensively applied in biology (protein interaction networks), social science (social networks), and computer science (program analysis). However, their application to neural network attribution graphs is novel. This project bridges the gap by treating attribution graphs as a data mining problem: we compute structural metrics, discover patterns, and train predictive models, applying the full data mining pipeline to a cutting-edge interpretability challenge.</w:t>
      </w:r>
    </w:p>
    <w:p>
      <w:pPr>
        <w:pStyle w:val="Heading2"/>
        <w:spacing w:after="200" w:before="240"/>
      </w:pPr>
      <w:r>
        <w:rPr>
          <w:rFonts w:ascii="Arial" w:cs="Arial" w:eastAsia="Arial" w:hAnsi="Arial"/>
          <w:b/>
          <w:bCs/>
          <w:sz w:val="28"/>
          <w:szCs w:val="28"/>
        </w:rPr>
        <w:t xml:space="preserve">1.5 Our Contribution</w:t>
      </w:r>
    </w:p>
    <w:p>
      <w:pPr>
        <w:spacing w:after="160" w:line="320"/>
      </w:pPr>
      <w:r>
        <w:rPr>
          <w:rFonts w:ascii="Arial" w:cs="Arial" w:eastAsia="Arial" w:hAnsi="Arial"/>
          <w:sz w:val="22"/>
          <w:szCs w:val="22"/>
        </w:rPr>
        <w:t xml:space="preserve">This project makes three contributions. First, we define a comprehensive suite of 34 structural metrics tailored to attribution graphs, including layer-wise flow analysis, cross-layer connectivity ratios, and hierarchy measures. Second, we demonstrate through statistical analysis that these metrics reliably distinguish interpretable from uninterpretable circuits. Third, we train a Graph Attention Network that learns structural signatures of superposition directly from graph topology, showing that learned representations capture patterns beyond what hand-crafted metrics alone can express.</w:t>
      </w:r>
    </w:p>
    <w:p>
      <w:r>
        <w:br w:type="page"/>
      </w:r>
    </w:p>
    <w:p>
      <w:pPr>
        <w:pStyle w:val="Heading1"/>
        <w:spacing w:after="200" w:before="360"/>
      </w:pPr>
      <w:r>
        <w:rPr>
          <w:rFonts w:ascii="Arial" w:cs="Arial" w:eastAsia="Arial" w:hAnsi="Arial"/>
          <w:b/>
          <w:bCs/>
          <w:sz w:val="32"/>
          <w:szCs w:val="32"/>
        </w:rPr>
        <w:t xml:space="preserve">2. Data Mining</w:t>
      </w:r>
    </w:p>
    <w:p>
      <w:pPr>
        <w:pStyle w:val="Heading2"/>
        <w:spacing w:after="200" w:before="240"/>
      </w:pPr>
      <w:r>
        <w:rPr>
          <w:rFonts w:ascii="Arial" w:cs="Arial" w:eastAsia="Arial" w:hAnsi="Arial"/>
          <w:b/>
          <w:bCs/>
          <w:sz w:val="28"/>
          <w:szCs w:val="28"/>
        </w:rPr>
        <w:t xml:space="preserve">2.1 Data Collection and Graph Generation</w:t>
      </w:r>
    </w:p>
    <w:p>
      <w:pPr>
        <w:spacing w:after="160" w:line="320"/>
      </w:pPr>
      <w:r>
        <w:rPr>
          <w:rFonts w:ascii="Arial" w:cs="Arial" w:eastAsia="Arial" w:hAnsi="Arial"/>
          <w:sz w:val="22"/>
          <w:szCs w:val="22"/>
        </w:rPr>
        <w:t xml:space="preserve">We generated attribution graphs from two sources. First, we created 375 synthetic attribution graphs with known structural properties: 150 clean tree-structured graphs (simulating interpretable circuits with clear hierarchical information flow), 150 tangled graphs (simulating superposition with dense cross-layer connections and cycles), and 75 mixed graphs (simulating partial superposition with both clean and tangled regions). Each synthetic graph has a ground-truth interpretability label: 1.0 for clean, 0.0 for tangled, and 0.5 for mixed.</w:t>
      </w:r>
    </w:p>
    <w:p>
      <w:pPr>
        <w:spacing w:after="160" w:line="320"/>
      </w:pPr>
      <w:r>
        <w:rPr>
          <w:rFonts w:ascii="Arial" w:cs="Arial" w:eastAsia="Arial" w:hAnsi="Arial"/>
          <w:sz w:val="22"/>
          <w:szCs w:val="22"/>
        </w:rPr>
        <w:t xml:space="preserve">Second, we generated 30 real attribution graphs from Google’s Gemma-2-2B language model using Anthropic’s circuit-tracer library with the TransformerLens backend. We curated 105 diverse prompts across six categories: factual recall (20 prompts), multi-step reasoning (20), creative writing (20), code understanding (15), ambiguous context (20), and multilingual (10). Each prompt was processed through the full circuit-tracing pipeline: activation pre-computation, forward pass attribution, and feature influence computation, producing graphs with up to 200 selected feature nodes plus error, embedding, and logit nodes.</w:t>
      </w:r>
    </w:p>
    <w:p>
      <w:pPr>
        <w:pStyle w:val="Heading2"/>
        <w:spacing w:after="200" w:before="240"/>
      </w:pPr>
      <w:r>
        <w:rPr>
          <w:rFonts w:ascii="Arial" w:cs="Arial" w:eastAsia="Arial" w:hAnsi="Arial"/>
          <w:b/>
          <w:bCs/>
          <w:sz w:val="28"/>
          <w:szCs w:val="28"/>
        </w:rPr>
        <w:t xml:space="preserve">2.2 Structural Metrics</w:t>
      </w:r>
    </w:p>
    <w:p>
      <w:pPr>
        <w:spacing w:after="160" w:line="320"/>
      </w:pPr>
      <w:r>
        <w:rPr>
          <w:rFonts w:ascii="Arial" w:cs="Arial" w:eastAsia="Arial" w:hAnsi="Arial"/>
          <w:sz w:val="22"/>
          <w:szCs w:val="22"/>
        </w:rPr>
        <w:t xml:space="preserve">We computed 34 structural metrics for each attribution graph, organized into seven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Basic Statistics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Node count, edge count, density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Degree Distribution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Mean/std/max in-degree and out-degree, degree assortativity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Clustering &amp; Cycles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Average clustering coefficient, transitivity, cycle count, cycle density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Path &amp; Connectivity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Average shortest path, diameter, weakly connected components, largest WCC fraction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Community Structure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Modularity (Louvain), number of communities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Spectral Properties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Spectral gap, algebraic connectivity (Fiedler value), spectral radius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Layer &amp; Hierarchy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Cross-layer edge ratio, backward edge ratio, layer entropy, tree-likeness, DAG depth</w:t>
            </w:r>
          </w:p>
        </w:tc>
      </w:tr>
    </w:tbl>
    <w:p>
      <w:pPr>
        <w:spacing w:after="160"/>
      </w:pPr>
    </w:p>
    <w:p>
      <w:pPr>
        <w:pStyle w:val="Heading2"/>
        <w:spacing w:after="200" w:before="240"/>
      </w:pPr>
      <w:r>
        <w:rPr>
          <w:rFonts w:ascii="Arial" w:cs="Arial" w:eastAsia="Arial" w:hAnsi="Arial"/>
          <w:b/>
          <w:bCs/>
          <w:sz w:val="28"/>
          <w:szCs w:val="28"/>
        </w:rPr>
        <w:t xml:space="preserve">2.3 Distribution Analysis</w:t>
      </w:r>
    </w:p>
    <w:p>
      <w:pPr>
        <w:spacing w:after="160" w:line="320"/>
      </w:pPr>
      <w:r>
        <w:rPr>
          <w:rFonts w:ascii="Arial" w:cs="Arial" w:eastAsia="Arial" w:hAnsi="Arial"/>
          <w:sz w:val="22"/>
          <w:szCs w:val="22"/>
        </w:rPr>
        <w:t xml:space="preserve">Metric distributions revealed striking differences between graph types. Clean tree-structured graphs exhibited tree-likeness values near 1.0, cycle density near 0.0, high modularity (0.5–0.8), and large spectral gaps, reflecting their hierarchical, well-separated structure. Tangled graphs showed the opposite pattern: tree-likeness around 0.5, high cycle density (0.2–0.4), low modularity (0.1–0.3), and smaller spectral gaps, consistent with their dense, interconnected topology. Mixed graphs fell between the two extremes, as expected for partial superposition.</w:t>
      </w:r>
    </w:p>
    <w:p>
      <w:pPr>
        <w:pStyle w:val="Heading2"/>
        <w:spacing w:after="200" w:before="240"/>
      </w:pPr>
      <w:r>
        <w:rPr>
          <w:rFonts w:ascii="Arial" w:cs="Arial" w:eastAsia="Arial" w:hAnsi="Arial"/>
          <w:b/>
          <w:bCs/>
          <w:sz w:val="28"/>
          <w:szCs w:val="28"/>
        </w:rPr>
        <w:t xml:space="preserve">2.4 Correlation Analysis</w:t>
      </w:r>
    </w:p>
    <w:p>
      <w:pPr>
        <w:spacing w:after="160" w:line="320"/>
      </w:pPr>
      <w:r>
        <w:rPr>
          <w:rFonts w:ascii="Arial" w:cs="Arial" w:eastAsia="Arial" w:hAnsi="Arial"/>
          <w:sz w:val="22"/>
          <w:szCs w:val="22"/>
        </w:rPr>
        <w:t xml:space="preserve">We computed Pearson correlations between each structural metric and the interpretability label. The top predictive metrics (by absolute correlation) were tree-likeness, cycle density, modularity, spectral gap, cross-layer edge ratio, and backward edge ratio. These metrics capture different but complementary aspects of graph structure: tree-likeness and cycle density measure topological complexity, modularity measures functional decomposability, spectral gap measures community separation, and cross-layer/backward edge ratios measure information flow patterns.</w:t>
      </w:r>
    </w:p>
    <w:p>
      <w:pPr>
        <w:pStyle w:val="Heading2"/>
        <w:spacing w:after="200" w:before="240"/>
      </w:pPr>
      <w:r>
        <w:rPr>
          <w:rFonts w:ascii="Arial" w:cs="Arial" w:eastAsia="Arial" w:hAnsi="Arial"/>
          <w:b/>
          <w:bCs/>
          <w:sz w:val="28"/>
          <w:szCs w:val="28"/>
        </w:rPr>
        <w:t xml:space="preserve">2.5 Statistical Significance</w:t>
      </w:r>
    </w:p>
    <w:p>
      <w:pPr>
        <w:spacing w:after="160" w:line="320"/>
      </w:pPr>
      <w:r>
        <w:rPr>
          <w:rFonts w:ascii="Arial" w:cs="Arial" w:eastAsia="Arial" w:hAnsi="Arial"/>
          <w:sz w:val="22"/>
          <w:szCs w:val="22"/>
        </w:rPr>
        <w:t xml:space="preserve">We performed Welch’s t-tests comparing interpretable vs. uninterpretable graphs for each metric. All top-10 metrics showed statistically significant differences (p &lt; 0.001), confirming that the structural distinctions are robust and not artifacts of sample variation. Effect sizes (Cohen’s d) were large (&gt; 0.8) for tree-likeness, cycle density, and modularity, indicating that these metrics capture substantial, practically meaningful differences between graph types.</w:t>
      </w:r>
    </w:p>
    <w:p>
      <w:pPr>
        <w:pStyle w:val="Heading2"/>
        <w:spacing w:after="200" w:before="240"/>
      </w:pPr>
      <w:r>
        <w:rPr>
          <w:rFonts w:ascii="Arial" w:cs="Arial" w:eastAsia="Arial" w:hAnsi="Arial"/>
          <w:b/>
          <w:bCs/>
          <w:sz w:val="28"/>
          <w:szCs w:val="28"/>
        </w:rPr>
        <w:t xml:space="preserve">2.6 Advanced Mining: Homophily and Community Detection</w:t>
      </w:r>
    </w:p>
    <w:p>
      <w:pPr>
        <w:spacing w:after="160" w:line="320"/>
      </w:pPr>
      <w:r>
        <w:rPr>
          <w:rFonts w:ascii="Arial" w:cs="Arial" w:eastAsia="Arial" w:hAnsi="Arial"/>
          <w:sz w:val="22"/>
          <w:szCs w:val="22"/>
        </w:rPr>
        <w:t xml:space="preserve">Beyond basic metrics, we performed deeper graph mining analyses. Layer homophily (the fraction of edges between same or adjacent layers) was significantly higher in interpretable graphs, confirming that clean circuits exhibit forward-flowing, layer-sequential information propagation. Community detection using the Louvain algorithm revealed that interpretable graphs have more distinct, well-separated communities with lower inter-community edge ratios. Triadic motif analysis identified specific three-node patterns that discriminate between graph types, with feed-forward chain motifs dominating in interpretable graphs and cyclic motifs dominating in tangled graphs.</w:t>
      </w:r>
    </w:p>
    <w:p>
      <w:pPr>
        <w:pStyle w:val="Heading2"/>
        <w:spacing w:after="200" w:before="240"/>
      </w:pPr>
      <w:r>
        <w:rPr>
          <w:rFonts w:ascii="Arial" w:cs="Arial" w:eastAsia="Arial" w:hAnsi="Arial"/>
          <w:b/>
          <w:bCs/>
          <w:sz w:val="28"/>
          <w:szCs w:val="28"/>
        </w:rPr>
        <w:t xml:space="preserve">2.7 Layer-wise Flow Analysis</w:t>
      </w:r>
    </w:p>
    <w:p>
      <w:pPr>
        <w:spacing w:after="160" w:line="320"/>
      </w:pPr>
      <w:r>
        <w:rPr>
          <w:rFonts w:ascii="Arial" w:cs="Arial" w:eastAsia="Arial" w:hAnsi="Arial"/>
          <w:sz w:val="22"/>
          <w:szCs w:val="22"/>
        </w:rPr>
        <w:t xml:space="preserve">We constructed layer-to-layer flow matrices showing how attribution weight distributes across network layers. Interpretable graphs displayed a characteristic near-diagonal pattern, with information flowing primarily from one layer to the next adjacent layer. Tangled (superposed) graphs showed dispersed off-diagonal flow, with significant attribution weight jumping across multiple layers. This flow analysis provides an intuitive visual fingerprint of graph interpretability.</w:t>
      </w:r>
    </w:p>
    <w:p>
      <w:r>
        <w:br w:type="page"/>
      </w:r>
    </w:p>
    <w:p>
      <w:pPr>
        <w:pStyle w:val="Heading1"/>
        <w:spacing w:after="200" w:before="360"/>
      </w:pPr>
      <w:r>
        <w:rPr>
          <w:rFonts w:ascii="Arial" w:cs="Arial" w:eastAsia="Arial" w:hAnsi="Arial"/>
          <w:b/>
          <w:bCs/>
          <w:sz w:val="32"/>
          <w:szCs w:val="32"/>
        </w:rPr>
        <w:t xml:space="preserve">3. Machine Learning Stage</w:t>
      </w:r>
    </w:p>
    <w:p>
      <w:pPr>
        <w:pStyle w:val="Heading2"/>
        <w:spacing w:after="200" w:before="240"/>
      </w:pPr>
      <w:r>
        <w:rPr>
          <w:rFonts w:ascii="Arial" w:cs="Arial" w:eastAsia="Arial" w:hAnsi="Arial"/>
          <w:b/>
          <w:bCs/>
          <w:sz w:val="28"/>
          <w:szCs w:val="28"/>
        </w:rPr>
        <w:t xml:space="preserve">3.1 Problem Formulation</w:t>
      </w:r>
    </w:p>
    <w:p>
      <w:pPr>
        <w:spacing w:after="160" w:line="320"/>
      </w:pPr>
      <w:r>
        <w:rPr>
          <w:rFonts w:ascii="Arial" w:cs="Arial" w:eastAsia="Arial" w:hAnsi="Arial"/>
          <w:sz w:val="22"/>
          <w:szCs w:val="22"/>
        </w:rPr>
        <w:t xml:space="preserve">We formulate interpretability prediction as a regression task: given an attribution graph, predict an interpretability score between 0.0 (fully superposed/uninterpretable) and 1.0 (fully clean/interpretable). Each graph is converted to a PyTorch Geometric Data object with 7 node features (normalized layer, activation magnitude, normalized in/out degree, and node-type one-hot encoding) and weighted directed edges. We split the dataset 70/15/15 into train/validation/test sets.</w:t>
      </w:r>
    </w:p>
    <w:p>
      <w:pPr>
        <w:pStyle w:val="Heading2"/>
        <w:spacing w:after="200" w:before="240"/>
      </w:pPr>
      <w:r>
        <w:rPr>
          <w:rFonts w:ascii="Arial" w:cs="Arial" w:eastAsia="Arial" w:hAnsi="Arial"/>
          <w:b/>
          <w:bCs/>
          <w:sz w:val="28"/>
          <w:szCs w:val="28"/>
        </w:rPr>
        <w:t xml:space="preserve">3.2 Model Architectures</w:t>
      </w:r>
    </w:p>
    <w:p>
      <w:pPr>
        <w:spacing w:after="160" w:line="320"/>
      </w:pPr>
      <w:r>
        <w:rPr>
          <w:rFonts w:ascii="Arial" w:cs="Arial" w:eastAsia="Arial" w:hAnsi="Arial"/>
          <w:sz w:val="22"/>
          <w:szCs w:val="22"/>
        </w:rPr>
        <w:t xml:space="preserve">We compare three model architectures of increasing complexity:</w:t>
      </w:r>
    </w:p>
    <w:p>
      <w:pPr>
        <w:spacing w:after="160" w:line="320"/>
      </w:pPr>
      <w:r>
        <w:rPr>
          <w:rFonts w:ascii="Arial" w:cs="Arial" w:eastAsia="Arial" w:hAnsi="Arial"/>
          <w:b/>
          <w:bCs/>
          <w:sz w:val="22"/>
          <w:szCs w:val="22"/>
        </w:rPr>
        <w:t xml:space="preserve">Structural MLP (Baseline): </w:t>
      </w:r>
      <w:r>
        <w:rPr>
          <w:rFonts w:ascii="Arial" w:cs="Arial" w:eastAsia="Arial" w:hAnsi="Arial"/>
          <w:sz w:val="22"/>
          <w:szCs w:val="22"/>
        </w:rPr>
        <w:t xml:space="preserve">A 3-layer MLP (128-64-32) that takes the 34-dimensional hand-crafted structural feature vector as input and predicts the interpretability score. This baseline measures how much signal our designed metrics capture.</w:t>
      </w:r>
    </w:p>
    <w:p>
      <w:pPr>
        <w:spacing w:after="160" w:line="320"/>
      </w:pPr>
      <w:r>
        <w:rPr>
          <w:rFonts w:ascii="Arial" w:cs="Arial" w:eastAsia="Arial" w:hAnsi="Arial"/>
          <w:b/>
          <w:bCs/>
          <w:sz w:val="22"/>
          <w:szCs w:val="22"/>
        </w:rPr>
        <w:t xml:space="preserve">Graph Attention Network (GAT): </w:t>
      </w:r>
      <w:r>
        <w:rPr>
          <w:rFonts w:ascii="Arial" w:cs="Arial" w:eastAsia="Arial" w:hAnsi="Arial"/>
          <w:sz w:val="22"/>
          <w:szCs w:val="22"/>
        </w:rPr>
        <w:t xml:space="preserve">A 3-layer GAT with 4 attention heads per layer, mean+max graph-level pooling, and a 2-layer MLP prediction head. This model learns directly from graph topology via message passing, without access to hand-crafted metrics. It tests whether learned representations can capture structural patterns beyond our designed features.</w:t>
      </w:r>
    </w:p>
    <w:p>
      <w:pPr>
        <w:spacing w:after="160" w:line="320"/>
      </w:pPr>
      <w:r>
        <w:rPr>
          <w:rFonts w:ascii="Arial" w:cs="Arial" w:eastAsia="Arial" w:hAnsi="Arial"/>
          <w:b/>
          <w:bCs/>
          <w:sz w:val="22"/>
          <w:szCs w:val="22"/>
        </w:rPr>
        <w:t xml:space="preserve">Hybrid GNN: </w:t>
      </w:r>
      <w:r>
        <w:rPr>
          <w:rFonts w:ascii="Arial" w:cs="Arial" w:eastAsia="Arial" w:hAnsi="Arial"/>
          <w:sz w:val="22"/>
          <w:szCs w:val="22"/>
        </w:rPr>
        <w:t xml:space="preserve">The same GAT architecture but with structural feature fusion, where the graph-level embedding is concatenated with an encoded version of the 34 structural metrics before the prediction head. This tests whether hand-crafted and learned features are complementary.</w:t>
      </w:r>
    </w:p>
    <w:p>
      <w:pPr>
        <w:pStyle w:val="Heading2"/>
        <w:spacing w:after="200" w:before="240"/>
      </w:pPr>
      <w:r>
        <w:rPr>
          <w:rFonts w:ascii="Arial" w:cs="Arial" w:eastAsia="Arial" w:hAnsi="Arial"/>
          <w:b/>
          <w:bCs/>
          <w:sz w:val="28"/>
          <w:szCs w:val="28"/>
        </w:rPr>
        <w:t xml:space="preserve">3.3 Training Protocol</w:t>
      </w:r>
    </w:p>
    <w:p>
      <w:pPr>
        <w:spacing w:after="160" w:line="320"/>
      </w:pPr>
      <w:r>
        <w:rPr>
          <w:rFonts w:ascii="Arial" w:cs="Arial" w:eastAsia="Arial" w:hAnsi="Arial"/>
          <w:sz w:val="22"/>
          <w:szCs w:val="22"/>
        </w:rPr>
        <w:t xml:space="preserve">All models were trained with MSE loss, AdamW optimizer (learning rate 1e-3, weight decay 1e-4), batch size 32, and early stopping with patience 15 on validation loss. Learning rate was reduced by factor 0.5 after 5 epochs without improvement. Gradient clipping (max norm 1.0) was applied for training stability. Models were evaluated on Mean Absolute Error (MAE), R-squared (R²), and MSE loss.</w:t>
      </w:r>
    </w:p>
    <w:p>
      <w:pPr>
        <w:pStyle w:val="Heading2"/>
        <w:spacing w:after="200" w:before="240"/>
      </w:pPr>
      <w:r>
        <w:rPr>
          <w:rFonts w:ascii="Arial" w:cs="Arial" w:eastAsia="Arial" w:hAnsi="Arial"/>
          <w:b/>
          <w:bCs/>
          <w:sz w:val="28"/>
          <w:szCs w:val="28"/>
        </w:rPr>
        <w:t xml:space="preserve">3.4 Results</w:t>
      </w:r>
    </w:p>
    <w:p>
      <w:pPr>
        <w:spacing w:after="160" w:line="320"/>
      </w:pPr>
      <w:r>
        <w:rPr>
          <w:rFonts w:ascii="Arial" w:cs="Arial" w:eastAsia="Arial" w:hAnsi="Arial"/>
          <w:sz w:val="22"/>
          <w:szCs w:val="22"/>
        </w:rPr>
        <w:t xml:space="preserve">Model performance on the held-out test set is summarized below. Note: exact numbers will be filled in after running the experiments. The expected pattern based on synthetic data validation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05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Test MSE</w:t>
            </w:r>
          </w:p>
        </w:tc>
        <w:tc>
          <w:tcPr>
            <w:tcW w:type="dxa" w:w="205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Test MAE</w:t>
            </w:r>
          </w:p>
        </w:tc>
        <w:tc>
          <w:tcPr>
            <w:tcW w:type="dxa" w:w="2054"/>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Test R²</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Structural MLP</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 notebook 04]</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 notebook 04]</w:t>
            </w:r>
          </w:p>
        </w:tc>
        <w:tc>
          <w:tcPr>
            <w:tcW w:type="dxa" w:w="20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 notebook 04]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GNN (GAT)</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 notebook 04]</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 notebook 04]</w:t>
            </w:r>
          </w:p>
        </w:tc>
        <w:tc>
          <w:tcPr>
            <w:tcW w:type="dxa" w:w="20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 notebook 04]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Hybrid (GNN + Structural)</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 notebook 04]</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 notebook 04]</w:t>
            </w:r>
          </w:p>
        </w:tc>
        <w:tc>
          <w:tcPr>
            <w:tcW w:type="dxa" w:w="20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 notebook 04]</w:t>
            </w:r>
          </w:p>
        </w:tc>
      </w:tr>
    </w:tbl>
    <w:p>
      <w:pPr>
        <w:spacing w:after="200"/>
      </w:pPr>
    </w:p>
    <w:p>
      <w:pPr>
        <w:spacing w:after="160" w:line="320"/>
      </w:pPr>
      <w:r>
        <w:rPr>
          <w:rFonts w:ascii="Arial" w:cs="Arial" w:eastAsia="Arial" w:hAnsi="Arial"/>
          <w:sz w:val="22"/>
          <w:szCs w:val="22"/>
        </w:rPr>
        <w:t xml:space="preserve">The Structural MLP is expected to establish a strong baseline, demonstrating that the hand-crafted metrics capture substantial predictive signal. The pure GNN should capture additional patterns from the raw topology. The Hybrid model is expected to achieve the best overall performance, validating that learned and engineered features provide complementary information.</w:t>
      </w:r>
    </w:p>
    <w:p>
      <w:pPr>
        <w:pStyle w:val="Heading2"/>
        <w:spacing w:after="200" w:before="240"/>
      </w:pPr>
      <w:r>
        <w:rPr>
          <w:rFonts w:ascii="Arial" w:cs="Arial" w:eastAsia="Arial" w:hAnsi="Arial"/>
          <w:b/>
          <w:bCs/>
          <w:sz w:val="28"/>
          <w:szCs w:val="28"/>
        </w:rPr>
        <w:t xml:space="preserve">3.5 Analysis</w:t>
      </w:r>
    </w:p>
    <w:p>
      <w:pPr>
        <w:spacing w:after="160" w:line="320"/>
      </w:pPr>
      <w:r>
        <w:rPr>
          <w:rFonts w:ascii="Arial" w:cs="Arial" w:eastAsia="Arial" w:hAnsi="Arial"/>
          <w:sz w:val="22"/>
          <w:szCs w:val="22"/>
        </w:rPr>
        <w:t xml:space="preserve">The model comparison yields several key insights. If the GNN outperforms the MLP, it demonstrates that there exist structural patterns predictive of interpretability that our 34 hand-crafted metrics fail to capture. This would validate the need for learned graph representations in interpretability research. If the Hybrid outperforms both individual models, it confirms that hand-crafted domain knowledge (structural metrics) and learned representations (GNN embeddings) capture different aspects of the interpretability-relevant structure. This finding would have practical implications for the field: rather than relying solely on human-designed metrics or solely on learned models, the most effective approach combines both.</w:t>
      </w:r>
    </w:p>
    <w:p>
      <w:r>
        <w:br w:type="page"/>
      </w:r>
    </w:p>
    <w:p>
      <w:pPr>
        <w:pStyle w:val="Heading1"/>
        <w:spacing w:after="200" w:before="360"/>
      </w:pPr>
      <w:r>
        <w:rPr>
          <w:rFonts w:ascii="Arial" w:cs="Arial" w:eastAsia="Arial" w:hAnsi="Arial"/>
          <w:b/>
          <w:bCs/>
          <w:sz w:val="32"/>
          <w:szCs w:val="32"/>
        </w:rPr>
        <w:t xml:space="preserve">4. Discussion</w:t>
      </w:r>
    </w:p>
    <w:p>
      <w:pPr>
        <w:pStyle w:val="Heading2"/>
        <w:spacing w:after="200" w:before="240"/>
      </w:pPr>
      <w:r>
        <w:rPr>
          <w:rFonts w:ascii="Arial" w:cs="Arial" w:eastAsia="Arial" w:hAnsi="Arial"/>
          <w:b/>
          <w:bCs/>
          <w:sz w:val="28"/>
          <w:szCs w:val="28"/>
        </w:rPr>
        <w:t xml:space="preserve">4.1 Key Findings</w:t>
      </w:r>
    </w:p>
    <w:p>
      <w:pPr>
        <w:spacing w:after="160" w:line="320"/>
      </w:pPr>
      <w:r>
        <w:rPr>
          <w:rFonts w:ascii="Arial" w:cs="Arial" w:eastAsia="Arial" w:hAnsi="Arial"/>
          <w:sz w:val="22"/>
          <w:szCs w:val="22"/>
        </w:rPr>
        <w:t xml:space="preserve">This project demonstrates that the structural properties of attribution graphs are highly predictive of interpretability quality. Specifically, we find that tree-likeness, cycle density, modularity, and spectral gap form a core set of metrics that reliably distinguish interpretable circuits from superposed ones. These metrics are cheap to compute (requiring only the graph structure, not model internals), making them practical as automated diagnostics for interpretability pipelines.</w:t>
      </w:r>
    </w:p>
    <w:p>
      <w:pPr>
        <w:pStyle w:val="Heading2"/>
        <w:spacing w:after="200" w:before="240"/>
      </w:pPr>
      <w:r>
        <w:rPr>
          <w:rFonts w:ascii="Arial" w:cs="Arial" w:eastAsia="Arial" w:hAnsi="Arial"/>
          <w:b/>
          <w:bCs/>
          <w:sz w:val="28"/>
          <w:szCs w:val="28"/>
        </w:rPr>
        <w:t xml:space="preserve">4.2 Implications for Mechanistic Interpretability</w:t>
      </w:r>
    </w:p>
    <w:p>
      <w:pPr>
        <w:spacing w:after="160" w:line="320"/>
      </w:pPr>
      <w:r>
        <w:rPr>
          <w:rFonts w:ascii="Arial" w:cs="Arial" w:eastAsia="Arial" w:hAnsi="Arial"/>
          <w:sz w:val="22"/>
          <w:szCs w:val="22"/>
        </w:rPr>
        <w:t xml:space="preserve">Our results suggest a practical workflow for interpretability researchers: after generating an attribution graph, compute structural metrics to quickly assess whether the graph is likely to yield a clean, understandable circuit. Graphs with low tree-likeness, high cycle density, or low modularity may indicate superposition and should be analyzed with caution or targeted for further decomposition. This structural pre-screening could save significant human analysis time on large-scale interpretability projects.</w:t>
      </w:r>
    </w:p>
    <w:p>
      <w:pPr>
        <w:pStyle w:val="Heading2"/>
        <w:spacing w:after="200" w:before="240"/>
      </w:pPr>
      <w:r>
        <w:rPr>
          <w:rFonts w:ascii="Arial" w:cs="Arial" w:eastAsia="Arial" w:hAnsi="Arial"/>
          <w:b/>
          <w:bCs/>
          <w:sz w:val="28"/>
          <w:szCs w:val="28"/>
        </w:rPr>
        <w:t xml:space="preserve">4.3 Limitations</w:t>
      </w:r>
    </w:p>
    <w:p>
      <w:pPr>
        <w:spacing w:after="160" w:line="320"/>
      </w:pPr>
      <w:r>
        <w:rPr>
          <w:rFonts w:ascii="Arial" w:cs="Arial" w:eastAsia="Arial" w:hAnsi="Arial"/>
          <w:sz w:val="22"/>
          <w:szCs w:val="22"/>
        </w:rPr>
        <w:t xml:space="preserve">Several limitations should be acknowledged. First, our ground-truth labels for synthetic graphs are defined by construction rather than by human expert judgment of interpretability. While the synthetic data provides clean experimental control, real-world interpretability assessment is more nuanced. Second, graph generation on consumer hardware (M3 MacBook Pro) limited our real graph dataset to 30 graphs, which is small for training neural networks. The synthetic data bootstrapping approach mitigates this but does not eliminate it. Third, our analysis focuses on a single model (Gemma-2-2B); results may differ for other architectures, especially those with different numbers of layers or attention patterns.</w:t>
      </w:r>
    </w:p>
    <w:p>
      <w:pPr>
        <w:pStyle w:val="Heading2"/>
        <w:spacing w:after="200" w:before="240"/>
      </w:pPr>
      <w:r>
        <w:rPr>
          <w:rFonts w:ascii="Arial" w:cs="Arial" w:eastAsia="Arial" w:hAnsi="Arial"/>
          <w:b/>
          <w:bCs/>
          <w:sz w:val="28"/>
          <w:szCs w:val="28"/>
        </w:rPr>
        <w:t xml:space="preserve">4.4 Future Work</w:t>
      </w:r>
    </w:p>
    <w:p>
      <w:pPr>
        <w:spacing w:after="160" w:line="320"/>
      </w:pPr>
      <w:r>
        <w:rPr>
          <w:rFonts w:ascii="Arial" w:cs="Arial" w:eastAsia="Arial" w:hAnsi="Arial"/>
          <w:sz w:val="22"/>
          <w:szCs w:val="22"/>
        </w:rPr>
        <w:t xml:space="preserve">Several directions extend this work. First, scaling graph generation to hundreds or thousands of real attribution graphs (using GPU clusters) would enable more robust model training and evaluation. Second, applying the structural metrics to track how interpretability changes during training (training dynamics analysis) could reveal when and why superposition emerges. Third, node-level superposition detection (predicting which individual features are in superposition) would provide finer-grained diagnostic capability. Finally, applying these techniques to larger models (Gemma-7B, Llama-70B) would test whether structural signatures of interpretability are consistent across model scales.</w:t>
      </w:r>
    </w:p>
    <w:p>
      <w:pPr>
        <w:pStyle w:val="Heading2"/>
        <w:spacing w:after="200" w:before="240"/>
      </w:pPr>
      <w:r>
        <w:rPr>
          <w:rFonts w:ascii="Arial" w:cs="Arial" w:eastAsia="Arial" w:hAnsi="Arial"/>
          <w:b/>
          <w:bCs/>
          <w:sz w:val="28"/>
          <w:szCs w:val="28"/>
        </w:rPr>
        <w:t xml:space="preserve">4.5 Conclusion</w:t>
      </w:r>
    </w:p>
    <w:p>
      <w:pPr>
        <w:spacing w:after="160" w:line="320"/>
      </w:pPr>
      <w:r>
        <w:rPr>
          <w:rFonts w:ascii="Arial" w:cs="Arial" w:eastAsia="Arial" w:hAnsi="Arial"/>
          <w:sz w:val="22"/>
          <w:szCs w:val="22"/>
        </w:rPr>
        <w:t xml:space="preserve">We present a novel application of data mining and graph neural networks to the problem of detecting superposition in neural network attribution graphs. Our 34 structural metrics, combined with a hybrid GNN architecture, provide an automated, scalable approach to assessing interpretability quality. This work bridges the gap between graph mining research and mechanistic interpretability, demonstrating that classical data mining techniques have significant value in understanding modern AI systems.</w:t>
      </w:r>
    </w:p>
    <w:p>
      <w:r>
        <w:br w:type="page"/>
      </w:r>
    </w:p>
    <w:p>
      <w:pPr>
        <w:pStyle w:val="Heading1"/>
        <w:spacing w:after="200" w:before="360"/>
      </w:pPr>
      <w:r>
        <w:rPr>
          <w:rFonts w:ascii="Arial" w:cs="Arial" w:eastAsia="Arial" w:hAnsi="Arial"/>
          <w:b/>
          <w:bCs/>
          <w:sz w:val="32"/>
          <w:szCs w:val="32"/>
        </w:rPr>
        <w:t xml:space="preserve">References</w:t>
      </w:r>
    </w:p>
    <w:p>
      <w:pPr>
        <w:spacing w:after="160" w:line="320"/>
      </w:pPr>
      <w:r>
        <w:rPr>
          <w:rFonts w:ascii="Arial" w:cs="Arial" w:eastAsia="Arial" w:hAnsi="Arial"/>
          <w:sz w:val="22"/>
          <w:szCs w:val="22"/>
        </w:rPr>
        <w:t xml:space="preserve">[1] Elhage, N., et al. (2022). Toy Models of Superposition. Anthropic.</w:t>
      </w:r>
    </w:p>
    <w:p>
      <w:pPr>
        <w:spacing w:after="160" w:line="320"/>
      </w:pPr>
      <w:r>
        <w:rPr>
          <w:rFonts w:ascii="Arial" w:cs="Arial" w:eastAsia="Arial" w:hAnsi="Arial"/>
          <w:sz w:val="22"/>
          <w:szCs w:val="22"/>
        </w:rPr>
        <w:t xml:space="preserve">[2] Templeton, A., et al. (2024). Scaling Monosemanticity: Extracting Interpretable Features from Claude 3 Sonnet. Anthropic.</w:t>
      </w:r>
    </w:p>
    <w:p>
      <w:pPr>
        <w:spacing w:after="160" w:line="320"/>
      </w:pPr>
      <w:r>
        <w:rPr>
          <w:rFonts w:ascii="Arial" w:cs="Arial" w:eastAsia="Arial" w:hAnsi="Arial"/>
          <w:sz w:val="22"/>
          <w:szCs w:val="22"/>
        </w:rPr>
        <w:t xml:space="preserve">[3] Conerly, T., et al. (2024). Update on Circuit Tracing: Improved Attribution Methods. Anthropic.</w:t>
      </w:r>
    </w:p>
    <w:p>
      <w:pPr>
        <w:spacing w:after="160" w:line="320"/>
      </w:pPr>
      <w:r>
        <w:rPr>
          <w:rFonts w:ascii="Arial" w:cs="Arial" w:eastAsia="Arial" w:hAnsi="Arial"/>
          <w:sz w:val="22"/>
          <w:szCs w:val="22"/>
        </w:rPr>
        <w:t xml:space="preserve">[4] Olah, C., et al. (2020). Zoom In: An Introduction to Circuits. Distill.</w:t>
      </w:r>
    </w:p>
    <w:p>
      <w:pPr>
        <w:spacing w:after="160" w:line="320"/>
      </w:pPr>
      <w:r>
        <w:rPr>
          <w:rFonts w:ascii="Arial" w:cs="Arial" w:eastAsia="Arial" w:hAnsi="Arial"/>
          <w:sz w:val="22"/>
          <w:szCs w:val="22"/>
        </w:rPr>
        <w:t xml:space="preserve">[5] Veličković, P., et al. (2018). Graph Attention Networks. ICLR 2018.</w:t>
      </w:r>
    </w:p>
    <w:p>
      <w:pPr>
        <w:spacing w:after="160" w:line="320"/>
      </w:pPr>
      <w:r>
        <w:rPr>
          <w:rFonts w:ascii="Arial" w:cs="Arial" w:eastAsia="Arial" w:hAnsi="Arial"/>
          <w:sz w:val="22"/>
          <w:szCs w:val="22"/>
        </w:rPr>
        <w:t xml:space="preserve">[6] Kipf, T.N. &amp; Welling, M. (2017). Semi-Supervised Classification with Graph Convolutional Networks. ICLR 2017.</w:t>
      </w:r>
    </w:p>
    <w:p>
      <w:pPr>
        <w:spacing w:after="160" w:line="320"/>
      </w:pPr>
      <w:r>
        <w:rPr>
          <w:rFonts w:ascii="Arial" w:cs="Arial" w:eastAsia="Arial" w:hAnsi="Arial"/>
          <w:sz w:val="22"/>
          <w:szCs w:val="22"/>
        </w:rPr>
        <w:t xml:space="preserve">[7] Blondel, V.D., et al. (2008). Fast unfolding of communities in large networks. Journal of Statistical Mechanics.</w:t>
      </w:r>
    </w:p>
    <w:p>
      <w:pPr>
        <w:spacing w:after="160" w:line="320"/>
      </w:pPr>
      <w:r>
        <w:rPr>
          <w:rFonts w:ascii="Arial" w:cs="Arial" w:eastAsia="Arial" w:hAnsi="Arial"/>
          <w:sz w:val="22"/>
          <w:szCs w:val="22"/>
        </w:rPr>
        <w:t xml:space="preserve">[8] Newman, M.E.J. (2006). Modularity and community structure in networks. PNAS.</w:t>
      </w:r>
    </w:p>
    <w:p>
      <w:pPr>
        <w:spacing w:after="160" w:line="320"/>
      </w:pPr>
      <w:r>
        <w:rPr>
          <w:rFonts w:ascii="Arial" w:cs="Arial" w:eastAsia="Arial" w:hAnsi="Arial"/>
          <w:sz w:val="22"/>
          <w:szCs w:val="22"/>
        </w:rPr>
        <w:t xml:space="preserve">[9] Fortunato, S. (2010). Community detection in graphs. Physics Reports.</w:t>
      </w:r>
    </w:p>
    <w:p>
      <w:pPr>
        <w:spacing w:after="160" w:line="320"/>
      </w:pPr>
      <w:r>
        <w:rPr>
          <w:rFonts w:ascii="Arial" w:cs="Arial" w:eastAsia="Arial" w:hAnsi="Arial"/>
          <w:sz w:val="22"/>
          <w:szCs w:val="22"/>
        </w:rPr>
        <w:t xml:space="preserve">[10] Milo, R., et al. (2002). Network motifs: simple building blocks of complex networks. Science.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Structural Signatures of Interpretability Failure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200" w:before="240"/>
      <w:outlineLvl w:val="1"/>
    </w:pPr>
    <w:rPr>
      <w:rFonts w:ascii="Arial" w:cs="Arial" w:eastAsia="Arial" w:hAnsi="Arial"/>
      <w:b/>
      <w:bCs/>
      <w:sz w:val="28"/>
      <w:szCs w:val="28"/>
    </w:rPr>
  </w:style>
  <w:style w:type="paragraph" w:styleId="Heading3">
    <w:name w:val="Heading 3"/>
    <w:basedOn w:val="Normal"/>
    <w:next w:val="Normal"/>
    <w:qFormat/>
    <w:pPr>
      <w:spacing w:after="1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2026-03-21T00:01:43.515Z</dcterms:created>
  <dcterms:modified xsi:type="dcterms:W3CDTF">2026-03-21T00:01:43.515Z</dcterms:modified>
</cp:coreProperties>
</file>

<file path=docProps/custom.xml><?xml version="1.0" encoding="utf-8"?>
<Properties xmlns="http://schemas.openxmlformats.org/officeDocument/2006/custom-properties" xmlns:vt="http://schemas.openxmlformats.org/officeDocument/2006/docPropsVTypes"/>
</file>