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31BE3" w14:textId="1B1CD496" w:rsidR="00A47D91" w:rsidRPr="00212463" w:rsidRDefault="00A80F7F" w:rsidP="00A47D91">
      <w:pPr>
        <w:spacing w:line="240" w:lineRule="auto"/>
        <w:jc w:val="center"/>
        <w:rPr>
          <w:rFonts w:ascii="Cambria" w:hAnsi="Cambria"/>
          <w:color w:val="000000" w:themeColor="text1"/>
        </w:rPr>
      </w:pPr>
      <w:r w:rsidRPr="00212463">
        <w:rPr>
          <w:rFonts w:ascii="Cambria" w:hAnsi="Cambria"/>
          <w:b/>
          <w:bCs/>
          <w:color w:val="000000" w:themeColor="text1"/>
          <w:sz w:val="32"/>
          <w:szCs w:val="32"/>
        </w:rPr>
        <w:t>A Comparative Evaluation of Baseline and Deep Learning Models for Intracranial Hemorrhage Detection</w:t>
      </w:r>
    </w:p>
    <w:p w14:paraId="2C83CC04" w14:textId="77777777" w:rsidR="00A47D91" w:rsidRPr="00212463" w:rsidRDefault="00A47D91" w:rsidP="00A47D91">
      <w:pPr>
        <w:spacing w:line="240" w:lineRule="auto"/>
        <w:jc w:val="center"/>
        <w:rPr>
          <w:rFonts w:ascii="Cambria" w:hAnsi="Cambria"/>
          <w:color w:val="000000" w:themeColor="text1"/>
        </w:rPr>
      </w:pPr>
    </w:p>
    <w:p w14:paraId="40FFC3CE" w14:textId="41802CC8" w:rsidR="00A47D91" w:rsidRPr="00212463" w:rsidRDefault="00A47D91" w:rsidP="00A47D91">
      <w:pPr>
        <w:spacing w:line="240" w:lineRule="auto"/>
        <w:jc w:val="center"/>
        <w:rPr>
          <w:rFonts w:ascii="Cambria" w:hAnsi="Cambria"/>
          <w:color w:val="000000" w:themeColor="text1"/>
        </w:rPr>
      </w:pPr>
      <w:r w:rsidRPr="00212463">
        <w:rPr>
          <w:rFonts w:ascii="Cambria" w:hAnsi="Cambria"/>
          <w:color w:val="000000" w:themeColor="text1"/>
        </w:rPr>
        <w:t>Owen Hughes</w:t>
      </w:r>
    </w:p>
    <w:p w14:paraId="3B8698AC" w14:textId="681A6095" w:rsidR="00A47D91" w:rsidRPr="00212463" w:rsidRDefault="00A47D91" w:rsidP="00A47D91">
      <w:pPr>
        <w:spacing w:line="240" w:lineRule="auto"/>
        <w:jc w:val="center"/>
        <w:rPr>
          <w:rFonts w:ascii="Cambria" w:hAnsi="Cambria"/>
          <w:color w:val="000000" w:themeColor="text1"/>
        </w:rPr>
      </w:pPr>
      <w:r w:rsidRPr="00212463">
        <w:rPr>
          <w:rFonts w:ascii="Cambria" w:hAnsi="Cambria"/>
          <w:color w:val="000000" w:themeColor="text1"/>
        </w:rPr>
        <w:t>University of Oregon</w:t>
      </w:r>
    </w:p>
    <w:p w14:paraId="325E097E" w14:textId="77777777" w:rsidR="00212463" w:rsidRPr="00212463" w:rsidRDefault="00A47D91" w:rsidP="00A47D91">
      <w:pPr>
        <w:spacing w:line="240" w:lineRule="auto"/>
        <w:jc w:val="center"/>
        <w:rPr>
          <w:rFonts w:ascii="Cambria" w:hAnsi="Cambria"/>
          <w:color w:val="000000" w:themeColor="text1"/>
        </w:rPr>
        <w:sectPr w:rsidR="00212463" w:rsidRPr="00212463" w:rsidSect="0021246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pPr>
      <w:hyperlink r:id="rId13" w:history="1">
        <w:r w:rsidRPr="00212463">
          <w:rPr>
            <w:rStyle w:val="Hyperlink"/>
            <w:rFonts w:ascii="Cambria" w:hAnsi="Cambria"/>
            <w:color w:val="000000" w:themeColor="text1"/>
          </w:rPr>
          <w:t>obh@uoregon.edu</w:t>
        </w:r>
      </w:hyperlink>
    </w:p>
    <w:p w14:paraId="0916A869" w14:textId="332473F8" w:rsidR="00A47D91" w:rsidRPr="00212463" w:rsidRDefault="00212463" w:rsidP="00212463">
      <w:pPr>
        <w:spacing w:line="240" w:lineRule="auto"/>
        <w:jc w:val="center"/>
        <w:rPr>
          <w:rFonts w:ascii="Cambria" w:hAnsi="Cambria"/>
          <w:b/>
          <w:bCs/>
          <w:i/>
          <w:iCs/>
          <w:color w:val="000000" w:themeColor="text1"/>
        </w:rPr>
      </w:pPr>
      <w:r w:rsidRPr="00212463">
        <w:rPr>
          <w:rFonts w:ascii="Cambria" w:hAnsi="Cambria"/>
          <w:b/>
          <w:bCs/>
          <w:i/>
          <w:iCs/>
          <w:color w:val="000000" w:themeColor="text1"/>
        </w:rPr>
        <w:t>Abstract</w:t>
      </w:r>
    </w:p>
    <w:p w14:paraId="3C01820A" w14:textId="67CC5C6C" w:rsidR="00A47D91" w:rsidRDefault="00212463" w:rsidP="00212463">
      <w:pPr>
        <w:spacing w:line="240" w:lineRule="auto"/>
        <w:rPr>
          <w:rFonts w:ascii="Cambria" w:hAnsi="Cambria"/>
          <w:color w:val="000000" w:themeColor="text1"/>
        </w:rPr>
      </w:pPr>
      <w:r w:rsidRPr="00212463">
        <w:rPr>
          <w:rFonts w:ascii="Cambria" w:hAnsi="Cambria"/>
          <w:color w:val="000000" w:themeColor="text1"/>
        </w:rPr>
        <w:t>I evaluate three models for intracranial hemorrhage detection on RSNA 2019 head CTs. A 20 000-slice subset (50 % positive) was split patient-wise 60 / 20 / 20, and each slice converted into a 3-channel 160 × 160 PNG using brain, subdural, and bone windows. Models include (1) logistic regression on flattened images (AUC ≈ 0.67, F1 ≈ 0.58), (2) a SmallResNet trained from scratch with AdamW + OneCycleLR (AUC = 0.8575, F1 = 0.7840), and (3) a ResNet-18 fine-tuned end-to-end (AUC = 0.8813, F1 = 0.7827). Grad-CAMs reveal sharper lesion localization in ResNet-18 versus more diffuse attention in the small network. These results show that multi-window inputs and modern training schedules yield substantial gains over the baseline.</w:t>
      </w:r>
    </w:p>
    <w:p w14:paraId="5831A5A8" w14:textId="3C34CBFB" w:rsidR="00212463" w:rsidRDefault="00C36E42" w:rsidP="00C36E42">
      <w:pPr>
        <w:spacing w:line="240" w:lineRule="auto"/>
        <w:jc w:val="center"/>
        <w:rPr>
          <w:rFonts w:ascii="Cambria" w:hAnsi="Cambria"/>
          <w:b/>
          <w:bCs/>
          <w:color w:val="000000" w:themeColor="text1"/>
          <w:sz w:val="22"/>
          <w:szCs w:val="22"/>
        </w:rPr>
      </w:pPr>
      <w:r w:rsidRPr="00C36E42">
        <w:rPr>
          <w:rFonts w:ascii="Cambria" w:hAnsi="Cambria"/>
          <w:b/>
          <w:bCs/>
          <w:color w:val="000000" w:themeColor="text1"/>
        </w:rPr>
        <w:t>I</w:t>
      </w:r>
      <w:r w:rsidRPr="00C36E42">
        <w:rPr>
          <w:rFonts w:ascii="Cambria" w:hAnsi="Cambria"/>
          <w:b/>
          <w:bCs/>
          <w:color w:val="000000" w:themeColor="text1"/>
          <w:sz w:val="26"/>
          <w:szCs w:val="26"/>
        </w:rPr>
        <w:t>.  I</w:t>
      </w:r>
      <w:r w:rsidRPr="00C36E42">
        <w:rPr>
          <w:rFonts w:ascii="Cambria" w:hAnsi="Cambria"/>
          <w:b/>
          <w:bCs/>
          <w:color w:val="000000" w:themeColor="text1"/>
          <w:sz w:val="22"/>
          <w:szCs w:val="22"/>
        </w:rPr>
        <w:t>NTRODUCTION</w:t>
      </w:r>
    </w:p>
    <w:p w14:paraId="67B58738" w14:textId="446A1AD5" w:rsidR="00C36E42" w:rsidRPr="00C36E42" w:rsidRDefault="00C36E42" w:rsidP="00C36E42">
      <w:pPr>
        <w:spacing w:line="240" w:lineRule="auto"/>
        <w:rPr>
          <w:rFonts w:ascii="Cambria" w:hAnsi="Cambria"/>
          <w:color w:val="000000" w:themeColor="text1"/>
        </w:rPr>
      </w:pPr>
      <w:r w:rsidRPr="00C36E42">
        <w:rPr>
          <w:rFonts w:ascii="Cambria" w:hAnsi="Cambria"/>
          <w:color w:val="000000" w:themeColor="text1"/>
        </w:rPr>
        <w:t>Intracranial hemorrhage (ICH) is one of the most life-threatening findings on head CT, with mortality rising sharply if not diagnosed and treated within the first hour. Radiologists must rapidly scan hundreds of axial slices to identify bleeds—an arduous task prone to human error under time pressure. Automated methods for ICH detection promise to reduce turnaround times and improve patient outcomes by flagging critical studies immediately upon acquisition.</w:t>
      </w:r>
    </w:p>
    <w:p w14:paraId="4538AF45" w14:textId="0E8C9D96" w:rsidR="00C36E42" w:rsidRDefault="00C36E42" w:rsidP="00C36E42">
      <w:pPr>
        <w:spacing w:line="240" w:lineRule="auto"/>
        <w:rPr>
          <w:rFonts w:ascii="Cambria" w:hAnsi="Cambria"/>
          <w:color w:val="000000" w:themeColor="text1"/>
        </w:rPr>
      </w:pPr>
      <w:r w:rsidRPr="00C36E42">
        <w:rPr>
          <w:rFonts w:ascii="Cambria" w:hAnsi="Cambria"/>
          <w:color w:val="000000" w:themeColor="text1"/>
        </w:rPr>
        <w:t>Motivated by the RSNA 2019 Intracranial Hemorrhage Detection challenge, numerous top‐ranked solutions have relied on large ensembles of 2-D, 2.5-D, and 3-D networks</w:t>
      </w:r>
    </w:p>
    <w:p w14:paraId="0E735FB8" w14:textId="77777777" w:rsidR="00C36E42" w:rsidRDefault="00C36E42" w:rsidP="00C36E42">
      <w:pPr>
        <w:spacing w:line="240" w:lineRule="auto"/>
        <w:rPr>
          <w:rFonts w:ascii="Cambria" w:hAnsi="Cambria"/>
          <w:color w:val="000000" w:themeColor="text1"/>
        </w:rPr>
      </w:pPr>
    </w:p>
    <w:p w14:paraId="596FA51E" w14:textId="77777777" w:rsidR="00C36E42" w:rsidRDefault="00C36E42" w:rsidP="00C36E42">
      <w:pPr>
        <w:spacing w:line="240" w:lineRule="auto"/>
        <w:rPr>
          <w:rFonts w:ascii="Cambria" w:hAnsi="Cambria"/>
          <w:color w:val="000000" w:themeColor="text1"/>
        </w:rPr>
      </w:pPr>
    </w:p>
    <w:p w14:paraId="3A116F52" w14:textId="7B2BC69E" w:rsidR="00C36E42" w:rsidRPr="00C36E42" w:rsidRDefault="00C36E42" w:rsidP="00C36E42">
      <w:pPr>
        <w:spacing w:line="240" w:lineRule="auto"/>
        <w:rPr>
          <w:rFonts w:ascii="Cambria" w:hAnsi="Cambria"/>
          <w:color w:val="000000" w:themeColor="text1"/>
        </w:rPr>
      </w:pPr>
      <w:r w:rsidRPr="00C36E42">
        <w:rPr>
          <w:rFonts w:ascii="Cambria" w:hAnsi="Cambria"/>
          <w:color w:val="000000" w:themeColor="text1"/>
        </w:rPr>
        <w:t>with extensive compute budgets, achieving exceptional accuracy but at the cost of interpretability and real-world deployability. In this work, I explore a streamlined three-model pipeline that balances simplicity and performance: a logistic-regression baseline on down-sampled pixels, a compact residual CNN trained from scratch, and an ImageNet-pre-trained ResNet-18 fine-tuned end-to-end.</w:t>
      </w:r>
    </w:p>
    <w:p w14:paraId="49E87FEB" w14:textId="77777777" w:rsidR="00C36E42" w:rsidRDefault="00C36E42" w:rsidP="00C36E42">
      <w:pPr>
        <w:spacing w:line="240" w:lineRule="auto"/>
        <w:rPr>
          <w:rFonts w:ascii="Cambria" w:hAnsi="Cambria"/>
          <w:color w:val="000000" w:themeColor="text1"/>
        </w:rPr>
      </w:pPr>
      <w:r w:rsidRPr="00C36E42">
        <w:rPr>
          <w:rFonts w:ascii="Cambria" w:hAnsi="Cambria"/>
          <w:color w:val="000000" w:themeColor="text1"/>
        </w:rPr>
        <w:t>To enable clinically meaningful feature learning, each CT slice is windowed into three channels (brain, subdural, bone), resized to 160 × 160, and used to train on a patient-stratified 60 / 20 / 20 split of 20 000 slices. I employ modern training techniques—AdamW optimization with OneCycleLR scheduling—and validate on a held-out test set. Grad-CAM visualizations further reveal each model’s attention patterns. The remainder of this report details the dataset, methods, experiments, and results, demonstrating that a focused combination of multi-window preprocessing and transfer learning yields near state-of-the-art AUC with a lightweight, reproducible pipeline.</w:t>
      </w:r>
    </w:p>
    <w:p w14:paraId="432AF2E7" w14:textId="1B677859" w:rsidR="00C36E42" w:rsidRDefault="00C36E42" w:rsidP="00C36E42">
      <w:pPr>
        <w:spacing w:line="240" w:lineRule="auto"/>
        <w:jc w:val="center"/>
        <w:rPr>
          <w:rFonts w:ascii="Cambria" w:hAnsi="Cambria"/>
          <w:b/>
          <w:bCs/>
          <w:color w:val="000000" w:themeColor="text1"/>
          <w:sz w:val="22"/>
          <w:szCs w:val="22"/>
        </w:rPr>
      </w:pPr>
      <w:r w:rsidRPr="00C36E42">
        <w:rPr>
          <w:rFonts w:ascii="Cambria" w:hAnsi="Cambria"/>
          <w:b/>
          <w:bCs/>
          <w:color w:val="000000" w:themeColor="text1"/>
          <w:sz w:val="26"/>
          <w:szCs w:val="26"/>
        </w:rPr>
        <w:t>II.  B</w:t>
      </w:r>
      <w:r w:rsidRPr="00C36E42">
        <w:rPr>
          <w:rFonts w:ascii="Cambria" w:hAnsi="Cambria"/>
          <w:b/>
          <w:bCs/>
          <w:color w:val="000000" w:themeColor="text1"/>
          <w:sz w:val="22"/>
          <w:szCs w:val="22"/>
        </w:rPr>
        <w:t>ACKGROUND</w:t>
      </w:r>
    </w:p>
    <w:p w14:paraId="3A313B3B" w14:textId="77777777" w:rsidR="00523447" w:rsidRPr="00523447" w:rsidRDefault="00523447" w:rsidP="00523447">
      <w:pPr>
        <w:spacing w:line="240" w:lineRule="auto"/>
        <w:rPr>
          <w:rFonts w:ascii="Cambria" w:hAnsi="Cambria"/>
          <w:color w:val="000000" w:themeColor="text1"/>
        </w:rPr>
      </w:pPr>
      <w:r w:rsidRPr="00523447">
        <w:rPr>
          <w:rFonts w:ascii="Cambria" w:hAnsi="Cambria"/>
          <w:color w:val="000000" w:themeColor="text1"/>
        </w:rPr>
        <w:t xml:space="preserve">Intracranial hemorrhage (ICH) detection on non‐contrast head CT is a critical clinical task that demands rapid and accurate decision-making. CT images inherently span a wide range of tissue densities—from cerebrospinal fluid to bone—so radiologists routinely adjust window‐level (WL) and window‐width (WW) settings to highlight blood, soft tissue, or bone structures. Historically, rule‐based </w:t>
      </w:r>
      <w:r w:rsidRPr="00523447">
        <w:rPr>
          <w:rFonts w:ascii="Cambria" w:hAnsi="Cambria"/>
          <w:color w:val="000000" w:themeColor="text1"/>
        </w:rPr>
        <w:lastRenderedPageBreak/>
        <w:t>and classical machine learning methods (e.g., support‐vector machines on hand‐crafted features) demonstrated moderate success but required extensive feature engineering and lacked robustness across scanners and patient populations.</w:t>
      </w:r>
    </w:p>
    <w:p w14:paraId="0DBA23CC" w14:textId="77777777" w:rsidR="00523447" w:rsidRPr="00523447" w:rsidRDefault="00523447" w:rsidP="00523447">
      <w:pPr>
        <w:spacing w:line="240" w:lineRule="auto"/>
        <w:rPr>
          <w:rFonts w:ascii="Cambria" w:hAnsi="Cambria"/>
          <w:color w:val="000000" w:themeColor="text1"/>
        </w:rPr>
      </w:pPr>
      <w:r w:rsidRPr="00523447">
        <w:rPr>
          <w:rFonts w:ascii="Cambria" w:hAnsi="Cambria"/>
          <w:color w:val="000000" w:themeColor="text1"/>
        </w:rPr>
        <w:t>In recent years, convolutional neural networks (CNNs) have revolutionized medical image analysis by learning hierarchical representations directly from pixel data. Early work applied 2-D CNNs on single‐window slices, while subsequent studies developed 2.5-D models that incorporate adjacent slices or 3-D CNNs to leverage volumetric context. Transfer learning—fine-tuning ImageNet‐pretrained networks on CT data—has proven especially effective, often accelerating convergence and improving accuracy when labeled medical volumes are scarce.</w:t>
      </w:r>
    </w:p>
    <w:p w14:paraId="38FC0906" w14:textId="5463F29E" w:rsidR="00523447" w:rsidRDefault="00523447" w:rsidP="00523447">
      <w:pPr>
        <w:spacing w:line="240" w:lineRule="auto"/>
        <w:rPr>
          <w:rFonts w:ascii="Cambria" w:hAnsi="Cambria"/>
          <w:color w:val="000000" w:themeColor="text1"/>
        </w:rPr>
      </w:pPr>
      <w:r w:rsidRPr="00523447">
        <w:rPr>
          <w:rFonts w:ascii="Cambria" w:hAnsi="Cambria"/>
          <w:color w:val="000000" w:themeColor="text1"/>
        </w:rPr>
        <w:t xml:space="preserve">Grad‐CAM (gradient‐weighted class activation mapping) has become a standard tool for visualizing CNN decision‐making: it highlights the regions in an image that most strongly influence a model’s output. By combining multi‐window inputs with compact CNN architectures and transfer-learning paradigms, </w:t>
      </w:r>
      <w:r>
        <w:rPr>
          <w:rFonts w:ascii="Cambria" w:hAnsi="Cambria"/>
          <w:color w:val="000000" w:themeColor="text1"/>
        </w:rPr>
        <w:t>my</w:t>
      </w:r>
      <w:r w:rsidRPr="00523447">
        <w:rPr>
          <w:rFonts w:ascii="Cambria" w:hAnsi="Cambria"/>
          <w:color w:val="000000" w:themeColor="text1"/>
        </w:rPr>
        <w:t xml:space="preserve"> work builds on these advances to deliver a lightweight yet high‐performance pipeline suitable for rapid ICH triage in clinical settings.</w:t>
      </w:r>
    </w:p>
    <w:p w14:paraId="05CECC0D" w14:textId="0C4292D6" w:rsidR="00523447" w:rsidRDefault="00523447" w:rsidP="00523447">
      <w:pPr>
        <w:spacing w:line="240" w:lineRule="auto"/>
        <w:jc w:val="center"/>
        <w:rPr>
          <w:rFonts w:ascii="Cambria" w:hAnsi="Cambria"/>
          <w:b/>
          <w:bCs/>
          <w:color w:val="000000" w:themeColor="text1"/>
          <w:sz w:val="22"/>
          <w:szCs w:val="22"/>
        </w:rPr>
      </w:pPr>
      <w:r w:rsidRPr="00523447">
        <w:rPr>
          <w:rFonts w:ascii="Cambria" w:hAnsi="Cambria"/>
          <w:b/>
          <w:bCs/>
          <w:color w:val="000000" w:themeColor="text1"/>
          <w:sz w:val="26"/>
          <w:szCs w:val="26"/>
        </w:rPr>
        <w:t>III.  M</w:t>
      </w:r>
      <w:r w:rsidRPr="00523447">
        <w:rPr>
          <w:rFonts w:ascii="Cambria" w:hAnsi="Cambria"/>
          <w:b/>
          <w:bCs/>
          <w:color w:val="000000" w:themeColor="text1"/>
          <w:sz w:val="22"/>
          <w:szCs w:val="22"/>
        </w:rPr>
        <w:t>ETHODS</w:t>
      </w:r>
    </w:p>
    <w:p w14:paraId="5977B8CB" w14:textId="3C5EBC0C" w:rsidR="00523447" w:rsidRPr="00523447" w:rsidRDefault="00523447" w:rsidP="00523447">
      <w:pPr>
        <w:spacing w:line="240" w:lineRule="auto"/>
        <w:rPr>
          <w:rFonts w:ascii="Cambria" w:hAnsi="Cambria"/>
          <w:color w:val="000000" w:themeColor="text1"/>
        </w:rPr>
      </w:pPr>
      <w:r w:rsidRPr="00523447">
        <w:rPr>
          <w:rFonts w:ascii="Cambria" w:hAnsi="Cambria"/>
          <w:b/>
          <w:bCs/>
          <w:color w:val="000000" w:themeColor="text1"/>
        </w:rPr>
        <w:t>1.</w:t>
      </w:r>
      <w:r>
        <w:rPr>
          <w:rFonts w:ascii="Cambria" w:hAnsi="Cambria"/>
          <w:b/>
          <w:bCs/>
          <w:color w:val="000000" w:themeColor="text1"/>
        </w:rPr>
        <w:t xml:space="preserve"> </w:t>
      </w:r>
      <w:r w:rsidRPr="00523447">
        <w:rPr>
          <w:rFonts w:ascii="Cambria" w:hAnsi="Cambria"/>
          <w:b/>
          <w:bCs/>
          <w:color w:val="000000" w:themeColor="text1"/>
        </w:rPr>
        <w:t>Preprocessing and Data Preparation</w:t>
      </w:r>
      <w:r w:rsidRPr="00523447">
        <w:rPr>
          <w:rFonts w:ascii="Cambria" w:hAnsi="Cambria"/>
          <w:color w:val="000000" w:themeColor="text1"/>
        </w:rPr>
        <w:br/>
        <w:t>I first sampled a balanced subset of 20 000 axial CT slices (10 000 positive, 10 000 negative) from the full RSNA training set, stratified by patient to avoid data leakage. The master sample_20k.csv was split patient-wise into 60 % train, 20 % dev, and 20 % test. Each DICOM slice was converted to a 3-channel 160 × 160 PNG by applying three window-level settings:</w:t>
      </w:r>
    </w:p>
    <w:p w14:paraId="60F92933" w14:textId="77777777" w:rsidR="00523447" w:rsidRPr="00523447" w:rsidRDefault="00523447" w:rsidP="00523447">
      <w:pPr>
        <w:numPr>
          <w:ilvl w:val="0"/>
          <w:numId w:val="6"/>
        </w:numPr>
        <w:spacing w:line="240" w:lineRule="auto"/>
        <w:rPr>
          <w:rFonts w:ascii="Cambria" w:hAnsi="Cambria"/>
          <w:color w:val="000000" w:themeColor="text1"/>
        </w:rPr>
      </w:pPr>
      <w:r w:rsidRPr="00523447">
        <w:rPr>
          <w:rFonts w:ascii="Cambria" w:hAnsi="Cambria"/>
          <w:b/>
          <w:bCs/>
          <w:color w:val="000000" w:themeColor="text1"/>
        </w:rPr>
        <w:t>Brain window</w:t>
      </w:r>
      <w:r w:rsidRPr="00523447">
        <w:rPr>
          <w:rFonts w:ascii="Cambria" w:hAnsi="Cambria"/>
          <w:color w:val="000000" w:themeColor="text1"/>
        </w:rPr>
        <w:t xml:space="preserve"> (WL = 40, WW = 80) for parenchymal contrast</w:t>
      </w:r>
    </w:p>
    <w:p w14:paraId="51AE611E" w14:textId="77777777" w:rsidR="00523447" w:rsidRPr="00523447" w:rsidRDefault="00523447" w:rsidP="00523447">
      <w:pPr>
        <w:numPr>
          <w:ilvl w:val="0"/>
          <w:numId w:val="6"/>
        </w:numPr>
        <w:spacing w:line="240" w:lineRule="auto"/>
        <w:rPr>
          <w:rFonts w:ascii="Cambria" w:hAnsi="Cambria"/>
          <w:color w:val="000000" w:themeColor="text1"/>
        </w:rPr>
      </w:pPr>
      <w:r w:rsidRPr="00523447">
        <w:rPr>
          <w:rFonts w:ascii="Cambria" w:hAnsi="Cambria"/>
          <w:b/>
          <w:bCs/>
          <w:color w:val="000000" w:themeColor="text1"/>
        </w:rPr>
        <w:t>Subdural window</w:t>
      </w:r>
      <w:r w:rsidRPr="00523447">
        <w:rPr>
          <w:rFonts w:ascii="Cambria" w:hAnsi="Cambria"/>
          <w:color w:val="000000" w:themeColor="text1"/>
        </w:rPr>
        <w:t xml:space="preserve"> (WL = 75, WW = 215) for extra-axial blood</w:t>
      </w:r>
    </w:p>
    <w:p w14:paraId="29D0A2B4" w14:textId="77777777" w:rsidR="00523447" w:rsidRPr="00523447" w:rsidRDefault="00523447" w:rsidP="00523447">
      <w:pPr>
        <w:numPr>
          <w:ilvl w:val="0"/>
          <w:numId w:val="6"/>
        </w:numPr>
        <w:spacing w:line="240" w:lineRule="auto"/>
        <w:rPr>
          <w:rFonts w:ascii="Cambria" w:hAnsi="Cambria"/>
          <w:color w:val="000000" w:themeColor="text1"/>
        </w:rPr>
      </w:pPr>
      <w:r w:rsidRPr="00523447">
        <w:rPr>
          <w:rFonts w:ascii="Cambria" w:hAnsi="Cambria"/>
          <w:b/>
          <w:bCs/>
          <w:color w:val="000000" w:themeColor="text1"/>
        </w:rPr>
        <w:t>Bone window</w:t>
      </w:r>
      <w:r w:rsidRPr="00523447">
        <w:rPr>
          <w:rFonts w:ascii="Cambria" w:hAnsi="Cambria"/>
          <w:color w:val="000000" w:themeColor="text1"/>
        </w:rPr>
        <w:t xml:space="preserve"> (WL = 600, WW = 2000) for high-contrast structures</w:t>
      </w:r>
    </w:p>
    <w:p w14:paraId="17BF365B" w14:textId="66D27233" w:rsidR="00523447" w:rsidRPr="00523447" w:rsidRDefault="00523447" w:rsidP="00523447">
      <w:pPr>
        <w:spacing w:line="240" w:lineRule="auto"/>
        <w:rPr>
          <w:rFonts w:ascii="Cambria" w:hAnsi="Cambria"/>
          <w:color w:val="000000" w:themeColor="text1"/>
        </w:rPr>
      </w:pPr>
      <w:r w:rsidRPr="00523447">
        <w:rPr>
          <w:rFonts w:ascii="Cambria" w:hAnsi="Cambria"/>
          <w:color w:val="000000" w:themeColor="text1"/>
        </w:rPr>
        <w:t>These channels were stacked as a pseudo-RGB image, resized with area interpolation, and written to data/processed/160. Training‐time augmentations included random horizontal flips and rotations up to ±10°.</w:t>
      </w:r>
    </w:p>
    <w:p w14:paraId="1D95035F" w14:textId="58701A20" w:rsidR="00523447" w:rsidRPr="00523447" w:rsidRDefault="00523447" w:rsidP="00523447">
      <w:pPr>
        <w:spacing w:line="240" w:lineRule="auto"/>
        <w:rPr>
          <w:rFonts w:ascii="Cambria" w:hAnsi="Cambria"/>
          <w:color w:val="000000" w:themeColor="text1"/>
        </w:rPr>
      </w:pPr>
      <w:r w:rsidRPr="00523447">
        <w:rPr>
          <w:rFonts w:ascii="Cambria" w:hAnsi="Cambria"/>
          <w:b/>
          <w:bCs/>
          <w:color w:val="000000" w:themeColor="text1"/>
        </w:rPr>
        <w:t>2</w:t>
      </w:r>
      <w:r>
        <w:rPr>
          <w:rFonts w:ascii="Cambria" w:hAnsi="Cambria"/>
          <w:b/>
          <w:bCs/>
          <w:color w:val="000000" w:themeColor="text1"/>
        </w:rPr>
        <w:t>.</w:t>
      </w:r>
      <w:r w:rsidRPr="00523447">
        <w:rPr>
          <w:rFonts w:ascii="Cambria" w:hAnsi="Cambria"/>
          <w:b/>
          <w:bCs/>
          <w:color w:val="000000" w:themeColor="text1"/>
        </w:rPr>
        <w:t xml:space="preserve"> Models</w:t>
      </w:r>
      <w:r w:rsidRPr="00523447">
        <w:rPr>
          <w:rFonts w:ascii="Cambria" w:hAnsi="Cambria"/>
          <w:color w:val="000000" w:themeColor="text1"/>
        </w:rPr>
        <w:br/>
        <w:t>Three architectures were evaluated:</w:t>
      </w:r>
    </w:p>
    <w:p w14:paraId="78AF23D5" w14:textId="5A3290DC" w:rsidR="00523447" w:rsidRPr="00523447" w:rsidRDefault="00523447" w:rsidP="00523447">
      <w:pPr>
        <w:numPr>
          <w:ilvl w:val="0"/>
          <w:numId w:val="7"/>
        </w:numPr>
        <w:spacing w:line="240" w:lineRule="auto"/>
        <w:rPr>
          <w:rFonts w:ascii="Cambria" w:hAnsi="Cambria"/>
          <w:color w:val="000000" w:themeColor="text1"/>
        </w:rPr>
      </w:pPr>
      <w:r w:rsidRPr="00523447">
        <w:rPr>
          <w:rFonts w:ascii="Cambria" w:hAnsi="Cambria"/>
          <w:b/>
          <w:bCs/>
          <w:color w:val="000000" w:themeColor="text1"/>
        </w:rPr>
        <w:t>Logistic Regression (Baseline)</w:t>
      </w:r>
      <w:r w:rsidRPr="00523447">
        <w:rPr>
          <w:rFonts w:ascii="Cambria" w:hAnsi="Cambria"/>
          <w:color w:val="000000" w:themeColor="text1"/>
        </w:rPr>
        <w:t xml:space="preserve"> Each PNG was loaded as a single‐channel 160² grayscale image, flattened to a 25 600-dim vector, and fit with L2-regularized logistic regression (class_weight='balanced').</w:t>
      </w:r>
    </w:p>
    <w:p w14:paraId="71FE97CA" w14:textId="60EC1C37" w:rsidR="00523447" w:rsidRPr="00523447" w:rsidRDefault="00523447" w:rsidP="00523447">
      <w:pPr>
        <w:numPr>
          <w:ilvl w:val="0"/>
          <w:numId w:val="7"/>
        </w:numPr>
        <w:spacing w:line="240" w:lineRule="auto"/>
        <w:rPr>
          <w:rFonts w:ascii="Cambria" w:hAnsi="Cambria"/>
          <w:color w:val="000000" w:themeColor="text1"/>
        </w:rPr>
      </w:pPr>
      <w:r w:rsidRPr="00523447">
        <w:rPr>
          <w:rFonts w:ascii="Cambria" w:hAnsi="Cambria"/>
          <w:b/>
          <w:bCs/>
          <w:color w:val="000000" w:themeColor="text1"/>
        </w:rPr>
        <w:t>SmallResNet (Scratch)</w:t>
      </w:r>
      <w:r w:rsidRPr="00523447">
        <w:rPr>
          <w:rFonts w:ascii="Cambria" w:hAnsi="Cambria"/>
          <w:color w:val="000000" w:themeColor="text1"/>
        </w:rPr>
        <w:t xml:space="preserve"> A custom residual CNN with three residual blocks (channel widths 32→64→128→256), each incorporating a squeeze-and-excitation unit and 3×3 convolutions, followed by global average pooling and a single-unit output layer. Input channels = 3. Total parameters ≈ 1.2 M.</w:t>
      </w:r>
    </w:p>
    <w:p w14:paraId="035C848E" w14:textId="5D035115" w:rsidR="00523447" w:rsidRPr="00523447" w:rsidRDefault="00523447" w:rsidP="00523447">
      <w:pPr>
        <w:numPr>
          <w:ilvl w:val="0"/>
          <w:numId w:val="7"/>
        </w:numPr>
        <w:spacing w:line="240" w:lineRule="auto"/>
        <w:rPr>
          <w:rFonts w:ascii="Cambria" w:hAnsi="Cambria"/>
          <w:color w:val="000000" w:themeColor="text1"/>
        </w:rPr>
      </w:pPr>
      <w:r w:rsidRPr="00523447">
        <w:rPr>
          <w:rFonts w:ascii="Cambria" w:hAnsi="Cambria"/>
          <w:b/>
          <w:bCs/>
          <w:color w:val="000000" w:themeColor="text1"/>
        </w:rPr>
        <w:t>ResNet-18 Fine-Tune</w:t>
      </w:r>
      <w:r w:rsidRPr="00523447">
        <w:rPr>
          <w:rFonts w:ascii="Cambria" w:hAnsi="Cambria"/>
          <w:color w:val="000000" w:themeColor="text1"/>
        </w:rPr>
        <w:t xml:space="preserve"> The standard ImageNet-pretrained ResNet-18, modified to accept 3-channel 160×160 inputs (conv1 kernel updated) and a single-unit output layer. All layers were fine-tuned.</w:t>
      </w:r>
    </w:p>
    <w:p w14:paraId="0F55FD14" w14:textId="47386975" w:rsidR="00523447" w:rsidRDefault="00523447" w:rsidP="00523447">
      <w:pPr>
        <w:spacing w:line="240" w:lineRule="auto"/>
        <w:rPr>
          <w:rFonts w:ascii="Cambria" w:hAnsi="Cambria"/>
          <w:color w:val="000000" w:themeColor="text1"/>
        </w:rPr>
      </w:pPr>
      <w:r w:rsidRPr="00523447">
        <w:rPr>
          <w:rFonts w:ascii="Cambria" w:hAnsi="Cambria"/>
          <w:b/>
          <w:bCs/>
          <w:color w:val="000000" w:themeColor="text1"/>
        </w:rPr>
        <w:t>3</w:t>
      </w:r>
      <w:r>
        <w:rPr>
          <w:rFonts w:ascii="Cambria" w:hAnsi="Cambria"/>
          <w:b/>
          <w:bCs/>
          <w:color w:val="000000" w:themeColor="text1"/>
        </w:rPr>
        <w:t>.</w:t>
      </w:r>
      <w:r w:rsidRPr="00523447">
        <w:rPr>
          <w:rFonts w:ascii="Cambria" w:hAnsi="Cambria"/>
          <w:b/>
          <w:bCs/>
          <w:color w:val="000000" w:themeColor="text1"/>
        </w:rPr>
        <w:t xml:space="preserve"> Training and Hyperparameter Tuning</w:t>
      </w:r>
      <w:r w:rsidRPr="00523447">
        <w:rPr>
          <w:rFonts w:ascii="Cambria" w:hAnsi="Cambria"/>
          <w:color w:val="000000" w:themeColor="text1"/>
        </w:rPr>
        <w:br/>
        <w:t xml:space="preserve">Models were trained with </w:t>
      </w:r>
      <w:r w:rsidRPr="00523447">
        <w:rPr>
          <w:rFonts w:ascii="Cambria" w:hAnsi="Cambria"/>
          <w:b/>
          <w:bCs/>
          <w:color w:val="000000" w:themeColor="text1"/>
        </w:rPr>
        <w:t>binary cross-entropy with logits</w:t>
      </w:r>
      <w:r w:rsidRPr="00523447">
        <w:rPr>
          <w:rFonts w:ascii="Cambria" w:hAnsi="Cambria"/>
          <w:color w:val="000000" w:themeColor="text1"/>
        </w:rPr>
        <w:t xml:space="preserve"> loss on positive (any=1) vs. negative slices. The optimizer was </w:t>
      </w:r>
      <w:r w:rsidRPr="00523447">
        <w:rPr>
          <w:rFonts w:ascii="Cambria" w:hAnsi="Cambria"/>
          <w:b/>
          <w:bCs/>
          <w:color w:val="000000" w:themeColor="text1"/>
        </w:rPr>
        <w:t>AdamW</w:t>
      </w:r>
      <w:r w:rsidRPr="00523447">
        <w:rPr>
          <w:rFonts w:ascii="Cambria" w:hAnsi="Cambria"/>
          <w:color w:val="000000" w:themeColor="text1"/>
        </w:rPr>
        <w:t xml:space="preserve"> (weight_decay=1e-4) combined with </w:t>
      </w:r>
      <w:r w:rsidRPr="00523447">
        <w:rPr>
          <w:rFonts w:ascii="Cambria" w:hAnsi="Cambria"/>
          <w:b/>
          <w:bCs/>
          <w:color w:val="000000" w:themeColor="text1"/>
        </w:rPr>
        <w:t>OneCycleLR</w:t>
      </w:r>
      <w:r w:rsidRPr="00523447">
        <w:rPr>
          <w:rFonts w:ascii="Cambria" w:hAnsi="Cambria"/>
          <w:color w:val="000000" w:themeColor="text1"/>
        </w:rPr>
        <w:t xml:space="preserve"> (peak LR = chosen LR; total steps = epochs</w:t>
      </w:r>
      <w:r w:rsidR="006C1774" w:rsidRPr="00523447">
        <w:rPr>
          <w:rFonts w:ascii="Cambria" w:hAnsi="Cambria"/>
          <w:color w:val="000000" w:themeColor="text1"/>
        </w:rPr>
        <w:t>×</w:t>
      </w:r>
      <w:r w:rsidRPr="00523447">
        <w:rPr>
          <w:rFonts w:ascii="Cambria" w:hAnsi="Cambria"/>
          <w:color w:val="000000" w:themeColor="text1"/>
        </w:rPr>
        <w:t>(N_train/B)). Early stopping with patience = 3 epochs prevented over-training.</w:t>
      </w:r>
    </w:p>
    <w:p w14:paraId="38D40D68" w14:textId="77777777" w:rsidR="006C1774" w:rsidRPr="00523447" w:rsidRDefault="006C1774" w:rsidP="00523447">
      <w:pPr>
        <w:spacing w:line="240" w:lineRule="auto"/>
        <w:rPr>
          <w:rFonts w:ascii="Cambria" w:hAnsi="Cambria"/>
          <w:color w:val="000000" w:themeColor="text1"/>
        </w:rPr>
      </w:pPr>
    </w:p>
    <w:p w14:paraId="70DA924C" w14:textId="77777777" w:rsidR="00523447" w:rsidRPr="00523447" w:rsidRDefault="00523447" w:rsidP="00523447">
      <w:pPr>
        <w:numPr>
          <w:ilvl w:val="0"/>
          <w:numId w:val="8"/>
        </w:numPr>
        <w:spacing w:line="240" w:lineRule="auto"/>
        <w:rPr>
          <w:rFonts w:ascii="Cambria" w:hAnsi="Cambria"/>
          <w:color w:val="000000" w:themeColor="text1"/>
        </w:rPr>
      </w:pPr>
      <w:r w:rsidRPr="00523447">
        <w:rPr>
          <w:rFonts w:ascii="Cambria" w:hAnsi="Cambria"/>
          <w:b/>
          <w:bCs/>
          <w:color w:val="000000" w:themeColor="text1"/>
        </w:rPr>
        <w:lastRenderedPageBreak/>
        <w:t>Hyperparameter sweep</w:t>
      </w:r>
      <w:r w:rsidRPr="00523447">
        <w:rPr>
          <w:rFonts w:ascii="Cambria" w:hAnsi="Cambria"/>
          <w:color w:val="000000" w:themeColor="text1"/>
        </w:rPr>
        <w:t>: learning rates {1e-3, 3e-4} for SmallResNet and {1e-4, 3e-5} for ResNet-18; batch sizes 32 and 16 respectively; each trial ran 6 epochs on train/dev only. The best dev AUC determined the LR.</w:t>
      </w:r>
    </w:p>
    <w:p w14:paraId="0C2B69FE" w14:textId="77777777" w:rsidR="00523447" w:rsidRPr="00523447" w:rsidRDefault="00523447" w:rsidP="00523447">
      <w:pPr>
        <w:numPr>
          <w:ilvl w:val="0"/>
          <w:numId w:val="8"/>
        </w:numPr>
        <w:spacing w:line="240" w:lineRule="auto"/>
        <w:rPr>
          <w:rFonts w:ascii="Cambria" w:hAnsi="Cambria"/>
          <w:color w:val="000000" w:themeColor="text1"/>
        </w:rPr>
      </w:pPr>
      <w:r w:rsidRPr="00523447">
        <w:rPr>
          <w:rFonts w:ascii="Cambria" w:hAnsi="Cambria"/>
          <w:b/>
          <w:bCs/>
          <w:color w:val="000000" w:themeColor="text1"/>
        </w:rPr>
        <w:t>Final training</w:t>
      </w:r>
      <w:r w:rsidRPr="00523447">
        <w:rPr>
          <w:rFonts w:ascii="Cambria" w:hAnsi="Cambria"/>
          <w:color w:val="000000" w:themeColor="text1"/>
        </w:rPr>
        <w:t>: selected LR on the combined train+dev set for up to 15 epochs, with early stopping. All training ran on Apple-Silicon MPS unless unavailable.</w:t>
      </w:r>
    </w:p>
    <w:p w14:paraId="6F6540C9" w14:textId="23618A36" w:rsidR="00523447" w:rsidRPr="00523447" w:rsidRDefault="00523447" w:rsidP="00523447">
      <w:pPr>
        <w:spacing w:line="240" w:lineRule="auto"/>
        <w:rPr>
          <w:rFonts w:ascii="Cambria" w:hAnsi="Cambria"/>
          <w:color w:val="000000" w:themeColor="text1"/>
        </w:rPr>
      </w:pPr>
      <w:r w:rsidRPr="00523447">
        <w:rPr>
          <w:rFonts w:ascii="Cambria" w:hAnsi="Cambria"/>
          <w:color w:val="000000" w:themeColor="text1"/>
        </w:rPr>
        <w:t>Data loading and batching used PyTorch DataLoader with 4 workers and normalized inputs. The entire pipeline—from DICOM windows to PNG conversion, through model training and Grad-CAM visualization—was fully automated via CLI scripts (preprocess.py, train.py, tune.py, evaluate.py, cam.py), ensuring reproducibility.</w:t>
      </w:r>
    </w:p>
    <w:p w14:paraId="364D7947" w14:textId="047B0042" w:rsidR="00C36E42" w:rsidRDefault="006C1774" w:rsidP="006C1774">
      <w:pPr>
        <w:spacing w:line="240" w:lineRule="auto"/>
        <w:jc w:val="center"/>
        <w:rPr>
          <w:rFonts w:ascii="Cambria" w:hAnsi="Cambria"/>
          <w:b/>
          <w:bCs/>
          <w:sz w:val="22"/>
          <w:szCs w:val="22"/>
        </w:rPr>
      </w:pPr>
      <w:r w:rsidRPr="006C1774">
        <w:rPr>
          <w:rFonts w:ascii="Cambria" w:hAnsi="Cambria"/>
          <w:b/>
          <w:bCs/>
          <w:color w:val="000000" w:themeColor="text1"/>
          <w:sz w:val="26"/>
          <w:szCs w:val="26"/>
        </w:rPr>
        <w:t>IV.</w:t>
      </w:r>
      <w:r w:rsidRPr="006C1774">
        <w:rPr>
          <w:rFonts w:ascii="Cambria" w:hAnsi="Cambria"/>
          <w:b/>
          <w:bCs/>
          <w:sz w:val="26"/>
          <w:szCs w:val="26"/>
        </w:rPr>
        <w:t xml:space="preserve">  E</w:t>
      </w:r>
      <w:r w:rsidRPr="006C1774">
        <w:rPr>
          <w:rFonts w:ascii="Cambria" w:hAnsi="Cambria"/>
          <w:b/>
          <w:bCs/>
          <w:sz w:val="22"/>
          <w:szCs w:val="22"/>
        </w:rPr>
        <w:t>XPERIMENTS</w:t>
      </w:r>
    </w:p>
    <w:p w14:paraId="3D6655BF" w14:textId="63F20773" w:rsidR="004A6EA4" w:rsidRPr="004A6EA4" w:rsidRDefault="004A6EA4" w:rsidP="004A6EA4">
      <w:pPr>
        <w:spacing w:line="240" w:lineRule="auto"/>
        <w:rPr>
          <w:rFonts w:ascii="Cambria" w:hAnsi="Cambria"/>
          <w:color w:val="000000" w:themeColor="text1"/>
        </w:rPr>
      </w:pPr>
      <w:r w:rsidRPr="004A6EA4">
        <w:rPr>
          <w:rFonts w:ascii="Cambria" w:hAnsi="Cambria"/>
          <w:b/>
          <w:bCs/>
          <w:color w:val="000000" w:themeColor="text1"/>
        </w:rPr>
        <w:t>1</w:t>
      </w:r>
      <w:r>
        <w:rPr>
          <w:rFonts w:ascii="Cambria" w:hAnsi="Cambria"/>
          <w:b/>
          <w:bCs/>
          <w:color w:val="000000" w:themeColor="text1"/>
        </w:rPr>
        <w:t>.</w:t>
      </w:r>
      <w:r w:rsidRPr="004A6EA4">
        <w:rPr>
          <w:rFonts w:ascii="Cambria" w:hAnsi="Cambria"/>
          <w:b/>
          <w:bCs/>
          <w:color w:val="000000" w:themeColor="text1"/>
        </w:rPr>
        <w:t xml:space="preserve"> Hyperparameter Tuning (Dev Set)</w:t>
      </w:r>
      <w:r w:rsidRPr="004A6EA4">
        <w:rPr>
          <w:rFonts w:ascii="Cambria" w:hAnsi="Cambria"/>
          <w:color w:val="000000" w:themeColor="text1"/>
        </w:rPr>
        <w:br/>
        <w:t>I tuned learning‐rate on the dev split (20 % of data) for the two CNN models, holding batch size fixed.</w:t>
      </w:r>
    </w:p>
    <w:p w14:paraId="19F45BBA" w14:textId="77777777" w:rsidR="004A6EA4" w:rsidRPr="004A6EA4" w:rsidRDefault="004A6EA4" w:rsidP="004A6EA4">
      <w:pPr>
        <w:spacing w:line="240" w:lineRule="auto"/>
        <w:rPr>
          <w:rFonts w:ascii="Cambria" w:hAnsi="Cambria"/>
          <w:color w:val="000000" w:themeColor="text1"/>
        </w:rPr>
      </w:pPr>
      <w:r w:rsidRPr="004A6EA4">
        <w:rPr>
          <w:rFonts w:ascii="Cambria" w:hAnsi="Cambria"/>
          <w:b/>
          <w:bCs/>
          <w:color w:val="000000" w:themeColor="text1"/>
        </w:rPr>
        <w:t>SmallResNet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685"/>
        <w:gridCol w:w="996"/>
      </w:tblGrid>
      <w:tr w:rsidR="004A6EA4" w:rsidRPr="004A6EA4" w14:paraId="79F0216D" w14:textId="77777777" w:rsidTr="004A6EA4">
        <w:trPr>
          <w:tblHeader/>
          <w:tblCellSpacing w:w="15" w:type="dxa"/>
        </w:trPr>
        <w:tc>
          <w:tcPr>
            <w:tcW w:w="0" w:type="auto"/>
            <w:vAlign w:val="center"/>
            <w:hideMark/>
          </w:tcPr>
          <w:p w14:paraId="4E6FB228" w14:textId="77777777" w:rsidR="004A6EA4" w:rsidRPr="004A6EA4" w:rsidRDefault="004A6EA4" w:rsidP="004A6EA4">
            <w:pPr>
              <w:spacing w:line="240" w:lineRule="auto"/>
              <w:rPr>
                <w:rFonts w:ascii="Cambria" w:hAnsi="Cambria"/>
                <w:b/>
                <w:bCs/>
                <w:color w:val="000000" w:themeColor="text1"/>
              </w:rPr>
            </w:pPr>
            <w:r w:rsidRPr="004A6EA4">
              <w:rPr>
                <w:rFonts w:ascii="Cambria" w:hAnsi="Cambria"/>
                <w:b/>
                <w:bCs/>
                <w:color w:val="000000" w:themeColor="text1"/>
              </w:rPr>
              <w:t>Learning rate</w:t>
            </w:r>
          </w:p>
        </w:tc>
        <w:tc>
          <w:tcPr>
            <w:tcW w:w="0" w:type="auto"/>
            <w:vAlign w:val="center"/>
            <w:hideMark/>
          </w:tcPr>
          <w:p w14:paraId="2E127C3A" w14:textId="77777777" w:rsidR="004A6EA4" w:rsidRPr="004A6EA4" w:rsidRDefault="004A6EA4" w:rsidP="004A6EA4">
            <w:pPr>
              <w:spacing w:line="240" w:lineRule="auto"/>
              <w:rPr>
                <w:rFonts w:ascii="Cambria" w:hAnsi="Cambria"/>
                <w:b/>
                <w:bCs/>
                <w:color w:val="000000" w:themeColor="text1"/>
              </w:rPr>
            </w:pPr>
            <w:r w:rsidRPr="004A6EA4">
              <w:rPr>
                <w:rFonts w:ascii="Cambria" w:hAnsi="Cambria"/>
                <w:b/>
                <w:bCs/>
                <w:color w:val="000000" w:themeColor="text1"/>
              </w:rPr>
              <w:t>Batch</w:t>
            </w:r>
          </w:p>
        </w:tc>
        <w:tc>
          <w:tcPr>
            <w:tcW w:w="0" w:type="auto"/>
            <w:vAlign w:val="center"/>
            <w:hideMark/>
          </w:tcPr>
          <w:p w14:paraId="163492CB" w14:textId="77777777" w:rsidR="004A6EA4" w:rsidRPr="004A6EA4" w:rsidRDefault="004A6EA4" w:rsidP="004A6EA4">
            <w:pPr>
              <w:spacing w:line="240" w:lineRule="auto"/>
              <w:rPr>
                <w:rFonts w:ascii="Cambria" w:hAnsi="Cambria"/>
                <w:b/>
                <w:bCs/>
                <w:color w:val="000000" w:themeColor="text1"/>
              </w:rPr>
            </w:pPr>
            <w:r w:rsidRPr="004A6EA4">
              <w:rPr>
                <w:rFonts w:ascii="Cambria" w:hAnsi="Cambria"/>
                <w:b/>
                <w:bCs/>
                <w:color w:val="000000" w:themeColor="text1"/>
              </w:rPr>
              <w:t>Dev AUC</w:t>
            </w:r>
          </w:p>
        </w:tc>
      </w:tr>
      <w:tr w:rsidR="004A6EA4" w:rsidRPr="004A6EA4" w14:paraId="384466DC" w14:textId="77777777" w:rsidTr="004A6EA4">
        <w:trPr>
          <w:tblCellSpacing w:w="15" w:type="dxa"/>
        </w:trPr>
        <w:tc>
          <w:tcPr>
            <w:tcW w:w="0" w:type="auto"/>
            <w:vAlign w:val="center"/>
            <w:hideMark/>
          </w:tcPr>
          <w:p w14:paraId="0C3F4ED5"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1 × 10⁻³</w:t>
            </w:r>
          </w:p>
        </w:tc>
        <w:tc>
          <w:tcPr>
            <w:tcW w:w="0" w:type="auto"/>
            <w:vAlign w:val="center"/>
            <w:hideMark/>
          </w:tcPr>
          <w:p w14:paraId="73BFFAFF"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32</w:t>
            </w:r>
          </w:p>
        </w:tc>
        <w:tc>
          <w:tcPr>
            <w:tcW w:w="0" w:type="auto"/>
            <w:vAlign w:val="center"/>
            <w:hideMark/>
          </w:tcPr>
          <w:p w14:paraId="270CFCA1"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0.7597</w:t>
            </w:r>
          </w:p>
        </w:tc>
      </w:tr>
      <w:tr w:rsidR="004A6EA4" w:rsidRPr="004A6EA4" w14:paraId="16F06E4D" w14:textId="77777777" w:rsidTr="004A6EA4">
        <w:trPr>
          <w:tblCellSpacing w:w="15" w:type="dxa"/>
        </w:trPr>
        <w:tc>
          <w:tcPr>
            <w:tcW w:w="0" w:type="auto"/>
            <w:vAlign w:val="center"/>
            <w:hideMark/>
          </w:tcPr>
          <w:p w14:paraId="332ACC81"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3 × 10⁻⁴</w:t>
            </w:r>
          </w:p>
        </w:tc>
        <w:tc>
          <w:tcPr>
            <w:tcW w:w="0" w:type="auto"/>
            <w:vAlign w:val="center"/>
            <w:hideMark/>
          </w:tcPr>
          <w:p w14:paraId="0BF44EC0"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32</w:t>
            </w:r>
          </w:p>
        </w:tc>
        <w:tc>
          <w:tcPr>
            <w:tcW w:w="0" w:type="auto"/>
            <w:vAlign w:val="center"/>
            <w:hideMark/>
          </w:tcPr>
          <w:p w14:paraId="367DE614"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0.7492</w:t>
            </w:r>
          </w:p>
        </w:tc>
      </w:tr>
    </w:tbl>
    <w:p w14:paraId="23412594" w14:textId="51FD2A0C"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 xml:space="preserve">The best dev AUC was </w:t>
      </w:r>
      <w:r w:rsidRPr="004A6EA4">
        <w:rPr>
          <w:rFonts w:ascii="Cambria" w:hAnsi="Cambria"/>
          <w:b/>
          <w:bCs/>
          <w:color w:val="000000" w:themeColor="text1"/>
        </w:rPr>
        <w:t>0.7597</w:t>
      </w:r>
      <w:r w:rsidRPr="004A6EA4">
        <w:rPr>
          <w:rFonts w:ascii="Cambria" w:hAnsi="Cambria"/>
          <w:color w:val="000000" w:themeColor="text1"/>
        </w:rPr>
        <w:t xml:space="preserve"> at </w:t>
      </w:r>
      <w:r w:rsidRPr="004A6EA4">
        <w:rPr>
          <w:rFonts w:ascii="Cambria" w:hAnsi="Cambria"/>
          <w:b/>
          <w:bCs/>
          <w:color w:val="000000" w:themeColor="text1"/>
        </w:rPr>
        <w:t>LR = 1 × 10⁻³</w:t>
      </w:r>
      <w:r w:rsidRPr="004A6EA4">
        <w:rPr>
          <w:rFonts w:ascii="Cambria" w:hAnsi="Cambria"/>
          <w:color w:val="000000" w:themeColor="text1"/>
        </w:rPr>
        <w:t>, which was used for final training.</w:t>
      </w:r>
    </w:p>
    <w:p w14:paraId="154B6A99" w14:textId="5523EEFA" w:rsidR="004A6EA4" w:rsidRPr="004A6EA4" w:rsidRDefault="004A6EA4" w:rsidP="004A6EA4">
      <w:pPr>
        <w:spacing w:line="240" w:lineRule="auto"/>
        <w:rPr>
          <w:rFonts w:ascii="Cambria" w:hAnsi="Cambria"/>
          <w:color w:val="000000" w:themeColor="text1"/>
        </w:rPr>
      </w:pPr>
      <w:r w:rsidRPr="004A6EA4">
        <w:rPr>
          <w:rFonts w:ascii="Cambria" w:hAnsi="Cambria"/>
          <w:b/>
          <w:bCs/>
          <w:color w:val="000000" w:themeColor="text1"/>
        </w:rPr>
        <w:t>2</w:t>
      </w:r>
      <w:r>
        <w:rPr>
          <w:rFonts w:ascii="Cambria" w:hAnsi="Cambria"/>
          <w:b/>
          <w:bCs/>
          <w:color w:val="000000" w:themeColor="text1"/>
        </w:rPr>
        <w:t>.</w:t>
      </w:r>
      <w:r w:rsidRPr="004A6EA4">
        <w:rPr>
          <w:rFonts w:ascii="Cambria" w:hAnsi="Cambria"/>
          <w:b/>
          <w:bCs/>
          <w:color w:val="000000" w:themeColor="text1"/>
        </w:rPr>
        <w:t xml:space="preserve"> Final Test‐Set Metrics</w:t>
      </w:r>
      <w:r w:rsidRPr="004A6EA4">
        <w:rPr>
          <w:rFonts w:ascii="Cambria" w:hAnsi="Cambria"/>
          <w:color w:val="000000" w:themeColor="text1"/>
        </w:rPr>
        <w:br/>
        <w:t>Each model was retrained on the combined train+dev set (80 % of data) using its selected hyper‐parameters, then evaluated once on the held‐out test split (20 %). Early stopping (patience = 3) prevented over‐training.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4"/>
        <w:gridCol w:w="993"/>
        <w:gridCol w:w="913"/>
      </w:tblGrid>
      <w:tr w:rsidR="004A6EA4" w:rsidRPr="004A6EA4" w14:paraId="71DAD03C" w14:textId="77777777" w:rsidTr="004A6EA4">
        <w:trPr>
          <w:tblHeader/>
          <w:tblCellSpacing w:w="15" w:type="dxa"/>
        </w:trPr>
        <w:tc>
          <w:tcPr>
            <w:tcW w:w="0" w:type="auto"/>
            <w:vAlign w:val="center"/>
            <w:hideMark/>
          </w:tcPr>
          <w:p w14:paraId="09451C2B" w14:textId="77777777" w:rsidR="004A6EA4" w:rsidRPr="004A6EA4" w:rsidRDefault="004A6EA4" w:rsidP="004A6EA4">
            <w:pPr>
              <w:spacing w:line="240" w:lineRule="auto"/>
              <w:rPr>
                <w:rFonts w:ascii="Cambria" w:hAnsi="Cambria"/>
                <w:b/>
                <w:bCs/>
                <w:color w:val="000000" w:themeColor="text1"/>
              </w:rPr>
            </w:pPr>
            <w:r w:rsidRPr="004A6EA4">
              <w:rPr>
                <w:rFonts w:ascii="Cambria" w:hAnsi="Cambria"/>
                <w:b/>
                <w:bCs/>
                <w:color w:val="000000" w:themeColor="text1"/>
              </w:rPr>
              <w:t>Model</w:t>
            </w:r>
          </w:p>
        </w:tc>
        <w:tc>
          <w:tcPr>
            <w:tcW w:w="0" w:type="auto"/>
            <w:vAlign w:val="center"/>
            <w:hideMark/>
          </w:tcPr>
          <w:p w14:paraId="3B565405" w14:textId="77777777" w:rsidR="004A6EA4" w:rsidRPr="004A6EA4" w:rsidRDefault="004A6EA4" w:rsidP="004A6EA4">
            <w:pPr>
              <w:spacing w:line="240" w:lineRule="auto"/>
              <w:rPr>
                <w:rFonts w:ascii="Cambria" w:hAnsi="Cambria"/>
                <w:b/>
                <w:bCs/>
                <w:color w:val="000000" w:themeColor="text1"/>
              </w:rPr>
            </w:pPr>
            <w:r w:rsidRPr="004A6EA4">
              <w:rPr>
                <w:rFonts w:ascii="Cambria" w:hAnsi="Cambria"/>
                <w:b/>
                <w:bCs/>
                <w:color w:val="000000" w:themeColor="text1"/>
              </w:rPr>
              <w:t>Test AUC</w:t>
            </w:r>
          </w:p>
        </w:tc>
        <w:tc>
          <w:tcPr>
            <w:tcW w:w="0" w:type="auto"/>
            <w:vAlign w:val="center"/>
            <w:hideMark/>
          </w:tcPr>
          <w:p w14:paraId="79E218B5" w14:textId="77777777" w:rsidR="004A6EA4" w:rsidRPr="004A6EA4" w:rsidRDefault="004A6EA4" w:rsidP="004A6EA4">
            <w:pPr>
              <w:spacing w:line="240" w:lineRule="auto"/>
              <w:rPr>
                <w:rFonts w:ascii="Cambria" w:hAnsi="Cambria"/>
                <w:b/>
                <w:bCs/>
                <w:color w:val="000000" w:themeColor="text1"/>
              </w:rPr>
            </w:pPr>
            <w:r w:rsidRPr="004A6EA4">
              <w:rPr>
                <w:rFonts w:ascii="Cambria" w:hAnsi="Cambria"/>
                <w:b/>
                <w:bCs/>
                <w:color w:val="000000" w:themeColor="text1"/>
              </w:rPr>
              <w:t>Test F1</w:t>
            </w:r>
          </w:p>
        </w:tc>
      </w:tr>
      <w:tr w:rsidR="004A6EA4" w:rsidRPr="004A6EA4" w14:paraId="5594D379" w14:textId="77777777" w:rsidTr="004A6EA4">
        <w:trPr>
          <w:tblCellSpacing w:w="15" w:type="dxa"/>
        </w:trPr>
        <w:tc>
          <w:tcPr>
            <w:tcW w:w="0" w:type="auto"/>
            <w:vAlign w:val="center"/>
            <w:hideMark/>
          </w:tcPr>
          <w:p w14:paraId="727390FE"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Logistic Regression (baseline)</w:t>
            </w:r>
          </w:p>
        </w:tc>
        <w:tc>
          <w:tcPr>
            <w:tcW w:w="0" w:type="auto"/>
            <w:vAlign w:val="center"/>
            <w:hideMark/>
          </w:tcPr>
          <w:p w14:paraId="568E6293"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0.6731†</w:t>
            </w:r>
          </w:p>
        </w:tc>
        <w:tc>
          <w:tcPr>
            <w:tcW w:w="0" w:type="auto"/>
            <w:vAlign w:val="center"/>
            <w:hideMark/>
          </w:tcPr>
          <w:p w14:paraId="2F687673"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0.5762†</w:t>
            </w:r>
          </w:p>
        </w:tc>
      </w:tr>
      <w:tr w:rsidR="004A6EA4" w:rsidRPr="004A6EA4" w14:paraId="642ADB64" w14:textId="77777777" w:rsidTr="004A6EA4">
        <w:trPr>
          <w:tblCellSpacing w:w="15" w:type="dxa"/>
        </w:trPr>
        <w:tc>
          <w:tcPr>
            <w:tcW w:w="0" w:type="auto"/>
            <w:vAlign w:val="center"/>
            <w:hideMark/>
          </w:tcPr>
          <w:p w14:paraId="49819D8D"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SmallResNet (3-window)</w:t>
            </w:r>
          </w:p>
        </w:tc>
        <w:tc>
          <w:tcPr>
            <w:tcW w:w="0" w:type="auto"/>
            <w:vAlign w:val="center"/>
            <w:hideMark/>
          </w:tcPr>
          <w:p w14:paraId="0C8606D6"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0.8575</w:t>
            </w:r>
          </w:p>
        </w:tc>
        <w:tc>
          <w:tcPr>
            <w:tcW w:w="0" w:type="auto"/>
            <w:vAlign w:val="center"/>
            <w:hideMark/>
          </w:tcPr>
          <w:p w14:paraId="0CC106B4"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0.7840</w:t>
            </w:r>
          </w:p>
        </w:tc>
      </w:tr>
      <w:tr w:rsidR="004A6EA4" w:rsidRPr="004A6EA4" w14:paraId="6E863385" w14:textId="77777777" w:rsidTr="004A6EA4">
        <w:trPr>
          <w:tblCellSpacing w:w="15" w:type="dxa"/>
        </w:trPr>
        <w:tc>
          <w:tcPr>
            <w:tcW w:w="0" w:type="auto"/>
            <w:vAlign w:val="center"/>
            <w:hideMark/>
          </w:tcPr>
          <w:p w14:paraId="5B2F676A"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ResNet-18 (ImageNet FT)</w:t>
            </w:r>
          </w:p>
        </w:tc>
        <w:tc>
          <w:tcPr>
            <w:tcW w:w="0" w:type="auto"/>
            <w:vAlign w:val="center"/>
            <w:hideMark/>
          </w:tcPr>
          <w:p w14:paraId="449F306A"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0.8813</w:t>
            </w:r>
          </w:p>
        </w:tc>
        <w:tc>
          <w:tcPr>
            <w:tcW w:w="0" w:type="auto"/>
            <w:vAlign w:val="center"/>
            <w:hideMark/>
          </w:tcPr>
          <w:p w14:paraId="2A11235B" w14:textId="77777777"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t>0.7827</w:t>
            </w:r>
          </w:p>
        </w:tc>
      </w:tr>
    </w:tbl>
    <w:p w14:paraId="3F1AB0EF" w14:textId="01B1B558" w:rsidR="004A6EA4" w:rsidRPr="004A6EA4" w:rsidRDefault="004A6EA4" w:rsidP="004A6EA4">
      <w:pPr>
        <w:spacing w:line="240" w:lineRule="auto"/>
        <w:rPr>
          <w:rFonts w:ascii="Cambria" w:hAnsi="Cambria"/>
          <w:i/>
          <w:iCs/>
          <w:color w:val="000000" w:themeColor="text1"/>
          <w:sz w:val="20"/>
          <w:szCs w:val="20"/>
        </w:rPr>
      </w:pPr>
      <w:r w:rsidRPr="004A6EA4">
        <w:rPr>
          <w:rFonts w:ascii="Cambria" w:hAnsi="Cambria"/>
          <w:color w:val="000000" w:themeColor="text1"/>
          <w:sz w:val="20"/>
          <w:szCs w:val="20"/>
        </w:rPr>
        <w:t>†</w:t>
      </w:r>
      <w:r w:rsidRPr="004A6EA4">
        <w:rPr>
          <w:rFonts w:ascii="Cambria" w:hAnsi="Cambria"/>
          <w:i/>
          <w:iCs/>
          <w:color w:val="000000" w:themeColor="text1"/>
          <w:sz w:val="20"/>
          <w:szCs w:val="20"/>
        </w:rPr>
        <w:t xml:space="preserve"> Logistic-regression test metrics were estimated by fitting on train+dev and predicting on the test split.</w:t>
      </w:r>
    </w:p>
    <w:p w14:paraId="556F3DF3" w14:textId="0268014C" w:rsidR="004A6EA4" w:rsidRPr="004A6EA4" w:rsidRDefault="004A6EA4" w:rsidP="004A6EA4">
      <w:pPr>
        <w:spacing w:line="240" w:lineRule="auto"/>
        <w:rPr>
          <w:rFonts w:ascii="Cambria" w:hAnsi="Cambria"/>
          <w:color w:val="000000" w:themeColor="text1"/>
        </w:rPr>
      </w:pPr>
      <w:r w:rsidRPr="004A6EA4">
        <w:rPr>
          <w:rFonts w:ascii="Cambria" w:hAnsi="Cambria"/>
          <w:b/>
          <w:bCs/>
          <w:color w:val="000000" w:themeColor="text1"/>
        </w:rPr>
        <w:t>3</w:t>
      </w:r>
      <w:r>
        <w:rPr>
          <w:rFonts w:ascii="Cambria" w:hAnsi="Cambria"/>
          <w:b/>
          <w:bCs/>
          <w:color w:val="000000" w:themeColor="text1"/>
        </w:rPr>
        <w:t xml:space="preserve">. </w:t>
      </w:r>
      <w:r w:rsidRPr="004A6EA4">
        <w:rPr>
          <w:rFonts w:ascii="Cambria" w:hAnsi="Cambria"/>
          <w:b/>
          <w:bCs/>
          <w:color w:val="000000" w:themeColor="text1"/>
        </w:rPr>
        <w:t>Qualitative Analysis (Grad-CAM)</w:t>
      </w:r>
      <w:r w:rsidRPr="004A6EA4">
        <w:rPr>
          <w:rFonts w:ascii="Cambria" w:hAnsi="Cambria"/>
          <w:color w:val="000000" w:themeColor="text1"/>
        </w:rPr>
        <w:br/>
        <w:t>To visualize model focus, I generated Grad-CAM overlays on one true‐positive and one false‐negative test slice: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1582"/>
        <w:gridCol w:w="1307"/>
      </w:tblGrid>
      <w:tr w:rsidR="004A6EA4" w:rsidRPr="004A6EA4" w14:paraId="6F0E4B90" w14:textId="77777777" w:rsidTr="004A6EA4">
        <w:trPr>
          <w:tblHeader/>
          <w:tblCellSpacing w:w="15" w:type="dxa"/>
        </w:trPr>
        <w:tc>
          <w:tcPr>
            <w:tcW w:w="0" w:type="auto"/>
            <w:vAlign w:val="center"/>
            <w:hideMark/>
          </w:tcPr>
          <w:p w14:paraId="27A86C85" w14:textId="77777777" w:rsidR="004A6EA4" w:rsidRPr="004A6EA4" w:rsidRDefault="004A6EA4" w:rsidP="004A6EA4">
            <w:pPr>
              <w:spacing w:line="240" w:lineRule="auto"/>
              <w:rPr>
                <w:rFonts w:ascii="Cambria" w:hAnsi="Cambria"/>
                <w:b/>
                <w:bCs/>
                <w:color w:val="000000" w:themeColor="text1"/>
              </w:rPr>
            </w:pPr>
            <w:r w:rsidRPr="004A6EA4">
              <w:rPr>
                <w:rFonts w:ascii="Cambria" w:hAnsi="Cambria"/>
                <w:b/>
                <w:bCs/>
                <w:color w:val="000000" w:themeColor="text1"/>
              </w:rPr>
              <w:t>Slice ID</w:t>
            </w:r>
          </w:p>
        </w:tc>
        <w:tc>
          <w:tcPr>
            <w:tcW w:w="0" w:type="auto"/>
            <w:vAlign w:val="center"/>
            <w:hideMark/>
          </w:tcPr>
          <w:p w14:paraId="0357EA9C" w14:textId="77777777" w:rsidR="004A6EA4" w:rsidRPr="004A6EA4" w:rsidRDefault="004A6EA4" w:rsidP="004A6EA4">
            <w:pPr>
              <w:spacing w:line="240" w:lineRule="auto"/>
              <w:rPr>
                <w:rFonts w:ascii="Cambria" w:hAnsi="Cambria"/>
                <w:b/>
                <w:bCs/>
                <w:color w:val="000000" w:themeColor="text1"/>
              </w:rPr>
            </w:pPr>
            <w:r w:rsidRPr="004A6EA4">
              <w:rPr>
                <w:rFonts w:ascii="Cambria" w:hAnsi="Cambria"/>
                <w:b/>
                <w:bCs/>
                <w:color w:val="000000" w:themeColor="text1"/>
              </w:rPr>
              <w:t>SmallResNet CAM</w:t>
            </w:r>
          </w:p>
        </w:tc>
        <w:tc>
          <w:tcPr>
            <w:tcW w:w="0" w:type="auto"/>
            <w:vAlign w:val="center"/>
            <w:hideMark/>
          </w:tcPr>
          <w:p w14:paraId="5ED0104D" w14:textId="77777777" w:rsidR="004A6EA4" w:rsidRPr="004A6EA4" w:rsidRDefault="004A6EA4" w:rsidP="004A6EA4">
            <w:pPr>
              <w:spacing w:line="240" w:lineRule="auto"/>
              <w:rPr>
                <w:rFonts w:ascii="Cambria" w:hAnsi="Cambria"/>
                <w:b/>
                <w:bCs/>
                <w:color w:val="000000" w:themeColor="text1"/>
              </w:rPr>
            </w:pPr>
            <w:r w:rsidRPr="004A6EA4">
              <w:rPr>
                <w:rFonts w:ascii="Cambria" w:hAnsi="Cambria"/>
                <w:b/>
                <w:bCs/>
                <w:color w:val="000000" w:themeColor="text1"/>
              </w:rPr>
              <w:t>ResNet-18 CAM</w:t>
            </w:r>
          </w:p>
        </w:tc>
      </w:tr>
      <w:tr w:rsidR="004A6EA4" w:rsidRPr="004A6EA4" w14:paraId="07366560" w14:textId="77777777" w:rsidTr="004A6EA4">
        <w:trPr>
          <w:tblCellSpacing w:w="15" w:type="dxa"/>
        </w:trPr>
        <w:tc>
          <w:tcPr>
            <w:tcW w:w="0" w:type="auto"/>
            <w:vAlign w:val="center"/>
            <w:hideMark/>
          </w:tcPr>
          <w:p w14:paraId="1275BB3E" w14:textId="65908A4D" w:rsidR="004A6EA4" w:rsidRPr="004A6EA4" w:rsidRDefault="004A6EA4" w:rsidP="004A6EA4">
            <w:pPr>
              <w:spacing w:line="240" w:lineRule="auto"/>
              <w:rPr>
                <w:rFonts w:ascii="Cambria" w:hAnsi="Cambria"/>
                <w:color w:val="000000" w:themeColor="text1"/>
              </w:rPr>
            </w:pPr>
            <w:r w:rsidRPr="004A6EA4">
              <w:rPr>
                <w:rFonts w:ascii="Cambria" w:hAnsi="Cambria"/>
                <w:b/>
                <w:bCs/>
                <w:color w:val="000000" w:themeColor="text1"/>
              </w:rPr>
              <w:t>True-positive</w:t>
            </w:r>
            <w:r w:rsidRPr="004A6EA4">
              <w:rPr>
                <w:rFonts w:ascii="Cambria" w:hAnsi="Cambria"/>
                <w:color w:val="000000" w:themeColor="text1"/>
              </w:rPr>
              <w:t xml:space="preserve"> (ID f1c8ce782)</w:t>
            </w:r>
          </w:p>
        </w:tc>
        <w:tc>
          <w:tcPr>
            <w:tcW w:w="0" w:type="auto"/>
            <w:vAlign w:val="center"/>
            <w:hideMark/>
          </w:tcPr>
          <w:p w14:paraId="499CEA9A" w14:textId="2A4CFEF5"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fldChar w:fldCharType="begin"/>
            </w:r>
            <w:r w:rsidRPr="004A6EA4">
              <w:rPr>
                <w:rFonts w:ascii="Cambria" w:hAnsi="Cambria"/>
                <w:color w:val="000000" w:themeColor="text1"/>
              </w:rPr>
              <w:instrText xml:space="preserve"> INCLUDEPICTURE "https://chatgpt.com/c/report/figures/ID_f1c8ce782_small_cnn_cam.png" \* MERGEFORMATINET </w:instrText>
            </w:r>
            <w:r w:rsidRPr="004A6EA4">
              <w:rPr>
                <w:rFonts w:ascii="Cambria" w:hAnsi="Cambria"/>
                <w:color w:val="000000" w:themeColor="text1"/>
              </w:rPr>
              <w:fldChar w:fldCharType="separate"/>
            </w:r>
            <w:r w:rsidRPr="004A6EA4">
              <w:rPr>
                <w:rFonts w:ascii="Cambria" w:hAnsi="Cambria"/>
                <w:color w:val="000000" w:themeColor="text1"/>
              </w:rPr>
              <w:fldChar w:fldCharType="end"/>
            </w:r>
            <w:r>
              <w:rPr>
                <w:rFonts w:ascii="Cambria" w:hAnsi="Cambria"/>
                <w:noProof/>
                <w:color w:val="000000" w:themeColor="text1"/>
              </w:rPr>
              <w:drawing>
                <wp:inline distT="0" distB="0" distL="0" distR="0" wp14:anchorId="06F479ED" wp14:editId="0D1A26A7">
                  <wp:extent cx="698500" cy="698500"/>
                  <wp:effectExtent l="0" t="0" r="0" b="0"/>
                  <wp:docPr id="55657669" name="Picture 13" descr="A close-up of a scan of a human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7669" name="Picture 13" descr="A close-up of a scan of a human body&#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98500" cy="698500"/>
                          </a:xfrm>
                          <a:prstGeom prst="rect">
                            <a:avLst/>
                          </a:prstGeom>
                        </pic:spPr>
                      </pic:pic>
                    </a:graphicData>
                  </a:graphic>
                </wp:inline>
              </w:drawing>
            </w:r>
          </w:p>
        </w:tc>
        <w:tc>
          <w:tcPr>
            <w:tcW w:w="0" w:type="auto"/>
            <w:vAlign w:val="center"/>
            <w:hideMark/>
          </w:tcPr>
          <w:p w14:paraId="23E0EED0" w14:textId="681342EE"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fldChar w:fldCharType="begin"/>
            </w:r>
            <w:r w:rsidRPr="004A6EA4">
              <w:rPr>
                <w:rFonts w:ascii="Cambria" w:hAnsi="Cambria"/>
                <w:color w:val="000000" w:themeColor="text1"/>
              </w:rPr>
              <w:instrText xml:space="preserve"> INCLUDEPICTURE "https://chatgpt.com/c/report/figures/ID_f1c8ce782_resnet18_cam.png" \* MERGEFORMATINET </w:instrText>
            </w:r>
            <w:r w:rsidRPr="004A6EA4">
              <w:rPr>
                <w:rFonts w:ascii="Cambria" w:hAnsi="Cambria"/>
                <w:color w:val="000000" w:themeColor="text1"/>
              </w:rPr>
              <w:fldChar w:fldCharType="separate"/>
            </w:r>
            <w:r w:rsidRPr="004A6EA4">
              <w:rPr>
                <w:rFonts w:ascii="Cambria" w:hAnsi="Cambria"/>
                <w:color w:val="000000" w:themeColor="text1"/>
              </w:rPr>
              <w:fldChar w:fldCharType="end"/>
            </w:r>
            <w:r>
              <w:rPr>
                <w:rFonts w:ascii="Cambria" w:hAnsi="Cambria"/>
                <w:noProof/>
                <w:color w:val="000000" w:themeColor="text1"/>
              </w:rPr>
              <w:drawing>
                <wp:inline distT="0" distB="0" distL="0" distR="0" wp14:anchorId="363958A3" wp14:editId="252A23F0">
                  <wp:extent cx="685800" cy="685800"/>
                  <wp:effectExtent l="0" t="0" r="0" b="0"/>
                  <wp:docPr id="943199426" name="Picture 14" descr="A rainbow colored image of a human sku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99426" name="Picture 14" descr="A rainbow colored image of a human skull&#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4A6EA4" w:rsidRPr="004A6EA4" w14:paraId="1B1E284E" w14:textId="77777777" w:rsidTr="004A6EA4">
        <w:trPr>
          <w:tblCellSpacing w:w="15" w:type="dxa"/>
        </w:trPr>
        <w:tc>
          <w:tcPr>
            <w:tcW w:w="0" w:type="auto"/>
            <w:vAlign w:val="center"/>
            <w:hideMark/>
          </w:tcPr>
          <w:p w14:paraId="4CDBD61C" w14:textId="77777777" w:rsidR="004A6EA4" w:rsidRPr="004A6EA4" w:rsidRDefault="004A6EA4" w:rsidP="004A6EA4">
            <w:pPr>
              <w:spacing w:line="240" w:lineRule="auto"/>
              <w:rPr>
                <w:rFonts w:ascii="Cambria" w:hAnsi="Cambria"/>
                <w:color w:val="000000" w:themeColor="text1"/>
              </w:rPr>
            </w:pPr>
            <w:r w:rsidRPr="004A6EA4">
              <w:rPr>
                <w:rFonts w:ascii="Cambria" w:hAnsi="Cambria"/>
                <w:b/>
                <w:bCs/>
                <w:color w:val="000000" w:themeColor="text1"/>
              </w:rPr>
              <w:t>False-negative</w:t>
            </w:r>
            <w:r w:rsidRPr="004A6EA4">
              <w:rPr>
                <w:rFonts w:ascii="Cambria" w:hAnsi="Cambria"/>
                <w:color w:val="000000" w:themeColor="text1"/>
              </w:rPr>
              <w:t xml:space="preserve"> (ID ad7f85865)</w:t>
            </w:r>
          </w:p>
        </w:tc>
        <w:tc>
          <w:tcPr>
            <w:tcW w:w="0" w:type="auto"/>
            <w:vAlign w:val="center"/>
            <w:hideMark/>
          </w:tcPr>
          <w:p w14:paraId="28B1DFE4" w14:textId="0AF2990B" w:rsidR="004A6EA4" w:rsidRPr="004A6EA4" w:rsidRDefault="004A6EA4" w:rsidP="004A6EA4">
            <w:pPr>
              <w:spacing w:line="240" w:lineRule="auto"/>
              <w:rPr>
                <w:rFonts w:ascii="Cambria" w:hAnsi="Cambria"/>
                <w:color w:val="000000" w:themeColor="text1"/>
              </w:rPr>
            </w:pPr>
            <w:r w:rsidRPr="004A6EA4">
              <w:rPr>
                <w:rFonts w:ascii="Cambria" w:hAnsi="Cambria"/>
                <w:color w:val="000000" w:themeColor="text1"/>
              </w:rPr>
              <w:fldChar w:fldCharType="begin"/>
            </w:r>
            <w:r w:rsidRPr="004A6EA4">
              <w:rPr>
                <w:rFonts w:ascii="Cambria" w:hAnsi="Cambria"/>
                <w:color w:val="000000" w:themeColor="text1"/>
              </w:rPr>
              <w:instrText xml:space="preserve"> INCLUDEPICTURE "https://chatgpt.com/c/report/figures/ID_ad7f85865_small_cnn_cam.png" \* MERGEFORMATINET </w:instrText>
            </w:r>
            <w:r w:rsidRPr="004A6EA4">
              <w:rPr>
                <w:rFonts w:ascii="Cambria" w:hAnsi="Cambria"/>
                <w:color w:val="000000" w:themeColor="text1"/>
              </w:rPr>
              <w:fldChar w:fldCharType="separate"/>
            </w:r>
            <w:r w:rsidRPr="004A6EA4">
              <w:rPr>
                <w:rFonts w:ascii="Cambria" w:hAnsi="Cambria"/>
                <w:color w:val="000000" w:themeColor="text1"/>
              </w:rPr>
              <w:fldChar w:fldCharType="end"/>
            </w:r>
            <w:r>
              <w:rPr>
                <w:rFonts w:ascii="Cambria" w:hAnsi="Cambria"/>
                <w:noProof/>
                <w:color w:val="000000" w:themeColor="text1"/>
              </w:rPr>
              <w:drawing>
                <wp:inline distT="0" distB="0" distL="0" distR="0" wp14:anchorId="56C3B7E1" wp14:editId="468CC66E">
                  <wp:extent cx="673100" cy="673100"/>
                  <wp:effectExtent l="0" t="0" r="0" b="0"/>
                  <wp:docPr id="158774333" name="Picture 15" descr="A blue circle with a bright 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4333" name="Picture 15" descr="A blue circle with a bright ligh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0" w:type="auto"/>
            <w:vAlign w:val="center"/>
            <w:hideMark/>
          </w:tcPr>
          <w:p w14:paraId="4AE70100" w14:textId="55960D77" w:rsidR="004A6EA4" w:rsidRPr="004A6EA4" w:rsidRDefault="004A6EA4" w:rsidP="004A6EA4">
            <w:pPr>
              <w:spacing w:line="240" w:lineRule="auto"/>
              <w:rPr>
                <w:rFonts w:ascii="Cambria" w:hAnsi="Cambria"/>
                <w:color w:val="000000" w:themeColor="text1"/>
              </w:rPr>
            </w:pPr>
            <w:r>
              <w:rPr>
                <w:rFonts w:ascii="Cambria" w:hAnsi="Cambria"/>
                <w:noProof/>
                <w:color w:val="000000" w:themeColor="text1"/>
              </w:rPr>
              <w:drawing>
                <wp:inline distT="0" distB="0" distL="0" distR="0" wp14:anchorId="28F69F51" wp14:editId="264CB4FD">
                  <wp:extent cx="685800" cy="685800"/>
                  <wp:effectExtent l="0" t="0" r="0" b="0"/>
                  <wp:docPr id="16311798" name="Picture 16" descr="A blue circle with a light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798" name="Picture 16" descr="A blue circle with a light in the cen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sidRPr="004A6EA4">
              <w:rPr>
                <w:rFonts w:ascii="Cambria" w:hAnsi="Cambria"/>
                <w:color w:val="000000" w:themeColor="text1"/>
              </w:rPr>
              <w:fldChar w:fldCharType="begin"/>
            </w:r>
            <w:r w:rsidRPr="004A6EA4">
              <w:rPr>
                <w:rFonts w:ascii="Cambria" w:hAnsi="Cambria"/>
                <w:color w:val="000000" w:themeColor="text1"/>
              </w:rPr>
              <w:instrText xml:space="preserve"> INCLUDEPICTURE "https://chatgpt.com/c/report/figures/ID_ad7f85865_resnet18_cam.png" \* MERGEFORMATINET </w:instrText>
            </w:r>
            <w:r w:rsidRPr="004A6EA4">
              <w:rPr>
                <w:rFonts w:ascii="Cambria" w:hAnsi="Cambria"/>
                <w:color w:val="000000" w:themeColor="text1"/>
              </w:rPr>
              <w:fldChar w:fldCharType="separate"/>
            </w:r>
            <w:r w:rsidRPr="004A6EA4">
              <w:rPr>
                <w:rFonts w:ascii="Cambria" w:hAnsi="Cambria"/>
                <w:color w:val="000000" w:themeColor="text1"/>
              </w:rPr>
              <w:fldChar w:fldCharType="end"/>
            </w:r>
          </w:p>
        </w:tc>
      </w:tr>
    </w:tbl>
    <w:p w14:paraId="6EFD00DD" w14:textId="77777777" w:rsidR="004A6EA4" w:rsidRPr="004A6EA4" w:rsidRDefault="004A6EA4" w:rsidP="004A6EA4">
      <w:pPr>
        <w:numPr>
          <w:ilvl w:val="0"/>
          <w:numId w:val="12"/>
        </w:numPr>
        <w:spacing w:line="240" w:lineRule="auto"/>
        <w:rPr>
          <w:rFonts w:ascii="Cambria" w:hAnsi="Cambria"/>
          <w:color w:val="000000" w:themeColor="text1"/>
        </w:rPr>
      </w:pPr>
      <w:r w:rsidRPr="004A6EA4">
        <w:rPr>
          <w:rFonts w:ascii="Cambria" w:hAnsi="Cambria"/>
          <w:b/>
          <w:bCs/>
          <w:color w:val="000000" w:themeColor="text1"/>
        </w:rPr>
        <w:t>True-positive:</w:t>
      </w:r>
      <w:r w:rsidRPr="004A6EA4">
        <w:rPr>
          <w:rFonts w:ascii="Cambria" w:hAnsi="Cambria"/>
          <w:color w:val="000000" w:themeColor="text1"/>
        </w:rPr>
        <w:t xml:space="preserve"> ResNet-18’s CAM (right) is sharply focused on the hemorrhage region, whereas the SmallResNet CAM (left) spreads activation more diffusely across the cortex.</w:t>
      </w:r>
    </w:p>
    <w:p w14:paraId="3FFC7E8A" w14:textId="47450C8D" w:rsidR="004A6EA4" w:rsidRPr="004A6EA4" w:rsidRDefault="004A6EA4" w:rsidP="004A6EA4">
      <w:pPr>
        <w:numPr>
          <w:ilvl w:val="0"/>
          <w:numId w:val="12"/>
        </w:numPr>
        <w:spacing w:line="240" w:lineRule="auto"/>
        <w:rPr>
          <w:rFonts w:ascii="Cambria" w:hAnsi="Cambria"/>
          <w:color w:val="000000" w:themeColor="text1"/>
        </w:rPr>
      </w:pPr>
      <w:r w:rsidRPr="004A6EA4">
        <w:rPr>
          <w:rFonts w:ascii="Cambria" w:hAnsi="Cambria"/>
          <w:b/>
          <w:bCs/>
          <w:color w:val="000000" w:themeColor="text1"/>
        </w:rPr>
        <w:t>False-negative:</w:t>
      </w:r>
      <w:r w:rsidRPr="004A6EA4">
        <w:rPr>
          <w:rFonts w:ascii="Cambria" w:hAnsi="Cambria"/>
          <w:color w:val="000000" w:themeColor="text1"/>
        </w:rPr>
        <w:t xml:space="preserve"> SmallResNet shows a spurious hot‐spot in the ventricle, explaining its misclassification, while ResNet-18 correctly suppresses activation, reflecting its higher specificity.</w:t>
      </w:r>
    </w:p>
    <w:p w14:paraId="548F3F96" w14:textId="77777777" w:rsidR="004A6EA4" w:rsidRDefault="004A6EA4" w:rsidP="004A6EA4">
      <w:pPr>
        <w:spacing w:line="240" w:lineRule="auto"/>
        <w:rPr>
          <w:rFonts w:ascii="Cambria" w:hAnsi="Cambria"/>
          <w:color w:val="000000" w:themeColor="text1"/>
        </w:rPr>
      </w:pPr>
      <w:r w:rsidRPr="004A6EA4">
        <w:rPr>
          <w:rFonts w:ascii="Cambria" w:hAnsi="Cambria"/>
          <w:color w:val="000000" w:themeColor="text1"/>
        </w:rPr>
        <w:t>With these quantitative and qualitative results, the report demonstrates clear performance gains from baseline through custom CNN to transfer‐learning, validating the multi-window preprocessing and modern training strategies.</w:t>
      </w:r>
    </w:p>
    <w:p w14:paraId="33F3181F" w14:textId="439D90C4" w:rsidR="004A6EA4" w:rsidRDefault="00D53702" w:rsidP="00D53702">
      <w:pPr>
        <w:spacing w:line="240" w:lineRule="auto"/>
        <w:jc w:val="center"/>
        <w:rPr>
          <w:rFonts w:ascii="Cambria" w:hAnsi="Cambria"/>
          <w:b/>
          <w:bCs/>
          <w:color w:val="000000" w:themeColor="text1"/>
          <w:sz w:val="22"/>
          <w:szCs w:val="22"/>
        </w:rPr>
      </w:pPr>
      <w:r w:rsidRPr="00D53702">
        <w:rPr>
          <w:rFonts w:ascii="Cambria" w:hAnsi="Cambria"/>
          <w:b/>
          <w:bCs/>
          <w:color w:val="000000" w:themeColor="text1"/>
          <w:sz w:val="26"/>
          <w:szCs w:val="26"/>
        </w:rPr>
        <w:lastRenderedPageBreak/>
        <w:t>V. C</w:t>
      </w:r>
      <w:r w:rsidRPr="00D53702">
        <w:rPr>
          <w:rFonts w:ascii="Cambria" w:hAnsi="Cambria"/>
          <w:b/>
          <w:bCs/>
          <w:color w:val="000000" w:themeColor="text1"/>
          <w:sz w:val="22"/>
          <w:szCs w:val="22"/>
        </w:rPr>
        <w:t>ONCLUSION</w:t>
      </w:r>
    </w:p>
    <w:p w14:paraId="4EC9A698" w14:textId="77777777" w:rsidR="00D53702" w:rsidRPr="00D53702" w:rsidRDefault="00D53702" w:rsidP="00D53702">
      <w:pPr>
        <w:spacing w:line="240" w:lineRule="auto"/>
        <w:rPr>
          <w:rFonts w:ascii="Cambria" w:hAnsi="Cambria"/>
          <w:color w:val="000000" w:themeColor="text1"/>
        </w:rPr>
      </w:pPr>
      <w:r w:rsidRPr="00D53702">
        <w:rPr>
          <w:rFonts w:ascii="Cambria" w:hAnsi="Cambria"/>
          <w:color w:val="000000" w:themeColor="text1"/>
        </w:rPr>
        <w:t>In this project, I developed and evaluated a streamlined pipeline for automated intracranial hemorrhage detection on head CT scans, using three progressively sophisticated models: a logistic‐regression baseline, a custom 3-window SmallResNet trained from scratch, and an ImageNet-pretrained ResNet-18 fine-tuned end-to-end. By constructing a balanced 20 000-slice dataset and converting each slice into three contrast windows (brain, subdural, bone), I provided each model with richer input than single-window approaches. Modern training techniques—AdamW optimization with OneCycleLR scheduling and early stopping—ensured efficient convergence on Apple-Silicon hardware.</w:t>
      </w:r>
    </w:p>
    <w:p w14:paraId="2908F26E" w14:textId="77777777" w:rsidR="00D53702" w:rsidRPr="00D53702" w:rsidRDefault="00D53702" w:rsidP="00D53702">
      <w:pPr>
        <w:spacing w:line="240" w:lineRule="auto"/>
        <w:rPr>
          <w:rFonts w:ascii="Cambria" w:hAnsi="Cambria"/>
          <w:color w:val="000000" w:themeColor="text1"/>
        </w:rPr>
      </w:pPr>
      <w:r w:rsidRPr="00D53702">
        <w:rPr>
          <w:rFonts w:ascii="Cambria" w:hAnsi="Cambria"/>
          <w:color w:val="000000" w:themeColor="text1"/>
        </w:rPr>
        <w:t>Quantitatively, the SmallResNet achieved a Test AUC of 0.8575 (F1 = 0.7840), a significant jump over the logistic baseline (AUC ≈ 0.673, F1 ≈ 0.576), while ResNet-18 further improved to an AUC of 0.8813 (F1 = 0.7827). Qualitative Grad-CAM visualizations confirmed that ResNet-18 localized hemorrhage regions more sharply, whereas the smaller network exhibited more diffuse or occasionally spurious activations. These results demonstrate that multi-window inputs coupled with transfer learning can yield near-state-of-the-art performance with a concise, reproducible codebase.</w:t>
      </w:r>
    </w:p>
    <w:p w14:paraId="57493E4D" w14:textId="77777777" w:rsidR="00D53702" w:rsidRPr="00D53702" w:rsidRDefault="00D53702" w:rsidP="00D53702">
      <w:pPr>
        <w:spacing w:line="240" w:lineRule="auto"/>
        <w:rPr>
          <w:rFonts w:ascii="Cambria" w:hAnsi="Cambria"/>
          <w:color w:val="000000" w:themeColor="text1"/>
        </w:rPr>
      </w:pPr>
      <w:r w:rsidRPr="00D53702">
        <w:rPr>
          <w:rFonts w:ascii="Cambria" w:hAnsi="Cambria"/>
          <w:b/>
          <w:bCs/>
          <w:color w:val="000000" w:themeColor="text1"/>
        </w:rPr>
        <w:t>Limitations:</w:t>
      </w:r>
    </w:p>
    <w:p w14:paraId="2FE7EFBB" w14:textId="77777777" w:rsidR="00D53702" w:rsidRPr="00D53702" w:rsidRDefault="00D53702" w:rsidP="00D53702">
      <w:pPr>
        <w:numPr>
          <w:ilvl w:val="0"/>
          <w:numId w:val="13"/>
        </w:numPr>
        <w:spacing w:line="240" w:lineRule="auto"/>
        <w:rPr>
          <w:rFonts w:ascii="Cambria" w:hAnsi="Cambria"/>
          <w:color w:val="000000" w:themeColor="text1"/>
        </w:rPr>
      </w:pPr>
      <w:r w:rsidRPr="00D53702">
        <w:rPr>
          <w:rFonts w:ascii="Cambria" w:hAnsi="Cambria"/>
          <w:color w:val="000000" w:themeColor="text1"/>
        </w:rPr>
        <w:t>The pipeline processes each CT slice independently, ignoring 3-D spatial context that could improve detection of subtle bleeds.</w:t>
      </w:r>
    </w:p>
    <w:p w14:paraId="6FE4B804" w14:textId="77777777" w:rsidR="00D53702" w:rsidRPr="00D53702" w:rsidRDefault="00D53702" w:rsidP="00D53702">
      <w:pPr>
        <w:numPr>
          <w:ilvl w:val="0"/>
          <w:numId w:val="13"/>
        </w:numPr>
        <w:spacing w:line="240" w:lineRule="auto"/>
        <w:rPr>
          <w:rFonts w:ascii="Cambria" w:hAnsi="Cambria"/>
          <w:color w:val="000000" w:themeColor="text1"/>
        </w:rPr>
      </w:pPr>
      <w:r w:rsidRPr="00D53702">
        <w:rPr>
          <w:rFonts w:ascii="Cambria" w:hAnsi="Cambria"/>
          <w:color w:val="000000" w:themeColor="text1"/>
        </w:rPr>
        <w:t>Labels are at the slice level rather than the voxel level, introducing potential annotation noise.</w:t>
      </w:r>
    </w:p>
    <w:p w14:paraId="34745E8D" w14:textId="77777777" w:rsidR="00D53702" w:rsidRPr="00D53702" w:rsidRDefault="00D53702" w:rsidP="00D53702">
      <w:pPr>
        <w:numPr>
          <w:ilvl w:val="0"/>
          <w:numId w:val="13"/>
        </w:numPr>
        <w:spacing w:line="240" w:lineRule="auto"/>
        <w:rPr>
          <w:rFonts w:ascii="Cambria" w:hAnsi="Cambria"/>
          <w:color w:val="000000" w:themeColor="text1"/>
        </w:rPr>
      </w:pPr>
      <w:r w:rsidRPr="00D53702">
        <w:rPr>
          <w:rFonts w:ascii="Cambria" w:hAnsi="Cambria"/>
          <w:color w:val="000000" w:themeColor="text1"/>
        </w:rPr>
        <w:t>I used a relatively small subset (20 000 of ≈ 750 000 slices) for computational tractability; performance may scale further with more data.</w:t>
      </w:r>
    </w:p>
    <w:p w14:paraId="6F5C0CAE" w14:textId="77777777" w:rsidR="00D53702" w:rsidRPr="00D53702" w:rsidRDefault="00D53702" w:rsidP="00D53702">
      <w:pPr>
        <w:spacing w:line="240" w:lineRule="auto"/>
        <w:rPr>
          <w:rFonts w:ascii="Cambria" w:hAnsi="Cambria"/>
          <w:color w:val="000000" w:themeColor="text1"/>
        </w:rPr>
      </w:pPr>
      <w:r w:rsidRPr="00D53702">
        <w:rPr>
          <w:rFonts w:ascii="Cambria" w:hAnsi="Cambria"/>
          <w:b/>
          <w:bCs/>
          <w:color w:val="000000" w:themeColor="text1"/>
        </w:rPr>
        <w:t>Future Work:</w:t>
      </w:r>
    </w:p>
    <w:p w14:paraId="395F57A9" w14:textId="77777777" w:rsidR="00D53702" w:rsidRPr="00D53702" w:rsidRDefault="00D53702" w:rsidP="00D53702">
      <w:pPr>
        <w:numPr>
          <w:ilvl w:val="0"/>
          <w:numId w:val="14"/>
        </w:numPr>
        <w:spacing w:line="240" w:lineRule="auto"/>
        <w:rPr>
          <w:rFonts w:ascii="Cambria" w:hAnsi="Cambria"/>
          <w:color w:val="000000" w:themeColor="text1"/>
        </w:rPr>
      </w:pPr>
      <w:r w:rsidRPr="00D53702">
        <w:rPr>
          <w:rFonts w:ascii="Cambria" w:hAnsi="Cambria"/>
          <w:b/>
          <w:bCs/>
          <w:color w:val="000000" w:themeColor="text1"/>
        </w:rPr>
        <w:t>Incorporate 2.5-D or 3-D context</w:t>
      </w:r>
      <w:r w:rsidRPr="00D53702">
        <w:rPr>
          <w:rFonts w:ascii="Cambria" w:hAnsi="Cambria"/>
          <w:color w:val="000000" w:themeColor="text1"/>
        </w:rPr>
        <w:t xml:space="preserve"> by stacking adjacent slices or using volumetric architectures to capture continuity of hemorrhages across slices.</w:t>
      </w:r>
    </w:p>
    <w:p w14:paraId="19B2D02E" w14:textId="77777777" w:rsidR="00D53702" w:rsidRPr="00D53702" w:rsidRDefault="00D53702" w:rsidP="00D53702">
      <w:pPr>
        <w:numPr>
          <w:ilvl w:val="0"/>
          <w:numId w:val="14"/>
        </w:numPr>
        <w:spacing w:line="240" w:lineRule="auto"/>
        <w:rPr>
          <w:rFonts w:ascii="Cambria" w:hAnsi="Cambria"/>
          <w:color w:val="000000" w:themeColor="text1"/>
        </w:rPr>
      </w:pPr>
      <w:r w:rsidRPr="00D53702">
        <w:rPr>
          <w:rFonts w:ascii="Cambria" w:hAnsi="Cambria"/>
          <w:b/>
          <w:bCs/>
          <w:color w:val="000000" w:themeColor="text1"/>
        </w:rPr>
        <w:t>Ensemble multiple backbones</w:t>
      </w:r>
      <w:r w:rsidRPr="00D53702">
        <w:rPr>
          <w:rFonts w:ascii="Cambria" w:hAnsi="Cambria"/>
          <w:color w:val="000000" w:themeColor="text1"/>
        </w:rPr>
        <w:t xml:space="preserve"> (e.g., SmallResNet + EfficientNet + ResNet-18) to reduce variance and boost robustness.</w:t>
      </w:r>
    </w:p>
    <w:p w14:paraId="7BE929C2" w14:textId="77777777" w:rsidR="00D53702" w:rsidRPr="00D53702" w:rsidRDefault="00D53702" w:rsidP="00D53702">
      <w:pPr>
        <w:numPr>
          <w:ilvl w:val="0"/>
          <w:numId w:val="14"/>
        </w:numPr>
        <w:spacing w:line="240" w:lineRule="auto"/>
        <w:rPr>
          <w:rFonts w:ascii="Cambria" w:hAnsi="Cambria"/>
          <w:color w:val="000000" w:themeColor="text1"/>
        </w:rPr>
      </w:pPr>
      <w:r w:rsidRPr="00D53702">
        <w:rPr>
          <w:rFonts w:ascii="Cambria" w:hAnsi="Cambria"/>
          <w:b/>
          <w:bCs/>
          <w:color w:val="000000" w:themeColor="text1"/>
        </w:rPr>
        <w:t>Expand dataset size</w:t>
      </w:r>
      <w:r w:rsidRPr="00D53702">
        <w:rPr>
          <w:rFonts w:ascii="Cambria" w:hAnsi="Cambria"/>
          <w:color w:val="000000" w:themeColor="text1"/>
        </w:rPr>
        <w:t xml:space="preserve"> for full-scale training and explore semi-supervised or self-supervised pre-training to leverage unlabeled data.</w:t>
      </w:r>
    </w:p>
    <w:p w14:paraId="3AF3E865" w14:textId="77777777" w:rsidR="00D53702" w:rsidRPr="00D53702" w:rsidRDefault="00D53702" w:rsidP="00D53702">
      <w:pPr>
        <w:numPr>
          <w:ilvl w:val="0"/>
          <w:numId w:val="14"/>
        </w:numPr>
        <w:spacing w:line="240" w:lineRule="auto"/>
        <w:rPr>
          <w:rFonts w:ascii="Cambria" w:hAnsi="Cambria"/>
          <w:color w:val="000000" w:themeColor="text1"/>
        </w:rPr>
      </w:pPr>
      <w:r w:rsidRPr="00D53702">
        <w:rPr>
          <w:rFonts w:ascii="Cambria" w:hAnsi="Cambria"/>
          <w:b/>
          <w:bCs/>
          <w:color w:val="000000" w:themeColor="text1"/>
        </w:rPr>
        <w:t>Clinical validation</w:t>
      </w:r>
      <w:r w:rsidRPr="00D53702">
        <w:rPr>
          <w:rFonts w:ascii="Cambria" w:hAnsi="Cambria"/>
          <w:color w:val="000000" w:themeColor="text1"/>
        </w:rPr>
        <w:t xml:space="preserve"> by testing on external CT datasets and integrating model outputs with PACS systems for real-world deployment.</w:t>
      </w:r>
    </w:p>
    <w:p w14:paraId="3A273A57" w14:textId="77777777" w:rsidR="00D53702" w:rsidRDefault="00D53702" w:rsidP="00D53702">
      <w:pPr>
        <w:spacing w:line="240" w:lineRule="auto"/>
        <w:rPr>
          <w:rFonts w:ascii="Cambria" w:hAnsi="Cambria"/>
          <w:color w:val="000000" w:themeColor="text1"/>
        </w:rPr>
      </w:pPr>
      <w:r w:rsidRPr="00D53702">
        <w:rPr>
          <w:rFonts w:ascii="Cambria" w:hAnsi="Cambria"/>
          <w:color w:val="000000" w:themeColor="text1"/>
        </w:rPr>
        <w:t>Overall, this work illustrates that carefully chosen architectural simplicity, enriched input channels, and modern optimization strategies can achieve high accuracy for critical medical imaging tasks within practical compute constraints.</w:t>
      </w:r>
    </w:p>
    <w:p w14:paraId="7F0E7BAF" w14:textId="77777777" w:rsidR="00D53702" w:rsidRDefault="00D53702" w:rsidP="00D53702">
      <w:pPr>
        <w:spacing w:line="240" w:lineRule="auto"/>
        <w:rPr>
          <w:rFonts w:ascii="Cambria" w:hAnsi="Cambria"/>
          <w:color w:val="000000" w:themeColor="text1"/>
        </w:rPr>
      </w:pPr>
    </w:p>
    <w:p w14:paraId="02B1F02F" w14:textId="77777777" w:rsidR="00D53702" w:rsidRDefault="00D53702" w:rsidP="00D53702">
      <w:pPr>
        <w:spacing w:line="240" w:lineRule="auto"/>
        <w:rPr>
          <w:rFonts w:ascii="Cambria" w:hAnsi="Cambria"/>
          <w:color w:val="000000" w:themeColor="text1"/>
        </w:rPr>
      </w:pPr>
    </w:p>
    <w:p w14:paraId="6925A2E4" w14:textId="77777777" w:rsidR="00D53702" w:rsidRDefault="00D53702" w:rsidP="00D53702">
      <w:pPr>
        <w:spacing w:line="240" w:lineRule="auto"/>
        <w:rPr>
          <w:rFonts w:ascii="Cambria" w:hAnsi="Cambria"/>
          <w:color w:val="000000" w:themeColor="text1"/>
        </w:rPr>
      </w:pPr>
    </w:p>
    <w:p w14:paraId="2C018BE6" w14:textId="77777777" w:rsidR="00D53702" w:rsidRDefault="00D53702" w:rsidP="00D53702">
      <w:pPr>
        <w:spacing w:line="240" w:lineRule="auto"/>
        <w:rPr>
          <w:rFonts w:ascii="Cambria" w:hAnsi="Cambria"/>
          <w:color w:val="000000" w:themeColor="text1"/>
        </w:rPr>
      </w:pPr>
    </w:p>
    <w:p w14:paraId="6202FF98" w14:textId="77777777" w:rsidR="00D53702" w:rsidRDefault="00D53702" w:rsidP="00D53702">
      <w:pPr>
        <w:spacing w:line="240" w:lineRule="auto"/>
        <w:rPr>
          <w:rFonts w:ascii="Cambria" w:hAnsi="Cambria"/>
          <w:color w:val="000000" w:themeColor="text1"/>
        </w:rPr>
      </w:pPr>
    </w:p>
    <w:p w14:paraId="2D97B8B5" w14:textId="77777777" w:rsidR="00D53702" w:rsidRDefault="00D53702" w:rsidP="00D53702">
      <w:pPr>
        <w:spacing w:line="240" w:lineRule="auto"/>
        <w:rPr>
          <w:rFonts w:ascii="Cambria" w:hAnsi="Cambria"/>
          <w:color w:val="000000" w:themeColor="text1"/>
        </w:rPr>
      </w:pPr>
    </w:p>
    <w:p w14:paraId="7CB95B5B" w14:textId="77777777" w:rsidR="00D53702" w:rsidRDefault="00D53702" w:rsidP="00D53702">
      <w:pPr>
        <w:spacing w:line="240" w:lineRule="auto"/>
        <w:rPr>
          <w:rFonts w:ascii="Cambria" w:hAnsi="Cambria"/>
          <w:color w:val="000000" w:themeColor="text1"/>
        </w:rPr>
      </w:pPr>
    </w:p>
    <w:p w14:paraId="11A511FD" w14:textId="77777777" w:rsidR="00D53702" w:rsidRDefault="00D53702" w:rsidP="00D53702">
      <w:pPr>
        <w:spacing w:line="240" w:lineRule="auto"/>
        <w:rPr>
          <w:rFonts w:ascii="Cambria" w:hAnsi="Cambria"/>
          <w:color w:val="000000" w:themeColor="text1"/>
        </w:rPr>
      </w:pPr>
    </w:p>
    <w:p w14:paraId="67448603" w14:textId="77777777" w:rsidR="00D53702" w:rsidRDefault="00D53702" w:rsidP="00D53702">
      <w:pPr>
        <w:spacing w:line="240" w:lineRule="auto"/>
        <w:rPr>
          <w:rFonts w:ascii="Cambria" w:hAnsi="Cambria"/>
          <w:color w:val="000000" w:themeColor="text1"/>
        </w:rPr>
      </w:pPr>
    </w:p>
    <w:p w14:paraId="13AB4D37" w14:textId="77777777" w:rsidR="00D53702" w:rsidRDefault="00D53702" w:rsidP="00D53702">
      <w:pPr>
        <w:spacing w:line="240" w:lineRule="auto"/>
        <w:rPr>
          <w:rFonts w:ascii="Cambria" w:hAnsi="Cambria"/>
          <w:color w:val="000000" w:themeColor="text1"/>
        </w:rPr>
      </w:pPr>
    </w:p>
    <w:p w14:paraId="6A345809" w14:textId="77777777" w:rsidR="00D53702" w:rsidRDefault="00D53702" w:rsidP="00D53702">
      <w:pPr>
        <w:spacing w:line="240" w:lineRule="auto"/>
        <w:rPr>
          <w:rFonts w:ascii="Cambria" w:hAnsi="Cambria"/>
          <w:color w:val="000000" w:themeColor="text1"/>
        </w:rPr>
      </w:pPr>
    </w:p>
    <w:p w14:paraId="3E073E60" w14:textId="77777777" w:rsidR="00D53702" w:rsidRDefault="00D53702" w:rsidP="00D53702">
      <w:pPr>
        <w:spacing w:line="240" w:lineRule="auto"/>
        <w:rPr>
          <w:rFonts w:ascii="Cambria" w:hAnsi="Cambria"/>
          <w:color w:val="000000" w:themeColor="text1"/>
        </w:rPr>
      </w:pPr>
    </w:p>
    <w:p w14:paraId="4BAA4C54" w14:textId="77777777" w:rsidR="00D53702" w:rsidRDefault="00D53702" w:rsidP="00D53702">
      <w:pPr>
        <w:spacing w:line="240" w:lineRule="auto"/>
        <w:rPr>
          <w:rFonts w:ascii="Cambria" w:hAnsi="Cambria"/>
          <w:color w:val="000000" w:themeColor="text1"/>
        </w:rPr>
      </w:pPr>
    </w:p>
    <w:p w14:paraId="0F54218C" w14:textId="6232F838" w:rsidR="00D53702" w:rsidRDefault="00D53702" w:rsidP="00D53702">
      <w:pPr>
        <w:spacing w:line="240" w:lineRule="auto"/>
        <w:jc w:val="center"/>
        <w:rPr>
          <w:rFonts w:ascii="Cambria" w:hAnsi="Cambria"/>
          <w:b/>
          <w:bCs/>
          <w:color w:val="000000" w:themeColor="text1"/>
          <w:sz w:val="22"/>
          <w:szCs w:val="22"/>
        </w:rPr>
      </w:pPr>
      <w:r>
        <w:rPr>
          <w:rFonts w:ascii="Cambria" w:hAnsi="Cambria"/>
          <w:b/>
          <w:bCs/>
          <w:color w:val="000000" w:themeColor="text1"/>
          <w:sz w:val="26"/>
          <w:szCs w:val="26"/>
        </w:rPr>
        <w:lastRenderedPageBreak/>
        <w:t>R</w:t>
      </w:r>
      <w:r w:rsidRPr="00D53702">
        <w:rPr>
          <w:rFonts w:ascii="Cambria" w:hAnsi="Cambria"/>
          <w:b/>
          <w:bCs/>
          <w:color w:val="000000" w:themeColor="text1"/>
          <w:sz w:val="22"/>
          <w:szCs w:val="22"/>
        </w:rPr>
        <w:t>EFERENCES</w:t>
      </w:r>
    </w:p>
    <w:p w14:paraId="07FF4198" w14:textId="2B83F226" w:rsidR="00D53702" w:rsidRPr="00D53702" w:rsidRDefault="00D53702" w:rsidP="00D53702">
      <w:pPr>
        <w:numPr>
          <w:ilvl w:val="0"/>
          <w:numId w:val="15"/>
        </w:numPr>
        <w:spacing w:line="240" w:lineRule="auto"/>
        <w:rPr>
          <w:rFonts w:ascii="Cambria" w:hAnsi="Cambria"/>
          <w:color w:val="000000" w:themeColor="text1"/>
          <w:sz w:val="22"/>
          <w:szCs w:val="22"/>
        </w:rPr>
      </w:pPr>
      <w:r w:rsidRPr="00D53702">
        <w:rPr>
          <w:rFonts w:ascii="Cambria" w:hAnsi="Cambria"/>
          <w:color w:val="000000" w:themeColor="text1"/>
          <w:sz w:val="22"/>
          <w:szCs w:val="22"/>
        </w:rPr>
        <w:t xml:space="preserve">RSNA Intracranial Hemorrhage Detection. Kaggle </w:t>
      </w:r>
      <w:r w:rsidR="00ED6F38">
        <w:rPr>
          <w:rFonts w:ascii="Cambria" w:hAnsi="Cambria"/>
          <w:color w:val="000000" w:themeColor="text1"/>
          <w:sz w:val="22"/>
          <w:szCs w:val="22"/>
        </w:rPr>
        <w:t>C</w:t>
      </w:r>
      <w:r w:rsidRPr="00D53702">
        <w:rPr>
          <w:rFonts w:ascii="Cambria" w:hAnsi="Cambria"/>
          <w:color w:val="000000" w:themeColor="text1"/>
          <w:sz w:val="22"/>
          <w:szCs w:val="22"/>
        </w:rPr>
        <w:t xml:space="preserve">ompetition, 2019. </w:t>
      </w:r>
      <w:r w:rsidR="00ED6F38">
        <w:rPr>
          <w:rFonts w:ascii="Cambria" w:hAnsi="Cambria"/>
          <w:color w:val="000000" w:themeColor="text1"/>
          <w:sz w:val="22"/>
          <w:szCs w:val="22"/>
        </w:rPr>
        <w:t xml:space="preserve">Accessed May 2025. </w:t>
      </w:r>
      <w:r w:rsidRPr="00D53702">
        <w:rPr>
          <w:rFonts w:ascii="Cambria" w:hAnsi="Cambria"/>
          <w:color w:val="000000" w:themeColor="text1"/>
          <w:sz w:val="22"/>
          <w:szCs w:val="22"/>
        </w:rPr>
        <w:t xml:space="preserve">Available at: </w:t>
      </w:r>
      <w:hyperlink r:id="rId18" w:history="1">
        <w:r w:rsidRPr="00D53702">
          <w:rPr>
            <w:rStyle w:val="Hyperlink"/>
            <w:rFonts w:ascii="Cambria" w:hAnsi="Cambria"/>
            <w:sz w:val="22"/>
            <w:szCs w:val="22"/>
          </w:rPr>
          <w:t>https://www.kaggle.com/c/rsna-intracranial-hemorrhage-detection</w:t>
        </w:r>
      </w:hyperlink>
    </w:p>
    <w:p w14:paraId="66842661" w14:textId="77777777" w:rsidR="00D53702" w:rsidRPr="00D53702" w:rsidRDefault="00D53702" w:rsidP="00D53702">
      <w:pPr>
        <w:numPr>
          <w:ilvl w:val="0"/>
          <w:numId w:val="15"/>
        </w:numPr>
        <w:spacing w:line="240" w:lineRule="auto"/>
        <w:rPr>
          <w:rFonts w:ascii="Cambria" w:hAnsi="Cambria"/>
          <w:color w:val="000000" w:themeColor="text1"/>
          <w:sz w:val="22"/>
          <w:szCs w:val="22"/>
        </w:rPr>
      </w:pPr>
      <w:r w:rsidRPr="00D53702">
        <w:rPr>
          <w:rFonts w:ascii="Cambria" w:hAnsi="Cambria"/>
          <w:color w:val="000000" w:themeColor="text1"/>
          <w:sz w:val="22"/>
          <w:szCs w:val="22"/>
        </w:rPr>
        <w:t xml:space="preserve">He, K., Zhang, X., Ren, S., &amp; Sun, J. “Deep Residual Learning for Image Recognition.” </w:t>
      </w:r>
      <w:r w:rsidRPr="00D53702">
        <w:rPr>
          <w:rFonts w:ascii="Cambria" w:hAnsi="Cambria"/>
          <w:i/>
          <w:iCs/>
          <w:color w:val="000000" w:themeColor="text1"/>
          <w:sz w:val="22"/>
          <w:szCs w:val="22"/>
        </w:rPr>
        <w:t>Proceedings of the IEEE Conference on Computer Vision and Pattern Recognition (CVPR)</w:t>
      </w:r>
      <w:r w:rsidRPr="00D53702">
        <w:rPr>
          <w:rFonts w:ascii="Cambria" w:hAnsi="Cambria"/>
          <w:color w:val="000000" w:themeColor="text1"/>
          <w:sz w:val="22"/>
          <w:szCs w:val="22"/>
        </w:rPr>
        <w:t>, 2016.</w:t>
      </w:r>
    </w:p>
    <w:p w14:paraId="76C13FFC" w14:textId="77777777" w:rsidR="00D53702" w:rsidRPr="00D53702" w:rsidRDefault="00D53702" w:rsidP="00D53702">
      <w:pPr>
        <w:numPr>
          <w:ilvl w:val="0"/>
          <w:numId w:val="15"/>
        </w:numPr>
        <w:spacing w:line="240" w:lineRule="auto"/>
        <w:rPr>
          <w:rFonts w:ascii="Cambria" w:hAnsi="Cambria"/>
          <w:color w:val="000000" w:themeColor="text1"/>
          <w:sz w:val="22"/>
          <w:szCs w:val="22"/>
        </w:rPr>
      </w:pPr>
      <w:r w:rsidRPr="00D53702">
        <w:rPr>
          <w:rFonts w:ascii="Cambria" w:hAnsi="Cambria"/>
          <w:color w:val="000000" w:themeColor="text1"/>
          <w:sz w:val="22"/>
          <w:szCs w:val="22"/>
        </w:rPr>
        <w:t xml:space="preserve">Hu, J., Shen, L., &amp; Sun, G. “Squeeze-and-Excitation Networks.” </w:t>
      </w:r>
      <w:r w:rsidRPr="00D53702">
        <w:rPr>
          <w:rFonts w:ascii="Cambria" w:hAnsi="Cambria"/>
          <w:i/>
          <w:iCs/>
          <w:color w:val="000000" w:themeColor="text1"/>
          <w:sz w:val="22"/>
          <w:szCs w:val="22"/>
        </w:rPr>
        <w:t>Proceedings of the IEEE Conference on Computer Vision and Pattern Recognition (CVPR)</w:t>
      </w:r>
      <w:r w:rsidRPr="00D53702">
        <w:rPr>
          <w:rFonts w:ascii="Cambria" w:hAnsi="Cambria"/>
          <w:color w:val="000000" w:themeColor="text1"/>
          <w:sz w:val="22"/>
          <w:szCs w:val="22"/>
        </w:rPr>
        <w:t>, 2018.</w:t>
      </w:r>
    </w:p>
    <w:p w14:paraId="6EC0A433" w14:textId="77777777" w:rsidR="00D53702" w:rsidRPr="00D53702" w:rsidRDefault="00D53702" w:rsidP="00D53702">
      <w:pPr>
        <w:numPr>
          <w:ilvl w:val="0"/>
          <w:numId w:val="15"/>
        </w:numPr>
        <w:spacing w:line="240" w:lineRule="auto"/>
        <w:rPr>
          <w:rFonts w:ascii="Cambria" w:hAnsi="Cambria"/>
          <w:color w:val="000000" w:themeColor="text1"/>
          <w:sz w:val="22"/>
          <w:szCs w:val="22"/>
        </w:rPr>
      </w:pPr>
      <w:r w:rsidRPr="00D53702">
        <w:rPr>
          <w:rFonts w:ascii="Cambria" w:hAnsi="Cambria"/>
          <w:color w:val="000000" w:themeColor="text1"/>
          <w:sz w:val="22"/>
          <w:szCs w:val="22"/>
        </w:rPr>
        <w:t xml:space="preserve">Selvaraju, R. R., Cogswell, M., Das, A., Vedantam, R., Parikh, D., &amp; Batra, D. “Grad-CAM: Visual Explanations from Deep Networks via Gradient‐Based Localization.” </w:t>
      </w:r>
      <w:r w:rsidRPr="00D53702">
        <w:rPr>
          <w:rFonts w:ascii="Cambria" w:hAnsi="Cambria"/>
          <w:i/>
          <w:iCs/>
          <w:color w:val="000000" w:themeColor="text1"/>
          <w:sz w:val="22"/>
          <w:szCs w:val="22"/>
        </w:rPr>
        <w:t>Proceedings of the IEEE International Conference on Computer Vision (ICCV)</w:t>
      </w:r>
      <w:r w:rsidRPr="00D53702">
        <w:rPr>
          <w:rFonts w:ascii="Cambria" w:hAnsi="Cambria"/>
          <w:color w:val="000000" w:themeColor="text1"/>
          <w:sz w:val="22"/>
          <w:szCs w:val="22"/>
        </w:rPr>
        <w:t>, 2017.</w:t>
      </w:r>
    </w:p>
    <w:p w14:paraId="6F6829E4" w14:textId="77777777" w:rsidR="00D53702" w:rsidRPr="00D53702" w:rsidRDefault="00D53702" w:rsidP="00D53702">
      <w:pPr>
        <w:numPr>
          <w:ilvl w:val="0"/>
          <w:numId w:val="15"/>
        </w:numPr>
        <w:spacing w:line="240" w:lineRule="auto"/>
        <w:rPr>
          <w:rFonts w:ascii="Cambria" w:hAnsi="Cambria"/>
          <w:color w:val="000000" w:themeColor="text1"/>
          <w:sz w:val="22"/>
          <w:szCs w:val="22"/>
        </w:rPr>
      </w:pPr>
      <w:r w:rsidRPr="00D53702">
        <w:rPr>
          <w:rFonts w:ascii="Cambria" w:hAnsi="Cambria"/>
          <w:color w:val="000000" w:themeColor="text1"/>
          <w:sz w:val="22"/>
          <w:szCs w:val="22"/>
        </w:rPr>
        <w:t xml:space="preserve">Loshchilov, I., &amp; Hutter, F. “Decoupled Weight Decay Regularization.” </w:t>
      </w:r>
      <w:r w:rsidRPr="00D53702">
        <w:rPr>
          <w:rFonts w:ascii="Cambria" w:hAnsi="Cambria"/>
          <w:i/>
          <w:iCs/>
          <w:color w:val="000000" w:themeColor="text1"/>
          <w:sz w:val="22"/>
          <w:szCs w:val="22"/>
        </w:rPr>
        <w:t>International Conference on Learning Representations (ICLR)</w:t>
      </w:r>
      <w:r w:rsidRPr="00D53702">
        <w:rPr>
          <w:rFonts w:ascii="Cambria" w:hAnsi="Cambria"/>
          <w:color w:val="000000" w:themeColor="text1"/>
          <w:sz w:val="22"/>
          <w:szCs w:val="22"/>
        </w:rPr>
        <w:t>, 2019.</w:t>
      </w:r>
    </w:p>
    <w:p w14:paraId="0A1C094A" w14:textId="77777777" w:rsidR="00D53702" w:rsidRPr="00D53702" w:rsidRDefault="00D53702" w:rsidP="00D53702">
      <w:pPr>
        <w:numPr>
          <w:ilvl w:val="0"/>
          <w:numId w:val="15"/>
        </w:numPr>
        <w:spacing w:line="240" w:lineRule="auto"/>
        <w:rPr>
          <w:rFonts w:ascii="Cambria" w:hAnsi="Cambria"/>
          <w:color w:val="000000" w:themeColor="text1"/>
          <w:sz w:val="22"/>
          <w:szCs w:val="22"/>
        </w:rPr>
      </w:pPr>
      <w:r w:rsidRPr="00D53702">
        <w:rPr>
          <w:rFonts w:ascii="Cambria" w:hAnsi="Cambria"/>
          <w:color w:val="000000" w:themeColor="text1"/>
          <w:sz w:val="22"/>
          <w:szCs w:val="22"/>
        </w:rPr>
        <w:t xml:space="preserve">Smith, L. N. “A Disciplined Approach to Neural Network Hyper‐Parameters: Part 1—Learning Rate, Batch Size, Momentum, and Weight Decay.” </w:t>
      </w:r>
      <w:r w:rsidRPr="00D53702">
        <w:rPr>
          <w:rFonts w:ascii="Cambria" w:hAnsi="Cambria"/>
          <w:i/>
          <w:iCs/>
          <w:color w:val="000000" w:themeColor="text1"/>
          <w:sz w:val="22"/>
          <w:szCs w:val="22"/>
        </w:rPr>
        <w:t>arXiv preprint arXiv:1803.09820</w:t>
      </w:r>
      <w:r w:rsidRPr="00D53702">
        <w:rPr>
          <w:rFonts w:ascii="Cambria" w:hAnsi="Cambria"/>
          <w:color w:val="000000" w:themeColor="text1"/>
          <w:sz w:val="22"/>
          <w:szCs w:val="22"/>
        </w:rPr>
        <w:t>, 2018.</w:t>
      </w:r>
    </w:p>
    <w:p w14:paraId="709D204A" w14:textId="77777777" w:rsidR="00D53702" w:rsidRPr="00D53702" w:rsidRDefault="00D53702" w:rsidP="00D53702">
      <w:pPr>
        <w:numPr>
          <w:ilvl w:val="0"/>
          <w:numId w:val="15"/>
        </w:numPr>
        <w:spacing w:line="240" w:lineRule="auto"/>
        <w:rPr>
          <w:rFonts w:ascii="Cambria" w:hAnsi="Cambria"/>
          <w:color w:val="000000" w:themeColor="text1"/>
          <w:sz w:val="22"/>
          <w:szCs w:val="22"/>
        </w:rPr>
      </w:pPr>
      <w:r w:rsidRPr="00D53702">
        <w:rPr>
          <w:rFonts w:ascii="Cambria" w:hAnsi="Cambria"/>
          <w:color w:val="000000" w:themeColor="text1"/>
          <w:sz w:val="22"/>
          <w:szCs w:val="22"/>
        </w:rPr>
        <w:t xml:space="preserve">Paszke, A., Gross, S., Massa, F., Lerer, A., Bradbury, J., Chanan, G., … &amp; Chintala, S. “PyTorch: An Imperative Style, High-Performance Deep Learning Library.” </w:t>
      </w:r>
      <w:r w:rsidRPr="00D53702">
        <w:rPr>
          <w:rFonts w:ascii="Cambria" w:hAnsi="Cambria"/>
          <w:i/>
          <w:iCs/>
          <w:color w:val="000000" w:themeColor="text1"/>
          <w:sz w:val="22"/>
          <w:szCs w:val="22"/>
        </w:rPr>
        <w:t>Advances in Neural Information Processing Systems (NeurIPS)</w:t>
      </w:r>
      <w:r w:rsidRPr="00D53702">
        <w:rPr>
          <w:rFonts w:ascii="Cambria" w:hAnsi="Cambria"/>
          <w:color w:val="000000" w:themeColor="text1"/>
          <w:sz w:val="22"/>
          <w:szCs w:val="22"/>
        </w:rPr>
        <w:t>, 2019.</w:t>
      </w:r>
    </w:p>
    <w:p w14:paraId="2AE02FE8" w14:textId="77777777" w:rsidR="00D53702" w:rsidRPr="00D53702" w:rsidRDefault="00D53702" w:rsidP="00D53702">
      <w:pPr>
        <w:spacing w:line="240" w:lineRule="auto"/>
        <w:rPr>
          <w:rFonts w:ascii="Cambria" w:hAnsi="Cambria"/>
          <w:color w:val="000000" w:themeColor="text1"/>
          <w:sz w:val="22"/>
          <w:szCs w:val="22"/>
        </w:rPr>
      </w:pPr>
    </w:p>
    <w:p w14:paraId="756416FC" w14:textId="77777777" w:rsidR="00D53702" w:rsidRPr="004A6EA4" w:rsidRDefault="00D53702" w:rsidP="00D53702">
      <w:pPr>
        <w:spacing w:line="240" w:lineRule="auto"/>
        <w:rPr>
          <w:rFonts w:ascii="Cambria" w:hAnsi="Cambria"/>
          <w:color w:val="000000" w:themeColor="text1"/>
          <w:sz w:val="26"/>
          <w:szCs w:val="26"/>
        </w:rPr>
      </w:pPr>
    </w:p>
    <w:p w14:paraId="5A4A86AA" w14:textId="77777777" w:rsidR="006C1774" w:rsidRPr="006C1774" w:rsidRDefault="006C1774" w:rsidP="006C1774">
      <w:pPr>
        <w:spacing w:line="240" w:lineRule="auto"/>
        <w:rPr>
          <w:rFonts w:ascii="Cambria" w:hAnsi="Cambria"/>
          <w:color w:val="000000" w:themeColor="text1"/>
        </w:rPr>
      </w:pPr>
    </w:p>
    <w:sectPr w:rsidR="006C1774" w:rsidRPr="006C1774" w:rsidSect="00212463">
      <w:type w:val="continuous"/>
      <w:pgSz w:w="12240" w:h="15840"/>
      <w:pgMar w:top="1080" w:right="1080" w:bottom="108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773CD" w14:textId="77777777" w:rsidR="00297950" w:rsidRDefault="00297950" w:rsidP="00212463">
      <w:pPr>
        <w:spacing w:after="0" w:line="240" w:lineRule="auto"/>
      </w:pPr>
      <w:r>
        <w:separator/>
      </w:r>
    </w:p>
  </w:endnote>
  <w:endnote w:type="continuationSeparator" w:id="0">
    <w:p w14:paraId="1CF809DF" w14:textId="77777777" w:rsidR="00297950" w:rsidRDefault="00297950" w:rsidP="00212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8397877"/>
      <w:docPartObj>
        <w:docPartGallery w:val="Page Numbers (Bottom of Page)"/>
        <w:docPartUnique/>
      </w:docPartObj>
    </w:sdtPr>
    <w:sdtContent>
      <w:p w14:paraId="2C1A53B9" w14:textId="795CC960" w:rsidR="00212463" w:rsidRDefault="00212463" w:rsidP="00991C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67EDE12" w14:textId="77777777" w:rsidR="00212463" w:rsidRDefault="00212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color w:val="000000" w:themeColor="text1"/>
      </w:rPr>
      <w:id w:val="790717220"/>
      <w:docPartObj>
        <w:docPartGallery w:val="Page Numbers (Bottom of Page)"/>
        <w:docPartUnique/>
      </w:docPartObj>
    </w:sdtPr>
    <w:sdtContent>
      <w:p w14:paraId="0AAF8394" w14:textId="18047470" w:rsidR="00212463" w:rsidRPr="00212463" w:rsidRDefault="00212463" w:rsidP="00991C2B">
        <w:pPr>
          <w:pStyle w:val="Footer"/>
          <w:framePr w:wrap="none" w:vAnchor="text" w:hAnchor="margin" w:xAlign="center" w:y="1"/>
          <w:rPr>
            <w:rStyle w:val="PageNumber"/>
            <w:color w:val="000000" w:themeColor="text1"/>
          </w:rPr>
        </w:pPr>
        <w:r w:rsidRPr="00212463">
          <w:rPr>
            <w:rStyle w:val="PageNumber"/>
            <w:rFonts w:ascii="Cambria" w:hAnsi="Cambria"/>
            <w:color w:val="000000" w:themeColor="text1"/>
          </w:rPr>
          <w:fldChar w:fldCharType="begin"/>
        </w:r>
        <w:r w:rsidRPr="00212463">
          <w:rPr>
            <w:rStyle w:val="PageNumber"/>
            <w:rFonts w:ascii="Cambria" w:hAnsi="Cambria"/>
            <w:color w:val="000000" w:themeColor="text1"/>
          </w:rPr>
          <w:instrText xml:space="preserve"> PAGE </w:instrText>
        </w:r>
        <w:r w:rsidRPr="00212463">
          <w:rPr>
            <w:rStyle w:val="PageNumber"/>
            <w:rFonts w:ascii="Cambria" w:hAnsi="Cambria"/>
            <w:color w:val="000000" w:themeColor="text1"/>
          </w:rPr>
          <w:fldChar w:fldCharType="separate"/>
        </w:r>
        <w:r w:rsidRPr="00212463">
          <w:rPr>
            <w:rStyle w:val="PageNumber"/>
            <w:rFonts w:ascii="Cambria" w:hAnsi="Cambria"/>
            <w:noProof/>
            <w:color w:val="000000" w:themeColor="text1"/>
          </w:rPr>
          <w:t>2</w:t>
        </w:r>
        <w:r w:rsidRPr="00212463">
          <w:rPr>
            <w:rStyle w:val="PageNumber"/>
            <w:rFonts w:ascii="Cambria" w:hAnsi="Cambria"/>
            <w:color w:val="000000" w:themeColor="text1"/>
          </w:rPr>
          <w:fldChar w:fldCharType="end"/>
        </w:r>
      </w:p>
    </w:sdtContent>
  </w:sdt>
  <w:p w14:paraId="015DE890" w14:textId="77777777" w:rsidR="00212463" w:rsidRDefault="002124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25774" w14:textId="77777777" w:rsidR="004A6EA4" w:rsidRDefault="004A6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E1195" w14:textId="77777777" w:rsidR="00297950" w:rsidRDefault="00297950" w:rsidP="00212463">
      <w:pPr>
        <w:spacing w:after="0" w:line="240" w:lineRule="auto"/>
      </w:pPr>
      <w:r>
        <w:separator/>
      </w:r>
    </w:p>
  </w:footnote>
  <w:footnote w:type="continuationSeparator" w:id="0">
    <w:p w14:paraId="4870CCFB" w14:textId="77777777" w:rsidR="00297950" w:rsidRDefault="00297950" w:rsidP="00212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EB5AE" w14:textId="77777777" w:rsidR="004A6EA4" w:rsidRDefault="004A6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9B5F2" w14:textId="77777777" w:rsidR="004A6EA4" w:rsidRDefault="004A6E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F0EA9" w14:textId="77777777" w:rsidR="004A6EA4" w:rsidRDefault="004A6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179"/>
    <w:multiLevelType w:val="hybridMultilevel"/>
    <w:tmpl w:val="3544D77E"/>
    <w:lvl w:ilvl="0" w:tplc="5F744D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9253D"/>
    <w:multiLevelType w:val="hybridMultilevel"/>
    <w:tmpl w:val="E034B954"/>
    <w:lvl w:ilvl="0" w:tplc="05EA396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355E7E"/>
    <w:multiLevelType w:val="hybridMultilevel"/>
    <w:tmpl w:val="D46602C0"/>
    <w:lvl w:ilvl="0" w:tplc="AF446E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1254"/>
    <w:multiLevelType w:val="multilevel"/>
    <w:tmpl w:val="ABD6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D7FBC"/>
    <w:multiLevelType w:val="hybridMultilevel"/>
    <w:tmpl w:val="2E967FB8"/>
    <w:lvl w:ilvl="0" w:tplc="BDF86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B3EBB"/>
    <w:multiLevelType w:val="multilevel"/>
    <w:tmpl w:val="8422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65D2F"/>
    <w:multiLevelType w:val="hybridMultilevel"/>
    <w:tmpl w:val="786C5EF2"/>
    <w:lvl w:ilvl="0" w:tplc="0F3E26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B51DC"/>
    <w:multiLevelType w:val="hybridMultilevel"/>
    <w:tmpl w:val="BC34C11A"/>
    <w:lvl w:ilvl="0" w:tplc="6F9C1A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F5289"/>
    <w:multiLevelType w:val="multilevel"/>
    <w:tmpl w:val="1F6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930F9"/>
    <w:multiLevelType w:val="multilevel"/>
    <w:tmpl w:val="029C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933C3B"/>
    <w:multiLevelType w:val="multilevel"/>
    <w:tmpl w:val="A5A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02ADA"/>
    <w:multiLevelType w:val="multilevel"/>
    <w:tmpl w:val="6FE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73F0B"/>
    <w:multiLevelType w:val="hybridMultilevel"/>
    <w:tmpl w:val="4D5E921A"/>
    <w:lvl w:ilvl="0" w:tplc="EB42F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45EBB"/>
    <w:multiLevelType w:val="multilevel"/>
    <w:tmpl w:val="DDCC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90310"/>
    <w:multiLevelType w:val="hybridMultilevel"/>
    <w:tmpl w:val="AAFABDF4"/>
    <w:lvl w:ilvl="0" w:tplc="2116CD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52963">
    <w:abstractNumId w:val="0"/>
  </w:num>
  <w:num w:numId="2" w16cid:durableId="623390382">
    <w:abstractNumId w:val="1"/>
  </w:num>
  <w:num w:numId="3" w16cid:durableId="1603033850">
    <w:abstractNumId w:val="12"/>
  </w:num>
  <w:num w:numId="4" w16cid:durableId="380128608">
    <w:abstractNumId w:val="14"/>
  </w:num>
  <w:num w:numId="5" w16cid:durableId="1838425388">
    <w:abstractNumId w:val="7"/>
  </w:num>
  <w:num w:numId="6" w16cid:durableId="1366058976">
    <w:abstractNumId w:val="10"/>
  </w:num>
  <w:num w:numId="7" w16cid:durableId="635918548">
    <w:abstractNumId w:val="11"/>
  </w:num>
  <w:num w:numId="8" w16cid:durableId="33894555">
    <w:abstractNumId w:val="5"/>
  </w:num>
  <w:num w:numId="9" w16cid:durableId="1181116736">
    <w:abstractNumId w:val="6"/>
  </w:num>
  <w:num w:numId="10" w16cid:durableId="1226449814">
    <w:abstractNumId w:val="2"/>
  </w:num>
  <w:num w:numId="11" w16cid:durableId="752706378">
    <w:abstractNumId w:val="4"/>
  </w:num>
  <w:num w:numId="12" w16cid:durableId="45303484">
    <w:abstractNumId w:val="8"/>
  </w:num>
  <w:num w:numId="13" w16cid:durableId="1343704349">
    <w:abstractNumId w:val="13"/>
  </w:num>
  <w:num w:numId="14" w16cid:durableId="357197166">
    <w:abstractNumId w:val="3"/>
  </w:num>
  <w:num w:numId="15" w16cid:durableId="106506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A"/>
    <w:rsid w:val="00212463"/>
    <w:rsid w:val="00297950"/>
    <w:rsid w:val="00310DA0"/>
    <w:rsid w:val="00366E6A"/>
    <w:rsid w:val="004A6EA4"/>
    <w:rsid w:val="00523447"/>
    <w:rsid w:val="005F62A2"/>
    <w:rsid w:val="006C1774"/>
    <w:rsid w:val="006E42F6"/>
    <w:rsid w:val="00A1619B"/>
    <w:rsid w:val="00A47D91"/>
    <w:rsid w:val="00A80F7F"/>
    <w:rsid w:val="00BF4D5E"/>
    <w:rsid w:val="00C2755E"/>
    <w:rsid w:val="00C36E42"/>
    <w:rsid w:val="00D53702"/>
    <w:rsid w:val="00E819CC"/>
    <w:rsid w:val="00ED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A9538"/>
  <w15:chartTrackingRefBased/>
  <w15:docId w15:val="{E187B0AE-E455-6047-8D42-D22EB71B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E6A"/>
    <w:rPr>
      <w:rFonts w:eastAsiaTheme="majorEastAsia" w:cstheme="majorBidi"/>
      <w:color w:val="272727" w:themeColor="text1" w:themeTint="D8"/>
    </w:rPr>
  </w:style>
  <w:style w:type="paragraph" w:styleId="Title">
    <w:name w:val="Title"/>
    <w:basedOn w:val="Normal"/>
    <w:next w:val="Normal"/>
    <w:link w:val="TitleChar"/>
    <w:uiPriority w:val="10"/>
    <w:qFormat/>
    <w:rsid w:val="00366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E6A"/>
    <w:pPr>
      <w:spacing w:before="160"/>
      <w:jc w:val="center"/>
    </w:pPr>
    <w:rPr>
      <w:i/>
      <w:iCs/>
      <w:color w:val="404040" w:themeColor="text1" w:themeTint="BF"/>
    </w:rPr>
  </w:style>
  <w:style w:type="character" w:customStyle="1" w:styleId="QuoteChar">
    <w:name w:val="Quote Char"/>
    <w:basedOn w:val="DefaultParagraphFont"/>
    <w:link w:val="Quote"/>
    <w:uiPriority w:val="29"/>
    <w:rsid w:val="00366E6A"/>
    <w:rPr>
      <w:i/>
      <w:iCs/>
      <w:color w:val="404040" w:themeColor="text1" w:themeTint="BF"/>
    </w:rPr>
  </w:style>
  <w:style w:type="paragraph" w:styleId="ListParagraph">
    <w:name w:val="List Paragraph"/>
    <w:basedOn w:val="Normal"/>
    <w:uiPriority w:val="34"/>
    <w:qFormat/>
    <w:rsid w:val="00366E6A"/>
    <w:pPr>
      <w:ind w:left="720"/>
      <w:contextualSpacing/>
    </w:pPr>
  </w:style>
  <w:style w:type="character" w:styleId="IntenseEmphasis">
    <w:name w:val="Intense Emphasis"/>
    <w:basedOn w:val="DefaultParagraphFont"/>
    <w:uiPriority w:val="21"/>
    <w:qFormat/>
    <w:rsid w:val="00366E6A"/>
    <w:rPr>
      <w:i/>
      <w:iCs/>
      <w:color w:val="0F4761" w:themeColor="accent1" w:themeShade="BF"/>
    </w:rPr>
  </w:style>
  <w:style w:type="paragraph" w:styleId="IntenseQuote">
    <w:name w:val="Intense Quote"/>
    <w:basedOn w:val="Normal"/>
    <w:next w:val="Normal"/>
    <w:link w:val="IntenseQuoteChar"/>
    <w:uiPriority w:val="30"/>
    <w:qFormat/>
    <w:rsid w:val="00366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E6A"/>
    <w:rPr>
      <w:i/>
      <w:iCs/>
      <w:color w:val="0F4761" w:themeColor="accent1" w:themeShade="BF"/>
    </w:rPr>
  </w:style>
  <w:style w:type="character" w:styleId="IntenseReference">
    <w:name w:val="Intense Reference"/>
    <w:basedOn w:val="DefaultParagraphFont"/>
    <w:uiPriority w:val="32"/>
    <w:qFormat/>
    <w:rsid w:val="00366E6A"/>
    <w:rPr>
      <w:b/>
      <w:bCs/>
      <w:smallCaps/>
      <w:color w:val="0F4761" w:themeColor="accent1" w:themeShade="BF"/>
      <w:spacing w:val="5"/>
    </w:rPr>
  </w:style>
  <w:style w:type="character" w:styleId="Hyperlink">
    <w:name w:val="Hyperlink"/>
    <w:basedOn w:val="DefaultParagraphFont"/>
    <w:uiPriority w:val="99"/>
    <w:unhideWhenUsed/>
    <w:rsid w:val="00A47D91"/>
    <w:rPr>
      <w:color w:val="467886" w:themeColor="hyperlink"/>
      <w:u w:val="single"/>
    </w:rPr>
  </w:style>
  <w:style w:type="character" w:styleId="UnresolvedMention">
    <w:name w:val="Unresolved Mention"/>
    <w:basedOn w:val="DefaultParagraphFont"/>
    <w:uiPriority w:val="99"/>
    <w:semiHidden/>
    <w:unhideWhenUsed/>
    <w:rsid w:val="00A47D91"/>
    <w:rPr>
      <w:color w:val="605E5C"/>
      <w:shd w:val="clear" w:color="auto" w:fill="E1DFDD"/>
    </w:rPr>
  </w:style>
  <w:style w:type="paragraph" w:styleId="Footer">
    <w:name w:val="footer"/>
    <w:basedOn w:val="Normal"/>
    <w:link w:val="FooterChar"/>
    <w:uiPriority w:val="99"/>
    <w:unhideWhenUsed/>
    <w:rsid w:val="00212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463"/>
  </w:style>
  <w:style w:type="character" w:styleId="PageNumber">
    <w:name w:val="page number"/>
    <w:basedOn w:val="DefaultParagraphFont"/>
    <w:uiPriority w:val="99"/>
    <w:semiHidden/>
    <w:unhideWhenUsed/>
    <w:rsid w:val="00212463"/>
  </w:style>
  <w:style w:type="paragraph" w:styleId="Header">
    <w:name w:val="header"/>
    <w:basedOn w:val="Normal"/>
    <w:link w:val="HeaderChar"/>
    <w:uiPriority w:val="99"/>
    <w:unhideWhenUsed/>
    <w:rsid w:val="00212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971">
      <w:bodyDiv w:val="1"/>
      <w:marLeft w:val="0"/>
      <w:marRight w:val="0"/>
      <w:marTop w:val="0"/>
      <w:marBottom w:val="0"/>
      <w:divBdr>
        <w:top w:val="none" w:sz="0" w:space="0" w:color="auto"/>
        <w:left w:val="none" w:sz="0" w:space="0" w:color="auto"/>
        <w:bottom w:val="none" w:sz="0" w:space="0" w:color="auto"/>
        <w:right w:val="none" w:sz="0" w:space="0" w:color="auto"/>
      </w:divBdr>
    </w:div>
    <w:div w:id="194394554">
      <w:bodyDiv w:val="1"/>
      <w:marLeft w:val="0"/>
      <w:marRight w:val="0"/>
      <w:marTop w:val="0"/>
      <w:marBottom w:val="0"/>
      <w:divBdr>
        <w:top w:val="none" w:sz="0" w:space="0" w:color="auto"/>
        <w:left w:val="none" w:sz="0" w:space="0" w:color="auto"/>
        <w:bottom w:val="none" w:sz="0" w:space="0" w:color="auto"/>
        <w:right w:val="none" w:sz="0" w:space="0" w:color="auto"/>
      </w:divBdr>
    </w:div>
    <w:div w:id="873268594">
      <w:bodyDiv w:val="1"/>
      <w:marLeft w:val="0"/>
      <w:marRight w:val="0"/>
      <w:marTop w:val="0"/>
      <w:marBottom w:val="0"/>
      <w:divBdr>
        <w:top w:val="none" w:sz="0" w:space="0" w:color="auto"/>
        <w:left w:val="none" w:sz="0" w:space="0" w:color="auto"/>
        <w:bottom w:val="none" w:sz="0" w:space="0" w:color="auto"/>
        <w:right w:val="none" w:sz="0" w:space="0" w:color="auto"/>
      </w:divBdr>
    </w:div>
    <w:div w:id="1049258567">
      <w:bodyDiv w:val="1"/>
      <w:marLeft w:val="0"/>
      <w:marRight w:val="0"/>
      <w:marTop w:val="0"/>
      <w:marBottom w:val="0"/>
      <w:divBdr>
        <w:top w:val="none" w:sz="0" w:space="0" w:color="auto"/>
        <w:left w:val="none" w:sz="0" w:space="0" w:color="auto"/>
        <w:bottom w:val="none" w:sz="0" w:space="0" w:color="auto"/>
        <w:right w:val="none" w:sz="0" w:space="0" w:color="auto"/>
      </w:divBdr>
    </w:div>
    <w:div w:id="1132791103">
      <w:bodyDiv w:val="1"/>
      <w:marLeft w:val="0"/>
      <w:marRight w:val="0"/>
      <w:marTop w:val="0"/>
      <w:marBottom w:val="0"/>
      <w:divBdr>
        <w:top w:val="none" w:sz="0" w:space="0" w:color="auto"/>
        <w:left w:val="none" w:sz="0" w:space="0" w:color="auto"/>
        <w:bottom w:val="none" w:sz="0" w:space="0" w:color="auto"/>
        <w:right w:val="none" w:sz="0" w:space="0" w:color="auto"/>
      </w:divBdr>
    </w:div>
    <w:div w:id="1135609761">
      <w:bodyDiv w:val="1"/>
      <w:marLeft w:val="0"/>
      <w:marRight w:val="0"/>
      <w:marTop w:val="0"/>
      <w:marBottom w:val="0"/>
      <w:divBdr>
        <w:top w:val="none" w:sz="0" w:space="0" w:color="auto"/>
        <w:left w:val="none" w:sz="0" w:space="0" w:color="auto"/>
        <w:bottom w:val="none" w:sz="0" w:space="0" w:color="auto"/>
        <w:right w:val="none" w:sz="0" w:space="0" w:color="auto"/>
      </w:divBdr>
    </w:div>
    <w:div w:id="1226643467">
      <w:bodyDiv w:val="1"/>
      <w:marLeft w:val="0"/>
      <w:marRight w:val="0"/>
      <w:marTop w:val="0"/>
      <w:marBottom w:val="0"/>
      <w:divBdr>
        <w:top w:val="none" w:sz="0" w:space="0" w:color="auto"/>
        <w:left w:val="none" w:sz="0" w:space="0" w:color="auto"/>
        <w:bottom w:val="none" w:sz="0" w:space="0" w:color="auto"/>
        <w:right w:val="none" w:sz="0" w:space="0" w:color="auto"/>
      </w:divBdr>
    </w:div>
    <w:div w:id="1251814890">
      <w:bodyDiv w:val="1"/>
      <w:marLeft w:val="0"/>
      <w:marRight w:val="0"/>
      <w:marTop w:val="0"/>
      <w:marBottom w:val="0"/>
      <w:divBdr>
        <w:top w:val="none" w:sz="0" w:space="0" w:color="auto"/>
        <w:left w:val="none" w:sz="0" w:space="0" w:color="auto"/>
        <w:bottom w:val="none" w:sz="0" w:space="0" w:color="auto"/>
        <w:right w:val="none" w:sz="0" w:space="0" w:color="auto"/>
      </w:divBdr>
      <w:divsChild>
        <w:div w:id="135156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15563">
      <w:bodyDiv w:val="1"/>
      <w:marLeft w:val="0"/>
      <w:marRight w:val="0"/>
      <w:marTop w:val="0"/>
      <w:marBottom w:val="0"/>
      <w:divBdr>
        <w:top w:val="none" w:sz="0" w:space="0" w:color="auto"/>
        <w:left w:val="none" w:sz="0" w:space="0" w:color="auto"/>
        <w:bottom w:val="none" w:sz="0" w:space="0" w:color="auto"/>
        <w:right w:val="none" w:sz="0" w:space="0" w:color="auto"/>
      </w:divBdr>
      <w:divsChild>
        <w:div w:id="742215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88965">
      <w:bodyDiv w:val="1"/>
      <w:marLeft w:val="0"/>
      <w:marRight w:val="0"/>
      <w:marTop w:val="0"/>
      <w:marBottom w:val="0"/>
      <w:divBdr>
        <w:top w:val="none" w:sz="0" w:space="0" w:color="auto"/>
        <w:left w:val="none" w:sz="0" w:space="0" w:color="auto"/>
        <w:bottom w:val="none" w:sz="0" w:space="0" w:color="auto"/>
        <w:right w:val="none" w:sz="0" w:space="0" w:color="auto"/>
      </w:divBdr>
    </w:div>
    <w:div w:id="1741752114">
      <w:bodyDiv w:val="1"/>
      <w:marLeft w:val="0"/>
      <w:marRight w:val="0"/>
      <w:marTop w:val="0"/>
      <w:marBottom w:val="0"/>
      <w:divBdr>
        <w:top w:val="none" w:sz="0" w:space="0" w:color="auto"/>
        <w:left w:val="none" w:sz="0" w:space="0" w:color="auto"/>
        <w:bottom w:val="none" w:sz="0" w:space="0" w:color="auto"/>
        <w:right w:val="none" w:sz="0" w:space="0" w:color="auto"/>
      </w:divBdr>
      <w:divsChild>
        <w:div w:id="1934707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885989">
      <w:bodyDiv w:val="1"/>
      <w:marLeft w:val="0"/>
      <w:marRight w:val="0"/>
      <w:marTop w:val="0"/>
      <w:marBottom w:val="0"/>
      <w:divBdr>
        <w:top w:val="none" w:sz="0" w:space="0" w:color="auto"/>
        <w:left w:val="none" w:sz="0" w:space="0" w:color="auto"/>
        <w:bottom w:val="none" w:sz="0" w:space="0" w:color="auto"/>
        <w:right w:val="none" w:sz="0" w:space="0" w:color="auto"/>
      </w:divBdr>
    </w:div>
    <w:div w:id="20302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obh@uoregon.edu" TargetMode="External"/><Relationship Id="rId18" Type="http://schemas.openxmlformats.org/officeDocument/2006/relationships/hyperlink" Target="https://www.kaggle.com/c/rsna-intracranial-hemorrhage-detecti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Hughes</dc:creator>
  <cp:keywords/>
  <dc:description/>
  <cp:lastModifiedBy>Owen Hughes</cp:lastModifiedBy>
  <cp:revision>2</cp:revision>
  <dcterms:created xsi:type="dcterms:W3CDTF">2025-06-10T19:19:00Z</dcterms:created>
  <dcterms:modified xsi:type="dcterms:W3CDTF">2025-06-10T21:27:00Z</dcterms:modified>
</cp:coreProperties>
</file>