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79385" w14:textId="77777777" w:rsidR="00D02BE8" w:rsidRDefault="00000000">
      <w:r>
        <w:rPr>
          <w:b/>
          <w:color w:val="102A43"/>
          <w:sz w:val="48"/>
        </w:rPr>
        <w:t>MySafeOps – Fit Review for FESS Group</w:t>
      </w:r>
    </w:p>
    <w:p w14:paraId="546327E3" w14:textId="77777777" w:rsidR="00D02BE8" w:rsidRDefault="00000000">
      <w:r>
        <w:rPr>
          <w:i/>
          <w:color w:val="555555"/>
        </w:rPr>
        <w:t>Is this the right tool for us to run on? – a review against the business plan, growth plan and where FESS is today</w:t>
      </w:r>
    </w:p>
    <w:p w14:paraId="7AFE0FBF" w14:textId="77777777" w:rsidR="00D02BE8" w:rsidRDefault="00000000">
      <w:r>
        <w:rPr>
          <w:color w:val="555555"/>
          <w:sz w:val="20"/>
        </w:rPr>
        <w:t>Prepared by Jack Haswell  |  22 April 2026</w:t>
      </w:r>
    </w:p>
    <w:p w14:paraId="7FAEFBE2" w14:textId="77777777" w:rsidR="00D02BE8" w:rsidRDefault="00D02BE8"/>
    <w:p w14:paraId="1FDAE3B6" w14:textId="77777777" w:rsidR="00D02BE8" w:rsidRDefault="00000000">
      <w:pPr>
        <w:pStyle w:val="Heading1"/>
      </w:pPr>
      <w:r>
        <w:t>1. What the App Already Does Well</w:t>
      </w:r>
    </w:p>
    <w:p w14:paraId="2B5E7970" w14:textId="77777777" w:rsidR="00D02BE8" w:rsidRDefault="00000000">
      <w:r>
        <w:t>Before the observations, the base is worth naming. This is what already works in our favour if FESS adopts it:</w:t>
      </w:r>
    </w:p>
    <w:p w14:paraId="626579A1" w14:textId="77777777" w:rsidR="00D02BE8" w:rsidRDefault="00000000">
      <w:pPr>
        <w:pStyle w:val="ListBullet"/>
      </w:pPr>
      <w:r>
        <w:t>Clean, mobile-first UI with a genuinely useful "readiness score" – a good hook for site conversations.</w:t>
      </w:r>
    </w:p>
    <w:p w14:paraId="69F7FB50" w14:textId="77777777" w:rsidR="00D02BE8" w:rsidRDefault="00000000">
      <w:pPr>
        <w:pStyle w:val="ListBullet"/>
      </w:pPr>
      <w:r>
        <w:t>Wide coverage of UK safety essentials: RAMS, seven permit types, COSHH, LOLER, fire log, waste register, visitors, training matrix, vehicle &amp; equipment.</w:t>
      </w:r>
    </w:p>
    <w:p w14:paraId="6971267E" w14:textId="77777777" w:rsidR="00D02BE8" w:rsidRDefault="00000000">
      <w:pPr>
        <w:pStyle w:val="ListBullet"/>
      </w:pPr>
      <w:r>
        <w:t>A sensible three-role model (Admin / Supervisor / Worker) to build from.</w:t>
      </w:r>
    </w:p>
    <w:p w14:paraId="34DEA856" w14:textId="77777777" w:rsidR="00D02BE8" w:rsidRDefault="00000000">
      <w:pPr>
        <w:pStyle w:val="ListBullet"/>
      </w:pPr>
      <w:r>
        <w:t>Offline-capable core – useful on factory sites where Wi-Fi is patchy.</w:t>
      </w:r>
    </w:p>
    <w:p w14:paraId="5CECA8AF" w14:textId="77777777" w:rsidR="00D02BE8" w:rsidRDefault="00000000">
      <w:pPr>
        <w:pStyle w:val="ListBullet"/>
      </w:pPr>
      <w:r>
        <w:t>Thoughtful UX touches: readiness check, value calculator, branded PDF export.</w:t>
      </w:r>
    </w:p>
    <w:p w14:paraId="7E101950" w14:textId="77777777" w:rsidR="00D02BE8" w:rsidRDefault="00D02BE8"/>
    <w:p w14:paraId="4AA806CD" w14:textId="77777777" w:rsidR="00D02BE8" w:rsidRDefault="00000000">
      <w:r>
        <w:rPr>
          <w:i/>
          <w:color w:val="555555"/>
        </w:rPr>
        <w:t>Viewed as a site-safety tool for FESS's own engineers, it is already useful and well-built. The question this note tries to answer is whether it can stretch to be the tool we run the whole business on as we scale from £1.8m to £3m.</w:t>
      </w:r>
    </w:p>
    <w:p w14:paraId="2B19C02A" w14:textId="77777777" w:rsidR="00D02BE8" w:rsidRDefault="00000000">
      <w:r>
        <w:br w:type="page"/>
      </w:r>
    </w:p>
    <w:p w14:paraId="15EDCEFF" w14:textId="77777777" w:rsidR="00D02BE8" w:rsidRDefault="00000000">
      <w:pPr>
        <w:pStyle w:val="Heading1"/>
      </w:pPr>
      <w:r>
        <w:lastRenderedPageBreak/>
        <w:t>2. Fit Against the Growth Plan</w:t>
      </w:r>
    </w:p>
    <w:p w14:paraId="5F2AC7E7" w14:textId="77777777" w:rsidR="00D02BE8" w:rsidRDefault="00000000">
      <w:r>
        <w:t>The business plan leans on five pillars. An honest view of how MySafeOps currently helps with each – and where it would need to stretch if we want one platform to cover all of them:</w:t>
      </w:r>
    </w:p>
    <w:tbl>
      <w:tblPr>
        <w:tblStyle w:val="LightGrid-Accent1"/>
        <w:tblW w:w="0" w:type="auto"/>
        <w:tblLook w:val="04A0" w:firstRow="1" w:lastRow="0" w:firstColumn="1" w:lastColumn="0" w:noHBand="0" w:noVBand="1"/>
      </w:tblPr>
      <w:tblGrid>
        <w:gridCol w:w="2493"/>
        <w:gridCol w:w="2493"/>
        <w:gridCol w:w="2493"/>
        <w:gridCol w:w="2493"/>
      </w:tblGrid>
      <w:tr w:rsidR="00D02BE8" w14:paraId="37464A1F" w14:textId="77777777" w:rsidTr="00D02B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E7A6F"/>
          </w:tcPr>
          <w:p w14:paraId="0743DCC3" w14:textId="77777777" w:rsidR="00D02BE8" w:rsidRDefault="00000000">
            <w:r>
              <w:rPr>
                <w:color w:val="FFFFFF"/>
              </w:rPr>
              <w:t>Pillar</w:t>
            </w:r>
          </w:p>
        </w:tc>
        <w:tc>
          <w:tcPr>
            <w:tcW w:w="2493" w:type="dxa"/>
            <w:shd w:val="clear" w:color="auto" w:fill="1E7A6F"/>
          </w:tcPr>
          <w:p w14:paraId="5178D146" w14:textId="77777777" w:rsidR="00D02BE8" w:rsidRDefault="00000000">
            <w:pPr>
              <w:cnfStyle w:val="100000000000" w:firstRow="1" w:lastRow="0" w:firstColumn="0" w:lastColumn="0" w:oddVBand="0" w:evenVBand="0" w:oddHBand="0" w:evenHBand="0" w:firstRowFirstColumn="0" w:firstRowLastColumn="0" w:lastRowFirstColumn="0" w:lastRowLastColumn="0"/>
            </w:pPr>
            <w:r>
              <w:rPr>
                <w:color w:val="FFFFFF"/>
              </w:rPr>
              <w:t>Plan value</w:t>
            </w:r>
          </w:p>
        </w:tc>
        <w:tc>
          <w:tcPr>
            <w:tcW w:w="2493" w:type="dxa"/>
            <w:shd w:val="clear" w:color="auto" w:fill="1E7A6F"/>
          </w:tcPr>
          <w:p w14:paraId="23013942" w14:textId="77777777" w:rsidR="00D02BE8" w:rsidRDefault="00000000">
            <w:pPr>
              <w:cnfStyle w:val="100000000000" w:firstRow="1" w:lastRow="0" w:firstColumn="0" w:lastColumn="0" w:oddVBand="0" w:evenVBand="0" w:oddHBand="0" w:evenHBand="0" w:firstRowFirstColumn="0" w:firstRowLastColumn="0" w:lastRowFirstColumn="0" w:lastRowLastColumn="0"/>
            </w:pPr>
            <w:r>
              <w:rPr>
                <w:color w:val="FFFFFF"/>
              </w:rPr>
              <w:t>Current fit</w:t>
            </w:r>
          </w:p>
        </w:tc>
        <w:tc>
          <w:tcPr>
            <w:tcW w:w="2493" w:type="dxa"/>
            <w:shd w:val="clear" w:color="auto" w:fill="1E7A6F"/>
          </w:tcPr>
          <w:p w14:paraId="00FE4FC1" w14:textId="77777777" w:rsidR="00D02BE8" w:rsidRDefault="00000000">
            <w:pPr>
              <w:cnfStyle w:val="100000000000" w:firstRow="1" w:lastRow="0" w:firstColumn="0" w:lastColumn="0" w:oddVBand="0" w:evenVBand="0" w:oddHBand="0" w:evenHBand="0" w:firstRowFirstColumn="0" w:firstRowLastColumn="0" w:lastRowFirstColumn="0" w:lastRowLastColumn="0"/>
            </w:pPr>
            <w:r>
              <w:rPr>
                <w:color w:val="FFFFFF"/>
              </w:rPr>
              <w:t>Status</w:t>
            </w:r>
          </w:p>
        </w:tc>
      </w:tr>
      <w:tr w:rsidR="00D02BE8" w14:paraId="2B37B565" w14:textId="77777777" w:rsidTr="00D02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1E966B25" w14:textId="77777777" w:rsidR="00D02BE8" w:rsidRDefault="00000000">
            <w:r>
              <w:t>1. Strategic Acquisitions</w:t>
            </w:r>
          </w:p>
        </w:tc>
        <w:tc>
          <w:tcPr>
            <w:tcW w:w="2493" w:type="dxa"/>
          </w:tcPr>
          <w:p w14:paraId="0B992E41" w14:textId="77777777" w:rsidR="00D02BE8" w:rsidRDefault="00000000">
            <w:pPr>
              <w:cnfStyle w:val="000000100000" w:firstRow="0" w:lastRow="0" w:firstColumn="0" w:lastColumn="0" w:oddVBand="0" w:evenVBand="0" w:oddHBand="1" w:evenHBand="0" w:firstRowFirstColumn="0" w:firstRowLastColumn="0" w:lastRowFirstColumn="0" w:lastRowLastColumn="0"/>
            </w:pPr>
            <w:r>
              <w:t>£350k GP</w:t>
            </w:r>
          </w:p>
        </w:tc>
        <w:tc>
          <w:tcPr>
            <w:tcW w:w="2493" w:type="dxa"/>
          </w:tcPr>
          <w:p w14:paraId="0E9035DA" w14:textId="77777777" w:rsidR="00D02BE8" w:rsidRDefault="00000000">
            <w:pPr>
              <w:cnfStyle w:val="000000100000" w:firstRow="0" w:lastRow="0" w:firstColumn="0" w:lastColumn="0" w:oddVBand="0" w:evenVBand="0" w:oddHBand="1" w:evenHBand="0" w:firstRowFirstColumn="0" w:firstRowLastColumn="0" w:lastRowFirstColumn="0" w:lastRowLastColumn="0"/>
            </w:pPr>
            <w:r>
              <w:t>Limited – no deal pipeline, no post-acquisition consolidation view, no way to fold an acquired £1m turnover business into a single group dashboard.</w:t>
            </w:r>
          </w:p>
        </w:tc>
        <w:tc>
          <w:tcPr>
            <w:tcW w:w="2493" w:type="dxa"/>
          </w:tcPr>
          <w:p w14:paraId="4D6EB58D" w14:textId="77777777" w:rsidR="00D02BE8" w:rsidRDefault="00000000">
            <w:pPr>
              <w:cnfStyle w:val="000000100000" w:firstRow="0" w:lastRow="0" w:firstColumn="0" w:lastColumn="0" w:oddVBand="0" w:evenVBand="0" w:oddHBand="1" w:evenHBand="0" w:firstRowFirstColumn="0" w:firstRowLastColumn="0" w:lastRowFirstColumn="0" w:lastRowLastColumn="0"/>
            </w:pPr>
            <w:r>
              <w:rPr>
                <w:b/>
                <w:color w:val="1E7A6F"/>
              </w:rPr>
              <w:t>Gap</w:t>
            </w:r>
          </w:p>
        </w:tc>
      </w:tr>
      <w:tr w:rsidR="00D02BE8" w14:paraId="05638D26" w14:textId="77777777" w:rsidTr="00D02B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1336AEFF" w14:textId="77777777" w:rsidR="00D02BE8" w:rsidRDefault="00000000">
            <w:r>
              <w:t>2. Business Development &amp; Sales</w:t>
            </w:r>
          </w:p>
        </w:tc>
        <w:tc>
          <w:tcPr>
            <w:tcW w:w="2493" w:type="dxa"/>
          </w:tcPr>
          <w:p w14:paraId="33E4352B" w14:textId="77777777" w:rsidR="00D02BE8" w:rsidRDefault="00000000">
            <w:pPr>
              <w:cnfStyle w:val="000000010000" w:firstRow="0" w:lastRow="0" w:firstColumn="0" w:lastColumn="0" w:oddVBand="0" w:evenVBand="0" w:oddHBand="0" w:evenHBand="1" w:firstRowFirstColumn="0" w:firstRowLastColumn="0" w:lastRowFirstColumn="0" w:lastRowLastColumn="0"/>
            </w:pPr>
            <w:r>
              <w:t>£105k GP</w:t>
            </w:r>
          </w:p>
        </w:tc>
        <w:tc>
          <w:tcPr>
            <w:tcW w:w="2493" w:type="dxa"/>
          </w:tcPr>
          <w:p w14:paraId="54D885DE" w14:textId="77777777" w:rsidR="00D02BE8" w:rsidRDefault="00000000">
            <w:pPr>
              <w:cnfStyle w:val="000000010000" w:firstRow="0" w:lastRow="0" w:firstColumn="0" w:lastColumn="0" w:oddVBand="0" w:evenVBand="0" w:oddHBand="0" w:evenHBand="1" w:firstRowFirstColumn="0" w:firstRowLastColumn="0" w:lastRowFirstColumn="0" w:lastRowLastColumn="0"/>
            </w:pPr>
            <w:r>
              <w:t>Limited – no CRM, no quote pipeline, no client/site register, no renewal tracking.</w:t>
            </w:r>
          </w:p>
        </w:tc>
        <w:tc>
          <w:tcPr>
            <w:tcW w:w="2493" w:type="dxa"/>
          </w:tcPr>
          <w:p w14:paraId="119467EC" w14:textId="77777777" w:rsidR="00D02BE8" w:rsidRDefault="00000000">
            <w:pPr>
              <w:cnfStyle w:val="000000010000" w:firstRow="0" w:lastRow="0" w:firstColumn="0" w:lastColumn="0" w:oddVBand="0" w:evenVBand="0" w:oddHBand="0" w:evenHBand="1" w:firstRowFirstColumn="0" w:firstRowLastColumn="0" w:lastRowFirstColumn="0" w:lastRowLastColumn="0"/>
            </w:pPr>
            <w:r>
              <w:rPr>
                <w:b/>
                <w:color w:val="1E7A6F"/>
              </w:rPr>
              <w:t>Gap</w:t>
            </w:r>
          </w:p>
        </w:tc>
      </w:tr>
      <w:tr w:rsidR="00D02BE8" w14:paraId="76A8ABED" w14:textId="77777777" w:rsidTr="00D02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572A980F" w14:textId="77777777" w:rsidR="00D02BE8" w:rsidRDefault="00000000">
            <w:r>
              <w:t>3. Operational Efficiency</w:t>
            </w:r>
          </w:p>
        </w:tc>
        <w:tc>
          <w:tcPr>
            <w:tcW w:w="2493" w:type="dxa"/>
          </w:tcPr>
          <w:p w14:paraId="18186C91" w14:textId="77777777" w:rsidR="00D02BE8" w:rsidRDefault="00000000">
            <w:pPr>
              <w:cnfStyle w:val="000000100000" w:firstRow="0" w:lastRow="0" w:firstColumn="0" w:lastColumn="0" w:oddVBand="0" w:evenVBand="0" w:oddHBand="1" w:evenHBand="0" w:firstRowFirstColumn="0" w:firstRowLastColumn="0" w:lastRowFirstColumn="0" w:lastRowLastColumn="0"/>
            </w:pPr>
            <w:r>
              <w:t>£115k GP</w:t>
            </w:r>
          </w:p>
        </w:tc>
        <w:tc>
          <w:tcPr>
            <w:tcW w:w="2493" w:type="dxa"/>
          </w:tcPr>
          <w:p w14:paraId="7C09A67A" w14:textId="77777777" w:rsidR="00D02BE8" w:rsidRDefault="00000000">
            <w:pPr>
              <w:cnfStyle w:val="000000100000" w:firstRow="0" w:lastRow="0" w:firstColumn="0" w:lastColumn="0" w:oddVBand="0" w:evenVBand="0" w:oddHBand="1" w:evenHBand="0" w:firstRowFirstColumn="0" w:firstRowLastColumn="0" w:lastRowFirstColumn="0" w:lastRowLastColumn="0"/>
            </w:pPr>
            <w:r>
              <w:t>Partial – safety evidence is adjacent to job delivery, but we cannot yet answer "is this job profitable?" because there is no job costing, timesheet or PO module.</w:t>
            </w:r>
          </w:p>
        </w:tc>
        <w:tc>
          <w:tcPr>
            <w:tcW w:w="2493" w:type="dxa"/>
          </w:tcPr>
          <w:p w14:paraId="1944922E" w14:textId="77777777" w:rsidR="00D02BE8" w:rsidRDefault="00000000">
            <w:pPr>
              <w:cnfStyle w:val="000000100000" w:firstRow="0" w:lastRow="0" w:firstColumn="0" w:lastColumn="0" w:oddVBand="0" w:evenVBand="0" w:oddHBand="1" w:evenHBand="0" w:firstRowFirstColumn="0" w:firstRowLastColumn="0" w:lastRowFirstColumn="0" w:lastRowLastColumn="0"/>
            </w:pPr>
            <w:r>
              <w:rPr>
                <w:b/>
                <w:color w:val="B86A00"/>
              </w:rPr>
              <w:t>Closest fit</w:t>
            </w:r>
          </w:p>
        </w:tc>
      </w:tr>
      <w:tr w:rsidR="00D02BE8" w14:paraId="3F235548" w14:textId="77777777" w:rsidTr="00D02B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3FD88C4C" w14:textId="77777777" w:rsidR="00D02BE8" w:rsidRDefault="00000000">
            <w:r>
              <w:t>4. Structure &amp; Capability</w:t>
            </w:r>
          </w:p>
        </w:tc>
        <w:tc>
          <w:tcPr>
            <w:tcW w:w="2493" w:type="dxa"/>
          </w:tcPr>
          <w:p w14:paraId="718B1A58" w14:textId="77777777" w:rsidR="00D02BE8" w:rsidRDefault="00000000">
            <w:pPr>
              <w:cnfStyle w:val="000000010000" w:firstRow="0" w:lastRow="0" w:firstColumn="0" w:lastColumn="0" w:oddVBand="0" w:evenVBand="0" w:oddHBand="0" w:evenHBand="1" w:firstRowFirstColumn="0" w:firstRowLastColumn="0" w:lastRowFirstColumn="0" w:lastRowLastColumn="0"/>
            </w:pPr>
            <w:r>
              <w:t>£35k GP</w:t>
            </w:r>
          </w:p>
        </w:tc>
        <w:tc>
          <w:tcPr>
            <w:tcW w:w="2493" w:type="dxa"/>
          </w:tcPr>
          <w:p w14:paraId="007EA0E7" w14:textId="77777777" w:rsidR="00D02BE8" w:rsidRDefault="00000000">
            <w:pPr>
              <w:cnfStyle w:val="000000010000" w:firstRow="0" w:lastRow="0" w:firstColumn="0" w:lastColumn="0" w:oddVBand="0" w:evenVBand="0" w:oddHBand="0" w:evenHBand="1" w:firstRowFirstColumn="0" w:firstRowLastColumn="0" w:lastRowFirstColumn="0" w:lastRowLastColumn="0"/>
            </w:pPr>
            <w:r>
              <w:t>Partial – training matrix is a good start, but no role-based org chart, SOPs tied to roles, or delegated approval flows.</w:t>
            </w:r>
          </w:p>
        </w:tc>
        <w:tc>
          <w:tcPr>
            <w:tcW w:w="2493" w:type="dxa"/>
          </w:tcPr>
          <w:p w14:paraId="14EF65DC" w14:textId="77777777" w:rsidR="00D02BE8" w:rsidRDefault="00000000">
            <w:pPr>
              <w:cnfStyle w:val="000000010000" w:firstRow="0" w:lastRow="0" w:firstColumn="0" w:lastColumn="0" w:oddVBand="0" w:evenVBand="0" w:oddHBand="0" w:evenHBand="1" w:firstRowFirstColumn="0" w:firstRowLastColumn="0" w:lastRowFirstColumn="0" w:lastRowLastColumn="0"/>
            </w:pPr>
            <w:r>
              <w:rPr>
                <w:b/>
                <w:color w:val="B86A00"/>
              </w:rPr>
              <w:t>Needs depth</w:t>
            </w:r>
          </w:p>
        </w:tc>
      </w:tr>
      <w:tr w:rsidR="00D02BE8" w14:paraId="596BDE90" w14:textId="77777777" w:rsidTr="00D02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498B7E84" w14:textId="77777777" w:rsidR="00D02BE8" w:rsidRDefault="00000000">
            <w:r>
              <w:t>5. Strategic Leadership &amp; Governance</w:t>
            </w:r>
          </w:p>
        </w:tc>
        <w:tc>
          <w:tcPr>
            <w:tcW w:w="2493" w:type="dxa"/>
          </w:tcPr>
          <w:p w14:paraId="07815789" w14:textId="77777777" w:rsidR="00D02BE8" w:rsidRDefault="00000000">
            <w:pPr>
              <w:cnfStyle w:val="000000100000" w:firstRow="0" w:lastRow="0" w:firstColumn="0" w:lastColumn="0" w:oddVBand="0" w:evenVBand="0" w:oddHBand="1" w:evenHBand="0" w:firstRowFirstColumn="0" w:firstRowLastColumn="0" w:lastRowFirstColumn="0" w:lastRowLastColumn="0"/>
            </w:pPr>
            <w:r>
              <w:t>Enabler</w:t>
            </w:r>
          </w:p>
        </w:tc>
        <w:tc>
          <w:tcPr>
            <w:tcW w:w="2493" w:type="dxa"/>
          </w:tcPr>
          <w:p w14:paraId="0807E47C" w14:textId="77777777" w:rsidR="00D02BE8" w:rsidRDefault="00000000">
            <w:pPr>
              <w:cnfStyle w:val="000000100000" w:firstRow="0" w:lastRow="0" w:firstColumn="0" w:lastColumn="0" w:oddVBand="0" w:evenVBand="0" w:oddHBand="1" w:evenHBand="0" w:firstRowFirstColumn="0" w:firstRowLastColumn="0" w:lastRowFirstColumn="0" w:lastRowLastColumn="0"/>
            </w:pPr>
            <w:r>
              <w:t>Limited – no board KPI pack, no monthly group dashboard, no EBITDA bridge.</w:t>
            </w:r>
          </w:p>
        </w:tc>
        <w:tc>
          <w:tcPr>
            <w:tcW w:w="2493" w:type="dxa"/>
          </w:tcPr>
          <w:p w14:paraId="31D527FD" w14:textId="77777777" w:rsidR="00D02BE8" w:rsidRDefault="00000000">
            <w:pPr>
              <w:cnfStyle w:val="000000100000" w:firstRow="0" w:lastRow="0" w:firstColumn="0" w:lastColumn="0" w:oddVBand="0" w:evenVBand="0" w:oddHBand="1" w:evenHBand="0" w:firstRowFirstColumn="0" w:firstRowLastColumn="0" w:lastRowFirstColumn="0" w:lastRowLastColumn="0"/>
            </w:pPr>
            <w:r>
              <w:rPr>
                <w:b/>
                <w:color w:val="1E7A6F"/>
              </w:rPr>
              <w:t>Gap</w:t>
            </w:r>
          </w:p>
        </w:tc>
      </w:tr>
    </w:tbl>
    <w:p w14:paraId="1A46295C" w14:textId="77777777" w:rsidR="00D02BE8" w:rsidRDefault="00D02BE8"/>
    <w:p w14:paraId="10AD693E" w14:textId="77777777" w:rsidR="00D02BE8" w:rsidRDefault="00000000">
      <w:r>
        <w:t>Summary: MySafeOps is strong on the safety-evidence side (mapping closest to Pillar 3). The other four pillars are where additional scope would be needed if we want the same tool to carry all of them. That is likely outside the original brief, so worth a conversation about whether we widen the scope, or run MySafeOps alongside other tools (CRM, accounting, MI dashboard) that fill those gaps.</w:t>
      </w:r>
    </w:p>
    <w:p w14:paraId="67AB398D" w14:textId="77777777" w:rsidR="00D02BE8" w:rsidRDefault="00000000">
      <w:r>
        <w:br w:type="page"/>
      </w:r>
    </w:p>
    <w:p w14:paraId="2ECBC1BF" w14:textId="77777777" w:rsidR="00D02BE8" w:rsidRDefault="00000000">
      <w:pPr>
        <w:pStyle w:val="Heading1"/>
      </w:pPr>
      <w:r>
        <w:lastRenderedPageBreak/>
        <w:t>3. Fit With the Sites FESS Actually Works On</w:t>
      </w:r>
    </w:p>
    <w:p w14:paraId="59D488F6" w14:textId="77777777" w:rsidR="00D02BE8" w:rsidRDefault="00000000">
      <w:r>
        <w:t>MySafeOps is positioned as "Built for UK Construction" and the workflows reflect that. FESS's engineers, however, largely work inside food, pet food, pharmaceutical and petrochemical factories. The compliance stack on those sites overlaps with, but is not the same as, a construction principal contractor's.</w:t>
      </w:r>
    </w:p>
    <w:p w14:paraId="499737A2" w14:textId="77777777" w:rsidR="00D02BE8" w:rsidRDefault="00000000">
      <w:r>
        <w:t>This matters for internal use: if our engineers are raising permits, logging incidents and running inspections on a food factory site, the tool needs to understand the controls that live in those environments. A few things worth a chat with the developer on:</w:t>
      </w:r>
    </w:p>
    <w:p w14:paraId="493E1BC4" w14:textId="77777777" w:rsidR="00D02BE8" w:rsidRDefault="00000000">
      <w:pPr>
        <w:pStyle w:val="ListBullet"/>
      </w:pPr>
      <w:r>
        <w:t>Hot work in food environments – foreign-body, allergen and high-care zone controls layered onto the standard hot-work permit.</w:t>
      </w:r>
    </w:p>
    <w:p w14:paraId="6EBC06D7" w14:textId="77777777" w:rsidR="00D02BE8" w:rsidRDefault="00000000">
      <w:pPr>
        <w:pStyle w:val="ListBullet"/>
      </w:pPr>
      <w:r>
        <w:t>LOTO (Lock-out / Tag-out) as a first-class workflow, interlocked with electrical and hot-work permits.</w:t>
      </w:r>
    </w:p>
    <w:p w14:paraId="3E5F61BD" w14:textId="77777777" w:rsidR="00D02BE8" w:rsidRDefault="00000000">
      <w:pPr>
        <w:pStyle w:val="ListBullet"/>
      </w:pPr>
      <w:r>
        <w:t>High-care / high-risk zone access register and zoning maps.</w:t>
      </w:r>
    </w:p>
    <w:p w14:paraId="6C355E42" w14:textId="77777777" w:rsidR="00D02BE8" w:rsidRDefault="00000000">
      <w:pPr>
        <w:pStyle w:val="ListBullet"/>
      </w:pPr>
      <w:r>
        <w:t>CIP (sanitation) sign-off fields when our work touches production equipment.</w:t>
      </w:r>
    </w:p>
    <w:p w14:paraId="566DF892" w14:textId="77777777" w:rsidR="00D02BE8" w:rsidRDefault="00000000">
      <w:pPr>
        <w:pStyle w:val="ListBullet"/>
      </w:pPr>
      <w:r>
        <w:t>Allergen changeover awareness when we're working during a product changeover.</w:t>
      </w:r>
    </w:p>
    <w:p w14:paraId="53E5D6C6" w14:textId="77777777" w:rsidR="00D02BE8" w:rsidRDefault="00000000">
      <w:pPr>
        <w:pStyle w:val="ListBullet"/>
      </w:pPr>
      <w:r>
        <w:t>ATEX / DSEAR zoning for petrochem sites.</w:t>
      </w:r>
    </w:p>
    <w:p w14:paraId="336D4CB0" w14:textId="77777777" w:rsidR="00D02BE8" w:rsidRDefault="00000000">
      <w:pPr>
        <w:pStyle w:val="ListBullet"/>
      </w:pPr>
      <w:r>
        <w:t>GMP deviation logging where we're working in pharmaceutical environments.</w:t>
      </w:r>
    </w:p>
    <w:p w14:paraId="0323BEDA" w14:textId="77777777" w:rsidR="00D02BE8" w:rsidRDefault="00000000">
      <w:pPr>
        <w:pStyle w:val="ListBullet"/>
      </w:pPr>
      <w:r>
        <w:t>2026 CDM reform readiness (we already write about this in the FESS blog – worth reflecting in the app).</w:t>
      </w:r>
    </w:p>
    <w:p w14:paraId="0D5D6C8B" w14:textId="77777777" w:rsidR="00D02BE8" w:rsidRDefault="00D02BE8"/>
    <w:p w14:paraId="5419BE94" w14:textId="77777777" w:rsidR="00D02BE8" w:rsidRDefault="00000000">
      <w:r>
        <w:rPr>
          <w:i/>
          <w:color w:val="555555"/>
        </w:rPr>
        <w:t>None of these are hard to add – mostly new templates, fields and a few new registers on top of what's already there. They're the difference between "generic construction safety tool" and "genuinely fit for the sites FESS works on".</w:t>
      </w:r>
    </w:p>
    <w:p w14:paraId="7AB11971" w14:textId="77777777" w:rsidR="00D02BE8" w:rsidRDefault="00000000">
      <w:r>
        <w:br w:type="page"/>
      </w:r>
    </w:p>
    <w:p w14:paraId="7729F08B" w14:textId="77777777" w:rsidR="00D02BE8" w:rsidRDefault="00000000">
      <w:pPr>
        <w:pStyle w:val="Heading1"/>
      </w:pPr>
      <w:r>
        <w:lastRenderedPageBreak/>
        <w:t>4. What Would Make This the System FESS Runs On</w:t>
      </w:r>
    </w:p>
    <w:p w14:paraId="1EFE054D" w14:textId="77777777" w:rsidR="00D02BE8" w:rsidRDefault="00000000">
      <w:r>
        <w:t>This is the operational wish-list if we want MySafeOps to become the day-to-day platform for FESS (and for acquired businesses going forward). Most of these sit outside the current scope – worth agreeing which we prioritise and in what order, or alternatively which we choose to handle in other tools.</w:t>
      </w:r>
    </w:p>
    <w:tbl>
      <w:tblPr>
        <w:tblStyle w:val="LightGrid-Accent1"/>
        <w:tblW w:w="0" w:type="auto"/>
        <w:tblLook w:val="04A0" w:firstRow="1" w:lastRow="0" w:firstColumn="1" w:lastColumn="0" w:noHBand="0" w:noVBand="1"/>
      </w:tblPr>
      <w:tblGrid>
        <w:gridCol w:w="4986"/>
        <w:gridCol w:w="4986"/>
      </w:tblGrid>
      <w:tr w:rsidR="00D02BE8" w14:paraId="3101169C" w14:textId="77777777" w:rsidTr="00D02B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shd w:val="clear" w:color="auto" w:fill="1E7A6F"/>
          </w:tcPr>
          <w:p w14:paraId="121E17BE" w14:textId="77777777" w:rsidR="00D02BE8" w:rsidRDefault="00000000">
            <w:r>
              <w:rPr>
                <w:color w:val="FFFFFF"/>
              </w:rPr>
              <w:t>Module worth scoping</w:t>
            </w:r>
          </w:p>
        </w:tc>
        <w:tc>
          <w:tcPr>
            <w:tcW w:w="4986" w:type="dxa"/>
            <w:shd w:val="clear" w:color="auto" w:fill="1E7A6F"/>
          </w:tcPr>
          <w:p w14:paraId="2781936A" w14:textId="77777777" w:rsidR="00D02BE8" w:rsidRDefault="00000000">
            <w:pPr>
              <w:cnfStyle w:val="100000000000" w:firstRow="1" w:lastRow="0" w:firstColumn="0" w:lastColumn="0" w:oddVBand="0" w:evenVBand="0" w:oddHBand="0" w:evenHBand="0" w:firstRowFirstColumn="0" w:firstRowLastColumn="0" w:lastRowFirstColumn="0" w:lastRowLastColumn="0"/>
            </w:pPr>
            <w:r>
              <w:rPr>
                <w:color w:val="FFFFFF"/>
              </w:rPr>
              <w:t>Why it earns its place</w:t>
            </w:r>
          </w:p>
        </w:tc>
      </w:tr>
      <w:tr w:rsidR="00D02BE8" w14:paraId="4C7E31DE" w14:textId="77777777" w:rsidTr="00D02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1CD34FE" w14:textId="77777777" w:rsidR="00D02BE8" w:rsidRDefault="00000000">
            <w:r>
              <w:t>Jobs / Projects register</w:t>
            </w:r>
          </w:p>
        </w:tc>
        <w:tc>
          <w:tcPr>
            <w:tcW w:w="4986" w:type="dxa"/>
          </w:tcPr>
          <w:p w14:paraId="0876B158" w14:textId="77777777" w:rsidR="00D02BE8" w:rsidRDefault="00000000">
            <w:pPr>
              <w:cnfStyle w:val="000000100000" w:firstRow="0" w:lastRow="0" w:firstColumn="0" w:lastColumn="0" w:oddVBand="0" w:evenVBand="0" w:oddHBand="1" w:evenHBand="0" w:firstRowFirstColumn="0" w:firstRowLastColumn="0" w:lastRowFirstColumn="0" w:lastRowLastColumn="0"/>
            </w:pPr>
            <w:r>
              <w:t>Every piece of work as a record with stage, quoted value, actual cost, margin to date. The spine of a services business.</w:t>
            </w:r>
          </w:p>
        </w:tc>
      </w:tr>
      <w:tr w:rsidR="00D02BE8" w14:paraId="6F1D31AD" w14:textId="77777777" w:rsidTr="00D02B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04BF4A2" w14:textId="77777777" w:rsidR="00D02BE8" w:rsidRDefault="00000000">
            <w:r>
              <w:t>Timesheets tied to jobs</w:t>
            </w:r>
          </w:p>
        </w:tc>
        <w:tc>
          <w:tcPr>
            <w:tcW w:w="4986" w:type="dxa"/>
          </w:tcPr>
          <w:p w14:paraId="1CF49C4F" w14:textId="77777777" w:rsidR="00D02BE8" w:rsidRDefault="00000000">
            <w:pPr>
              <w:cnfStyle w:val="000000010000" w:firstRow="0" w:lastRow="0" w:firstColumn="0" w:lastColumn="0" w:oddVBand="0" w:evenVBand="0" w:oddHBand="0" w:evenHBand="1" w:firstRowFirstColumn="0" w:firstRowLastColumn="0" w:lastRowFirstColumn="0" w:lastRowLastColumn="0"/>
            </w:pPr>
            <w:r>
              <w:t>Engineers log hours against a job. Gives us labour cost per project and utilisation per engineer.</w:t>
            </w:r>
          </w:p>
        </w:tc>
      </w:tr>
      <w:tr w:rsidR="00D02BE8" w14:paraId="5146A650" w14:textId="77777777" w:rsidTr="00D02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E07B5C7" w14:textId="77777777" w:rsidR="00D02BE8" w:rsidRDefault="00000000">
            <w:r>
              <w:t>Materials &amp; purchase orders</w:t>
            </w:r>
          </w:p>
        </w:tc>
        <w:tc>
          <w:tcPr>
            <w:tcW w:w="4986" w:type="dxa"/>
          </w:tcPr>
          <w:p w14:paraId="18D57DC5" w14:textId="77777777" w:rsidR="00D02BE8" w:rsidRDefault="00000000">
            <w:pPr>
              <w:cnfStyle w:val="000000100000" w:firstRow="0" w:lastRow="0" w:firstColumn="0" w:lastColumn="0" w:oddVBand="0" w:evenVBand="0" w:oddHBand="1" w:evenHBand="0" w:firstRowFirstColumn="0" w:firstRowLastColumn="0" w:lastRowFirstColumn="0" w:lastRowLastColumn="0"/>
            </w:pPr>
            <w:r>
              <w:t>Supplier price book, PO numbers, goods received. Single biggest lever in Pillar 3 (centralised procurement).</w:t>
            </w:r>
          </w:p>
        </w:tc>
      </w:tr>
      <w:tr w:rsidR="00D02BE8" w14:paraId="6A35D95F" w14:textId="77777777" w:rsidTr="00D02B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E672A4C" w14:textId="77777777" w:rsidR="00D02BE8" w:rsidRDefault="00000000">
            <w:r>
              <w:t>Client &amp; site register</w:t>
            </w:r>
          </w:p>
        </w:tc>
        <w:tc>
          <w:tcPr>
            <w:tcW w:w="4986" w:type="dxa"/>
          </w:tcPr>
          <w:p w14:paraId="76CE7A46" w14:textId="77777777" w:rsidR="00D02BE8" w:rsidRDefault="00000000">
            <w:pPr>
              <w:cnfStyle w:val="000000010000" w:firstRow="0" w:lastRow="0" w:firstColumn="0" w:lastColumn="0" w:oddVBand="0" w:evenVBand="0" w:oddHBand="0" w:evenHBand="1" w:firstRowFirstColumn="0" w:firstRowLastColumn="0" w:lastRowFirstColumn="0" w:lastRowLastColumn="0"/>
            </w:pPr>
            <w:r>
              <w:t>Customers, contacts, sites, assets, contract value, renewal dates. Base layer for BD, CRM and client reporting.</w:t>
            </w:r>
          </w:p>
        </w:tc>
      </w:tr>
      <w:tr w:rsidR="00D02BE8" w14:paraId="48FDFE04" w14:textId="77777777" w:rsidTr="00D02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EE0FACA" w14:textId="77777777" w:rsidR="00D02BE8" w:rsidRDefault="00000000">
            <w:r>
              <w:t>Engineer scheduling grid</w:t>
            </w:r>
          </w:p>
        </w:tc>
        <w:tc>
          <w:tcPr>
            <w:tcW w:w="4986" w:type="dxa"/>
          </w:tcPr>
          <w:p w14:paraId="0801D2BB" w14:textId="77777777" w:rsidR="00D02BE8" w:rsidRDefault="00000000">
            <w:pPr>
              <w:cnfStyle w:val="000000100000" w:firstRow="0" w:lastRow="0" w:firstColumn="0" w:lastColumn="0" w:oddVBand="0" w:evenVBand="0" w:oddHBand="1" w:evenHBand="0" w:firstRowFirstColumn="0" w:firstRowLastColumn="0" w:lastRowFirstColumn="0" w:lastRowLastColumn="0"/>
            </w:pPr>
            <w:r>
              <w:t>Week view, callout dispatch, on-call rota. FESS runs 12-week PM cycles and 24/7 call-outs.</w:t>
            </w:r>
          </w:p>
        </w:tc>
      </w:tr>
      <w:tr w:rsidR="00D02BE8" w14:paraId="03E1C60E" w14:textId="77777777" w:rsidTr="00D02B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306AE21" w14:textId="77777777" w:rsidR="00D02BE8" w:rsidRDefault="00000000">
            <w:r>
              <w:t>Group MI / consolidation</w:t>
            </w:r>
          </w:p>
        </w:tc>
        <w:tc>
          <w:tcPr>
            <w:tcW w:w="4986" w:type="dxa"/>
          </w:tcPr>
          <w:p w14:paraId="4252F730" w14:textId="77777777" w:rsidR="00D02BE8" w:rsidRDefault="00000000">
            <w:pPr>
              <w:cnfStyle w:val="000000010000" w:firstRow="0" w:lastRow="0" w:firstColumn="0" w:lastColumn="0" w:oddVBand="0" w:evenVBand="0" w:oddHBand="0" w:evenHBand="1" w:firstRowFirstColumn="0" w:firstRowLastColumn="0" w:lastRowFirstColumn="0" w:lastRowLastColumn="0"/>
            </w:pPr>
            <w:r>
              <w:t>After an acquisition, a single view showing combined revenue, margin, WIP, debtor days, utilisation. Underpins board reporting.</w:t>
            </w:r>
          </w:p>
        </w:tc>
      </w:tr>
      <w:tr w:rsidR="00D02BE8" w14:paraId="031DA262" w14:textId="77777777" w:rsidTr="00D02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777C3DB" w14:textId="77777777" w:rsidR="00D02BE8" w:rsidRDefault="00000000">
            <w:r>
              <w:t>Client-site asset register</w:t>
            </w:r>
          </w:p>
        </w:tc>
        <w:tc>
          <w:tcPr>
            <w:tcW w:w="4986" w:type="dxa"/>
          </w:tcPr>
          <w:p w14:paraId="18A167F3" w14:textId="77777777" w:rsidR="00D02BE8" w:rsidRDefault="00000000">
            <w:pPr>
              <w:cnfStyle w:val="000000100000" w:firstRow="0" w:lastRow="0" w:firstColumn="0" w:lastColumn="0" w:oddVBand="0" w:evenVBand="0" w:oddHBand="1" w:evenHBand="0" w:firstRowFirstColumn="0" w:firstRowLastColumn="0" w:lastRowFirstColumn="0" w:lastRowLastColumn="0"/>
            </w:pPr>
            <w:r>
              <w:t>FESS sells PM against client equipment. Extending the equipment module to client assets with service history would be valuable.</w:t>
            </w:r>
          </w:p>
        </w:tc>
      </w:tr>
      <w:tr w:rsidR="00D02BE8" w14:paraId="239DEBB9" w14:textId="77777777" w:rsidTr="00D02B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2EB398F" w14:textId="77777777" w:rsidR="00D02BE8" w:rsidRDefault="00000000">
            <w:r>
              <w:t>Accounting integration</w:t>
            </w:r>
          </w:p>
        </w:tc>
        <w:tc>
          <w:tcPr>
            <w:tcW w:w="4986" w:type="dxa"/>
          </w:tcPr>
          <w:p w14:paraId="350BE005" w14:textId="77777777" w:rsidR="00D02BE8" w:rsidRDefault="00000000">
            <w:pPr>
              <w:cnfStyle w:val="000000010000" w:firstRow="0" w:lastRow="0" w:firstColumn="0" w:lastColumn="0" w:oddVBand="0" w:evenVBand="0" w:oddHBand="0" w:evenHBand="1" w:firstRowFirstColumn="0" w:firstRowLastColumn="0" w:lastRowFirstColumn="0" w:lastRowLastColumn="0"/>
            </w:pPr>
            <w:r>
              <w:t>Xero or Business Central (pick one). Without this, finance and operations live in different universes.</w:t>
            </w:r>
          </w:p>
        </w:tc>
      </w:tr>
      <w:tr w:rsidR="00D02BE8" w14:paraId="3354163E" w14:textId="77777777" w:rsidTr="00D02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C68CBC1" w14:textId="77777777" w:rsidR="00D02BE8" w:rsidRDefault="00000000">
            <w:r>
              <w:t>Supplier benchmarking</w:t>
            </w:r>
          </w:p>
        </w:tc>
        <w:tc>
          <w:tcPr>
            <w:tcW w:w="4986" w:type="dxa"/>
          </w:tcPr>
          <w:p w14:paraId="5B5DAA1E" w14:textId="77777777" w:rsidR="00D02BE8" w:rsidRDefault="00000000">
            <w:pPr>
              <w:cnfStyle w:val="000000100000" w:firstRow="0" w:lastRow="0" w:firstColumn="0" w:lastColumn="0" w:oddVBand="0" w:evenVBand="0" w:oddHBand="1" w:evenHBand="0" w:firstRowFirstColumn="0" w:firstRowLastColumn="0" w:lastRowFirstColumn="0" w:lastRowLastColumn="0"/>
            </w:pPr>
            <w:r>
              <w:t>Pricing history by supplier, variance, alternative quotes. Small module, real margin impact.</w:t>
            </w:r>
          </w:p>
        </w:tc>
      </w:tr>
      <w:tr w:rsidR="00D02BE8" w14:paraId="2B999D21" w14:textId="77777777" w:rsidTr="00D02B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BE61E18" w14:textId="77777777" w:rsidR="00D02BE8" w:rsidRDefault="00000000">
            <w:r>
              <w:t>Open API / export</w:t>
            </w:r>
          </w:p>
        </w:tc>
        <w:tc>
          <w:tcPr>
            <w:tcW w:w="4986" w:type="dxa"/>
          </w:tcPr>
          <w:p w14:paraId="061D42D5" w14:textId="77777777" w:rsidR="00D02BE8" w:rsidRDefault="00000000">
            <w:pPr>
              <w:cnfStyle w:val="000000010000" w:firstRow="0" w:lastRow="0" w:firstColumn="0" w:lastColumn="0" w:oddVBand="0" w:evenVBand="0" w:oddHBand="0" w:evenHBand="1" w:firstRowFirstColumn="0" w:firstRowLastColumn="0" w:lastRowFirstColumn="0" w:lastRowLastColumn="0"/>
            </w:pPr>
            <w:r>
              <w:t>REST API + CSV export per module. Makes acquisition onboarding much quicker and keeps us portable.</w:t>
            </w:r>
          </w:p>
        </w:tc>
      </w:tr>
    </w:tbl>
    <w:p w14:paraId="3F2DB3DC" w14:textId="77777777" w:rsidR="00D02BE8" w:rsidRDefault="00D02BE8"/>
    <w:p w14:paraId="5759D397" w14:textId="77777777" w:rsidR="00D02BE8" w:rsidRDefault="00000000">
      <w:r>
        <w:rPr>
          <w:i/>
          <w:color w:val="555555"/>
        </w:rPr>
        <w:t>A fair alternative to all of the above is to keep MySafeOps focused on its strongest ground (safety / compliance / registers) and pick best-of-breed tools for CRM, accounting, scheduling and MI. Either approach works – worth an explicit decision rather than drifting into both.</w:t>
      </w:r>
    </w:p>
    <w:p w14:paraId="2C172B70" w14:textId="77777777" w:rsidR="00D02BE8" w:rsidRDefault="00000000">
      <w:r>
        <w:br w:type="page"/>
      </w:r>
    </w:p>
    <w:p w14:paraId="0FEA2A87" w14:textId="77777777" w:rsidR="00D02BE8" w:rsidRDefault="00000000">
      <w:pPr>
        <w:pStyle w:val="Heading1"/>
      </w:pPr>
      <w:r>
        <w:lastRenderedPageBreak/>
        <w:t>5. Architecture &amp; Housekeeping</w:t>
      </w:r>
    </w:p>
    <w:p w14:paraId="256E316B" w14:textId="77777777" w:rsidR="00D02BE8" w:rsidRDefault="00000000">
      <w:r>
        <w:t>A few small things noticed while walking through the public site and login screen. These are quick fixes individually but matter for the jump from beta to a tool we rely on in anger. All worth a friendly chat with the developer.</w:t>
      </w:r>
    </w:p>
    <w:tbl>
      <w:tblPr>
        <w:tblStyle w:val="LightGrid-Accent1"/>
        <w:tblW w:w="0" w:type="auto"/>
        <w:tblLook w:val="04A0" w:firstRow="1" w:lastRow="0" w:firstColumn="1" w:lastColumn="0" w:noHBand="0" w:noVBand="1"/>
      </w:tblPr>
      <w:tblGrid>
        <w:gridCol w:w="3324"/>
        <w:gridCol w:w="3324"/>
        <w:gridCol w:w="3324"/>
      </w:tblGrid>
      <w:tr w:rsidR="00D02BE8" w14:paraId="1F7986B6" w14:textId="77777777" w:rsidTr="00D02B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1E7A6F"/>
          </w:tcPr>
          <w:p w14:paraId="0F6AAE71" w14:textId="77777777" w:rsidR="00D02BE8" w:rsidRDefault="00000000">
            <w:r>
              <w:rPr>
                <w:color w:val="FFFFFF"/>
              </w:rPr>
              <w:t>Observation</w:t>
            </w:r>
          </w:p>
        </w:tc>
        <w:tc>
          <w:tcPr>
            <w:tcW w:w="3324" w:type="dxa"/>
            <w:shd w:val="clear" w:color="auto" w:fill="1E7A6F"/>
          </w:tcPr>
          <w:p w14:paraId="0AB2CCFE" w14:textId="77777777" w:rsidR="00D02BE8" w:rsidRDefault="00000000">
            <w:pPr>
              <w:cnfStyle w:val="100000000000" w:firstRow="1" w:lastRow="0" w:firstColumn="0" w:lastColumn="0" w:oddVBand="0" w:evenVBand="0" w:oddHBand="0" w:evenHBand="0" w:firstRowFirstColumn="0" w:firstRowLastColumn="0" w:lastRowFirstColumn="0" w:lastRowLastColumn="0"/>
            </w:pPr>
            <w:r>
              <w:rPr>
                <w:color w:val="FFFFFF"/>
              </w:rPr>
              <w:t>Suggestion</w:t>
            </w:r>
          </w:p>
        </w:tc>
        <w:tc>
          <w:tcPr>
            <w:tcW w:w="3324" w:type="dxa"/>
            <w:shd w:val="clear" w:color="auto" w:fill="1E7A6F"/>
          </w:tcPr>
          <w:p w14:paraId="086ED8A2" w14:textId="77777777" w:rsidR="00D02BE8" w:rsidRDefault="00000000">
            <w:pPr>
              <w:cnfStyle w:val="100000000000" w:firstRow="1" w:lastRow="0" w:firstColumn="0" w:lastColumn="0" w:oddVBand="0" w:evenVBand="0" w:oddHBand="0" w:evenHBand="0" w:firstRowFirstColumn="0" w:firstRowLastColumn="0" w:lastRowFirstColumn="0" w:lastRowLastColumn="0"/>
            </w:pPr>
            <w:r>
              <w:rPr>
                <w:color w:val="FFFFFF"/>
              </w:rPr>
              <w:t>Category</w:t>
            </w:r>
          </w:p>
        </w:tc>
      </w:tr>
      <w:tr w:rsidR="00D02BE8" w14:paraId="0EDF45A5" w14:textId="77777777" w:rsidTr="00D02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431AF04" w14:textId="77777777" w:rsidR="00D02BE8" w:rsidRDefault="00000000">
            <w:r>
              <w:t>Login page copy</w:t>
            </w:r>
          </w:p>
        </w:tc>
        <w:tc>
          <w:tcPr>
            <w:tcW w:w="3324" w:type="dxa"/>
          </w:tcPr>
          <w:p w14:paraId="5113D716" w14:textId="77777777" w:rsidR="00D02BE8" w:rsidRDefault="00000000">
            <w:pPr>
              <w:cnfStyle w:val="000000100000" w:firstRow="0" w:lastRow="0" w:firstColumn="0" w:lastColumn="0" w:oddVBand="0" w:evenVBand="0" w:oddHBand="1" w:evenHBand="0" w:firstRowFirstColumn="0" w:firstRowLastColumn="0" w:lastRowFirstColumn="0" w:lastRowLastColumn="0"/>
            </w:pPr>
            <w:r>
              <w:t>The login screen still carries some developer-setup notes (around Supabase, redirect URLs, /reset-password). Easy tidy-up for user-facing copy.</w:t>
            </w:r>
          </w:p>
        </w:tc>
        <w:tc>
          <w:tcPr>
            <w:tcW w:w="3324" w:type="dxa"/>
          </w:tcPr>
          <w:p w14:paraId="012F4E66" w14:textId="77777777" w:rsidR="00D02BE8" w:rsidRDefault="00000000">
            <w:pPr>
              <w:cnfStyle w:val="000000100000" w:firstRow="0" w:lastRow="0" w:firstColumn="0" w:lastColumn="0" w:oddVBand="0" w:evenVBand="0" w:oddHBand="1" w:evenHBand="0" w:firstRowFirstColumn="0" w:firstRowLastColumn="0" w:lastRowFirstColumn="0" w:lastRowLastColumn="0"/>
            </w:pPr>
            <w:r>
              <w:rPr>
                <w:i/>
                <w:color w:val="555555"/>
              </w:rPr>
              <w:t>Quick fix</w:t>
            </w:r>
          </w:p>
        </w:tc>
      </w:tr>
      <w:tr w:rsidR="00D02BE8" w14:paraId="1F03327B" w14:textId="77777777" w:rsidTr="00D02B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67F9353" w14:textId="77777777" w:rsidR="00D02BE8" w:rsidRDefault="00000000">
            <w:r>
              <w:t>Support email</w:t>
            </w:r>
          </w:p>
        </w:tc>
        <w:tc>
          <w:tcPr>
            <w:tcW w:w="3324" w:type="dxa"/>
          </w:tcPr>
          <w:p w14:paraId="0743A7F7" w14:textId="77777777" w:rsidR="00D02BE8" w:rsidRDefault="00000000">
            <w:pPr>
              <w:cnfStyle w:val="000000010000" w:firstRow="0" w:lastRow="0" w:firstColumn="0" w:lastColumn="0" w:oddVBand="0" w:evenVBand="0" w:oddHBand="0" w:evenHBand="1" w:firstRowFirstColumn="0" w:firstRowLastColumn="0" w:lastRowFirstColumn="0" w:lastRowLastColumn="0"/>
            </w:pPr>
            <w:r>
              <w:t>Currently mysafeops@gmail.com. Moving to a FESS-owned domain inbox (e.g. via Google Workspace / MS365) would be a small confidence lift.</w:t>
            </w:r>
          </w:p>
        </w:tc>
        <w:tc>
          <w:tcPr>
            <w:tcW w:w="3324" w:type="dxa"/>
          </w:tcPr>
          <w:p w14:paraId="498F7187" w14:textId="77777777" w:rsidR="00D02BE8" w:rsidRDefault="00000000">
            <w:pPr>
              <w:cnfStyle w:val="000000010000" w:firstRow="0" w:lastRow="0" w:firstColumn="0" w:lastColumn="0" w:oddVBand="0" w:evenVBand="0" w:oddHBand="0" w:evenHBand="1" w:firstRowFirstColumn="0" w:firstRowLastColumn="0" w:lastRowFirstColumn="0" w:lastRowLastColumn="0"/>
            </w:pPr>
            <w:r>
              <w:rPr>
                <w:i/>
                <w:color w:val="555555"/>
              </w:rPr>
              <w:t>Easy win</w:t>
            </w:r>
          </w:p>
        </w:tc>
      </w:tr>
      <w:tr w:rsidR="00D02BE8" w14:paraId="0F95668B" w14:textId="77777777" w:rsidTr="00D02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8B4602A" w14:textId="77777777" w:rsidR="00D02BE8" w:rsidRDefault="00000000">
            <w:r>
              <w:t>Privacy Policy / T&amp;Cs / Cookie Policy</w:t>
            </w:r>
          </w:p>
        </w:tc>
        <w:tc>
          <w:tcPr>
            <w:tcW w:w="3324" w:type="dxa"/>
          </w:tcPr>
          <w:p w14:paraId="1ADA100A" w14:textId="77777777" w:rsidR="00D02BE8" w:rsidRDefault="00000000">
            <w:pPr>
              <w:cnfStyle w:val="000000100000" w:firstRow="0" w:lastRow="0" w:firstColumn="0" w:lastColumn="0" w:oddVBand="0" w:evenVBand="0" w:oddHBand="1" w:evenHBand="0" w:firstRowFirstColumn="0" w:firstRowLastColumn="0" w:lastRowFirstColumn="0" w:lastRowLastColumn="0"/>
            </w:pPr>
            <w:r>
              <w:t>Currently "coming soon". Because the app collects sign-ins and organisation data, getting these published is a UK GDPR obligation regardless of whether we ever sell it. A SaaS solicitor can produce all three in a couple of days for £1–2k.</w:t>
            </w:r>
          </w:p>
        </w:tc>
        <w:tc>
          <w:tcPr>
            <w:tcW w:w="3324" w:type="dxa"/>
          </w:tcPr>
          <w:p w14:paraId="3AA60EDF" w14:textId="77777777" w:rsidR="00D02BE8" w:rsidRDefault="00000000">
            <w:pPr>
              <w:cnfStyle w:val="000000100000" w:firstRow="0" w:lastRow="0" w:firstColumn="0" w:lastColumn="0" w:oddVBand="0" w:evenVBand="0" w:oddHBand="1" w:evenHBand="0" w:firstRowFirstColumn="0" w:firstRowLastColumn="0" w:lastRowFirstColumn="0" w:lastRowLastColumn="0"/>
            </w:pPr>
            <w:r>
              <w:rPr>
                <w:i/>
                <w:color w:val="555555"/>
              </w:rPr>
              <w:t>Priority</w:t>
            </w:r>
          </w:p>
        </w:tc>
      </w:tr>
      <w:tr w:rsidR="00D02BE8" w14:paraId="33174E1C" w14:textId="77777777" w:rsidTr="00D02B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18B9AB1" w14:textId="77777777" w:rsidR="00D02BE8" w:rsidRDefault="00000000">
            <w:r>
              <w:t>Data storage model</w:t>
            </w:r>
          </w:p>
        </w:tc>
        <w:tc>
          <w:tcPr>
            <w:tcW w:w="3324" w:type="dxa"/>
          </w:tcPr>
          <w:p w14:paraId="13BA5AFC" w14:textId="77777777" w:rsidR="00D02BE8" w:rsidRDefault="00000000">
            <w:pPr>
              <w:cnfStyle w:val="000000010000" w:firstRow="0" w:lastRow="0" w:firstColumn="0" w:lastColumn="0" w:oddVBand="0" w:evenVBand="0" w:oddHBand="0" w:evenHBand="1" w:firstRowFirstColumn="0" w:firstRowLastColumn="0" w:lastRowFirstColumn="0" w:lastRowLastColumn="0"/>
            </w:pPr>
            <w:r>
              <w:t>Organisation data currently lives in the browser with a manual cloud backup. Works for a single evaluator, but once two FESS users edit the same permit on the same job we will hit sync issues. Worth discussing a move to server-of-record (Supabase as source of truth, browser as cache).</w:t>
            </w:r>
          </w:p>
        </w:tc>
        <w:tc>
          <w:tcPr>
            <w:tcW w:w="3324" w:type="dxa"/>
          </w:tcPr>
          <w:p w14:paraId="6F413190" w14:textId="77777777" w:rsidR="00D02BE8" w:rsidRDefault="00000000">
            <w:pPr>
              <w:cnfStyle w:val="000000010000" w:firstRow="0" w:lastRow="0" w:firstColumn="0" w:lastColumn="0" w:oddVBand="0" w:evenVBand="0" w:oddHBand="0" w:evenHBand="1" w:firstRowFirstColumn="0" w:firstRowLastColumn="0" w:lastRowFirstColumn="0" w:lastRowLastColumn="0"/>
            </w:pPr>
            <w:r>
              <w:rPr>
                <w:i/>
                <w:color w:val="555555"/>
              </w:rPr>
              <w:t>Important</w:t>
            </w:r>
          </w:p>
        </w:tc>
      </w:tr>
      <w:tr w:rsidR="00D02BE8" w14:paraId="5C6D22F8" w14:textId="77777777" w:rsidTr="00D02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01C581F" w14:textId="77777777" w:rsidR="00D02BE8" w:rsidRDefault="00000000">
            <w:r>
              <w:t>User roles</w:t>
            </w:r>
          </w:p>
        </w:tc>
        <w:tc>
          <w:tcPr>
            <w:tcW w:w="3324" w:type="dxa"/>
          </w:tcPr>
          <w:p w14:paraId="7A6D6FD4" w14:textId="77777777" w:rsidR="00D02BE8" w:rsidRDefault="00000000">
            <w:pPr>
              <w:cnfStyle w:val="000000100000" w:firstRow="0" w:lastRow="0" w:firstColumn="0" w:lastColumn="0" w:oddVBand="0" w:evenVBand="0" w:oddHBand="1" w:evenHBand="0" w:firstRowFirstColumn="0" w:firstRowLastColumn="0" w:lastRowFirstColumn="0" w:lastRowLastColumn="0"/>
            </w:pPr>
            <w:r>
              <w:t>Three roles is a good start. As we bring in acquired businesses and potentially client contacts, we'll probably want Group Admin, Subsidiary Admin, Client Read-Only, and named approvers for high-risk permits.</w:t>
            </w:r>
          </w:p>
        </w:tc>
        <w:tc>
          <w:tcPr>
            <w:tcW w:w="3324" w:type="dxa"/>
          </w:tcPr>
          <w:p w14:paraId="53681EA9" w14:textId="77777777" w:rsidR="00D02BE8" w:rsidRDefault="00000000">
            <w:pPr>
              <w:cnfStyle w:val="000000100000" w:firstRow="0" w:lastRow="0" w:firstColumn="0" w:lastColumn="0" w:oddVBand="0" w:evenVBand="0" w:oddHBand="1" w:evenHBand="0" w:firstRowFirstColumn="0" w:firstRowLastColumn="0" w:lastRowFirstColumn="0" w:lastRowLastColumn="0"/>
            </w:pPr>
            <w:r>
              <w:rPr>
                <w:i/>
                <w:color w:val="555555"/>
              </w:rPr>
              <w:t>Future scope</w:t>
            </w:r>
          </w:p>
        </w:tc>
      </w:tr>
      <w:tr w:rsidR="00D02BE8" w14:paraId="0D8ED22D" w14:textId="77777777" w:rsidTr="00D02B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1E35B4F" w14:textId="77777777" w:rsidR="00D02BE8" w:rsidRDefault="00000000">
            <w:r>
              <w:t>Audit log</w:t>
            </w:r>
          </w:p>
        </w:tc>
        <w:tc>
          <w:tcPr>
            <w:tcW w:w="3324" w:type="dxa"/>
          </w:tcPr>
          <w:p w14:paraId="6A32D005" w14:textId="77777777" w:rsidR="00D02BE8" w:rsidRDefault="00000000">
            <w:pPr>
              <w:cnfStyle w:val="000000010000" w:firstRow="0" w:lastRow="0" w:firstColumn="0" w:lastColumn="0" w:oddVBand="0" w:evenVBand="0" w:oddHBand="0" w:evenHBand="1" w:firstRowFirstColumn="0" w:firstRowLastColumn="0" w:lastRowFirstColumn="0" w:lastRowLastColumn="0"/>
            </w:pPr>
            <w:r>
              <w:t>For any BRC, CDM or HSE-style audit, a tamper-evident "who did what, when" trail is gold. Worth confirming what exists under the hood.</w:t>
            </w:r>
          </w:p>
        </w:tc>
        <w:tc>
          <w:tcPr>
            <w:tcW w:w="3324" w:type="dxa"/>
          </w:tcPr>
          <w:p w14:paraId="3A63465B" w14:textId="77777777" w:rsidR="00D02BE8" w:rsidRDefault="00000000">
            <w:pPr>
              <w:cnfStyle w:val="000000010000" w:firstRow="0" w:lastRow="0" w:firstColumn="0" w:lastColumn="0" w:oddVBand="0" w:evenVBand="0" w:oddHBand="0" w:evenHBand="1" w:firstRowFirstColumn="0" w:firstRowLastColumn="0" w:lastRowFirstColumn="0" w:lastRowLastColumn="0"/>
            </w:pPr>
            <w:r>
              <w:rPr>
                <w:i/>
                <w:color w:val="555555"/>
              </w:rPr>
              <w:t>Worth adding</w:t>
            </w:r>
          </w:p>
        </w:tc>
      </w:tr>
      <w:tr w:rsidR="00D02BE8" w14:paraId="06EEFEB5" w14:textId="77777777" w:rsidTr="00D02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B21B5E8" w14:textId="77777777" w:rsidR="00D02BE8" w:rsidRDefault="00000000">
            <w:r>
              <w:t>Integrations</w:t>
            </w:r>
          </w:p>
        </w:tc>
        <w:tc>
          <w:tcPr>
            <w:tcW w:w="3324" w:type="dxa"/>
          </w:tcPr>
          <w:p w14:paraId="174C498B" w14:textId="77777777" w:rsidR="00D02BE8" w:rsidRDefault="00000000">
            <w:pPr>
              <w:cnfStyle w:val="000000100000" w:firstRow="0" w:lastRow="0" w:firstColumn="0" w:lastColumn="0" w:oddVBand="0" w:evenVBand="0" w:oddHBand="1" w:evenHBand="0" w:firstRowFirstColumn="0" w:firstRowLastColumn="0" w:lastRowFirstColumn="0" w:lastRowLastColumn="0"/>
            </w:pPr>
            <w:r>
              <w:t xml:space="preserve">No Xero/QuickBooks/Sage, Outlook/Teams, Zapier or public API yet. When we integrate </w:t>
            </w:r>
            <w:r>
              <w:lastRenderedPageBreak/>
              <w:t>acquired businesses, these become the difference between a 2-hour and a 2-week onboarding.</w:t>
            </w:r>
          </w:p>
        </w:tc>
        <w:tc>
          <w:tcPr>
            <w:tcW w:w="3324" w:type="dxa"/>
          </w:tcPr>
          <w:p w14:paraId="64AE1F2D" w14:textId="77777777" w:rsidR="00D02BE8" w:rsidRDefault="00000000">
            <w:pPr>
              <w:cnfStyle w:val="000000100000" w:firstRow="0" w:lastRow="0" w:firstColumn="0" w:lastColumn="0" w:oddVBand="0" w:evenVBand="0" w:oddHBand="1" w:evenHBand="0" w:firstRowFirstColumn="0" w:firstRowLastColumn="0" w:lastRowFirstColumn="0" w:lastRowLastColumn="0"/>
            </w:pPr>
            <w:r>
              <w:rPr>
                <w:i/>
                <w:color w:val="555555"/>
              </w:rPr>
              <w:lastRenderedPageBreak/>
              <w:t>Medium-term</w:t>
            </w:r>
          </w:p>
        </w:tc>
      </w:tr>
      <w:tr w:rsidR="00D02BE8" w14:paraId="275455CB" w14:textId="77777777" w:rsidTr="00D02B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9AE14D0" w14:textId="77777777" w:rsidR="00D02BE8" w:rsidRDefault="00000000">
            <w:r>
              <w:t>Security posture</w:t>
            </w:r>
          </w:p>
        </w:tc>
        <w:tc>
          <w:tcPr>
            <w:tcW w:w="3324" w:type="dxa"/>
          </w:tcPr>
          <w:p w14:paraId="466125BC" w14:textId="77777777" w:rsidR="00D02BE8" w:rsidRDefault="00000000">
            <w:pPr>
              <w:cnfStyle w:val="000000010000" w:firstRow="0" w:lastRow="0" w:firstColumn="0" w:lastColumn="0" w:oddVBand="0" w:evenVBand="0" w:oddHBand="0" w:evenHBand="1" w:firstRowFirstColumn="0" w:firstRowLastColumn="0" w:lastRowFirstColumn="0" w:lastRowLastColumn="0"/>
            </w:pPr>
            <w:r>
              <w:t>Cyber Essentials is ~£400 and 4–6 weeks. Worth having regardless – ticks a lot of client procurement boxes if our engineers are logged into the app on their sites.</w:t>
            </w:r>
          </w:p>
        </w:tc>
        <w:tc>
          <w:tcPr>
            <w:tcW w:w="3324" w:type="dxa"/>
          </w:tcPr>
          <w:p w14:paraId="17F183A7" w14:textId="77777777" w:rsidR="00D02BE8" w:rsidRDefault="00000000">
            <w:pPr>
              <w:cnfStyle w:val="000000010000" w:firstRow="0" w:lastRow="0" w:firstColumn="0" w:lastColumn="0" w:oddVBand="0" w:evenVBand="0" w:oddHBand="0" w:evenHBand="1" w:firstRowFirstColumn="0" w:firstRowLastColumn="0" w:lastRowFirstColumn="0" w:lastRowLastColumn="0"/>
            </w:pPr>
            <w:r>
              <w:rPr>
                <w:i/>
                <w:color w:val="555555"/>
              </w:rPr>
              <w:t>Quick credibility win</w:t>
            </w:r>
          </w:p>
        </w:tc>
      </w:tr>
      <w:tr w:rsidR="00D02BE8" w14:paraId="72E499C8" w14:textId="77777777" w:rsidTr="00D02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96C0218" w14:textId="77777777" w:rsidR="00D02BE8" w:rsidRDefault="00000000">
            <w:r>
              <w:t>Ownership of keys</w:t>
            </w:r>
          </w:p>
        </w:tc>
        <w:tc>
          <w:tcPr>
            <w:tcW w:w="3324" w:type="dxa"/>
          </w:tcPr>
          <w:p w14:paraId="6F993925" w14:textId="77777777" w:rsidR="00D02BE8" w:rsidRDefault="00000000">
            <w:pPr>
              <w:cnfStyle w:val="000000100000" w:firstRow="0" w:lastRow="0" w:firstColumn="0" w:lastColumn="0" w:oddVBand="0" w:evenVBand="0" w:oddHBand="1" w:evenHBand="0" w:firstRowFirstColumn="0" w:firstRowLastColumn="0" w:lastRowFirstColumn="0" w:lastRowLastColumn="0"/>
            </w:pPr>
            <w:r>
              <w:t>Standard good housekeeping as we scale: domain, repo, Supabase project and Stripe account all sitting in a FESS-owned Google Workspace / MS365 org. Protects us against any single-point-of-failure.</w:t>
            </w:r>
          </w:p>
        </w:tc>
        <w:tc>
          <w:tcPr>
            <w:tcW w:w="3324" w:type="dxa"/>
          </w:tcPr>
          <w:p w14:paraId="643225E4" w14:textId="77777777" w:rsidR="00D02BE8" w:rsidRDefault="00000000">
            <w:pPr>
              <w:cnfStyle w:val="000000100000" w:firstRow="0" w:lastRow="0" w:firstColumn="0" w:lastColumn="0" w:oddVBand="0" w:evenVBand="0" w:oddHBand="1" w:evenHBand="0" w:firstRowFirstColumn="0" w:firstRowLastColumn="0" w:lastRowFirstColumn="0" w:lastRowLastColumn="0"/>
            </w:pPr>
            <w:r>
              <w:rPr>
                <w:i/>
                <w:color w:val="555555"/>
              </w:rPr>
              <w:t>Housekeeping</w:t>
            </w:r>
          </w:p>
        </w:tc>
      </w:tr>
    </w:tbl>
    <w:p w14:paraId="46EC7475" w14:textId="77777777" w:rsidR="00D02BE8" w:rsidRDefault="00000000">
      <w:r>
        <w:br w:type="page"/>
      </w:r>
    </w:p>
    <w:p w14:paraId="783C8E6F" w14:textId="77777777" w:rsidR="00D02BE8" w:rsidRDefault="00000000">
      <w:pPr>
        <w:pStyle w:val="Heading1"/>
      </w:pPr>
      <w:r>
        <w:lastRenderedPageBreak/>
        <w:t>6. The Decision In Front of Us</w:t>
      </w:r>
    </w:p>
    <w:p w14:paraId="463121AC" w14:textId="77777777" w:rsidR="00D02BE8" w:rsidRDefault="00000000">
      <w:r>
        <w:t>Based on the above, there are really three routes FESS can take with MySafeOps. Worth an explicit decision rather than drifting.</w:t>
      </w:r>
    </w:p>
    <w:tbl>
      <w:tblPr>
        <w:tblStyle w:val="LightGrid-Accent1"/>
        <w:tblW w:w="0" w:type="auto"/>
        <w:tblLook w:val="04A0" w:firstRow="1" w:lastRow="0" w:firstColumn="1" w:lastColumn="0" w:noHBand="0" w:noVBand="1"/>
      </w:tblPr>
      <w:tblGrid>
        <w:gridCol w:w="4986"/>
        <w:gridCol w:w="4986"/>
      </w:tblGrid>
      <w:tr w:rsidR="00D02BE8" w14:paraId="26A64065" w14:textId="77777777" w:rsidTr="00D02B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shd w:val="clear" w:color="auto" w:fill="1E7A6F"/>
          </w:tcPr>
          <w:p w14:paraId="65E5AC28" w14:textId="77777777" w:rsidR="00D02BE8" w:rsidRDefault="00000000">
            <w:r>
              <w:rPr>
                <w:color w:val="FFFFFF"/>
              </w:rPr>
              <w:t>Route</w:t>
            </w:r>
          </w:p>
        </w:tc>
        <w:tc>
          <w:tcPr>
            <w:tcW w:w="4986" w:type="dxa"/>
            <w:shd w:val="clear" w:color="auto" w:fill="1E7A6F"/>
          </w:tcPr>
          <w:p w14:paraId="370A7138" w14:textId="77777777" w:rsidR="00D02BE8" w:rsidRDefault="00000000">
            <w:pPr>
              <w:cnfStyle w:val="100000000000" w:firstRow="1" w:lastRow="0" w:firstColumn="0" w:lastColumn="0" w:oddVBand="0" w:evenVBand="0" w:oddHBand="0" w:evenHBand="0" w:firstRowFirstColumn="0" w:firstRowLastColumn="0" w:lastRowFirstColumn="0" w:lastRowLastColumn="0"/>
            </w:pPr>
            <w:r>
              <w:rPr>
                <w:color w:val="FFFFFF"/>
              </w:rPr>
              <w:t>When it's the right call</w:t>
            </w:r>
          </w:p>
        </w:tc>
      </w:tr>
      <w:tr w:rsidR="00D02BE8" w14:paraId="413E73EF" w14:textId="77777777" w:rsidTr="00D02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3012E5E" w14:textId="77777777" w:rsidR="00D02BE8" w:rsidRDefault="00000000">
            <w:r>
              <w:t>A.  Use it as our safety / compliance tool only</w:t>
            </w:r>
          </w:p>
        </w:tc>
        <w:tc>
          <w:tcPr>
            <w:tcW w:w="4986" w:type="dxa"/>
          </w:tcPr>
          <w:p w14:paraId="6F5CB785" w14:textId="77777777" w:rsidR="00D02BE8" w:rsidRDefault="00000000">
            <w:pPr>
              <w:cnfStyle w:val="000000100000" w:firstRow="0" w:lastRow="0" w:firstColumn="0" w:lastColumn="0" w:oddVBand="0" w:evenVBand="0" w:oddHBand="1" w:evenHBand="0" w:firstRowFirstColumn="0" w:firstRowLastColumn="0" w:lastRowFirstColumn="0" w:lastRowLastColumn="0"/>
            </w:pPr>
            <w:r>
              <w:t>Keep it in its current lane. Deploy as the site-safety platform for FESS engineers. Handle CRM, jobs, scheduling, accounting and MI in other best-of-breed tools. Lowest cost, fastest to adopt, but means the app is one of many – not the operating system.</w:t>
            </w:r>
          </w:p>
          <w:p w14:paraId="52F94E52" w14:textId="77777777" w:rsidR="00D02BE8" w:rsidRDefault="00000000">
            <w:pPr>
              <w:cnfStyle w:val="000000100000" w:firstRow="0" w:lastRow="0" w:firstColumn="0" w:lastColumn="0" w:oddVBand="0" w:evenVBand="0" w:oddHBand="1" w:evenHBand="0" w:firstRowFirstColumn="0" w:firstRowLastColumn="0" w:lastRowFirstColumn="0" w:lastRowLastColumn="0"/>
            </w:pPr>
            <w:r>
              <w:rPr>
                <w:b/>
              </w:rPr>
              <w:t xml:space="preserve">When it's the right call:  </w:t>
            </w:r>
            <w:r>
              <w:t>Likely the right answer if we want to be using something in the next 30 days with minimum fuss.</w:t>
            </w:r>
          </w:p>
        </w:tc>
      </w:tr>
      <w:tr w:rsidR="00D02BE8" w14:paraId="2C257219" w14:textId="77777777" w:rsidTr="00D02B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3F270FE" w14:textId="77777777" w:rsidR="00D02BE8" w:rsidRDefault="00000000">
            <w:r>
              <w:t>B.  Widen the scope and make it the FESS operating system</w:t>
            </w:r>
          </w:p>
        </w:tc>
        <w:tc>
          <w:tcPr>
            <w:tcW w:w="4986" w:type="dxa"/>
          </w:tcPr>
          <w:p w14:paraId="56E57998" w14:textId="77777777" w:rsidR="00D02BE8" w:rsidRDefault="00000000">
            <w:pPr>
              <w:cnfStyle w:val="000000010000" w:firstRow="0" w:lastRow="0" w:firstColumn="0" w:lastColumn="0" w:oddVBand="0" w:evenVBand="0" w:oddHBand="0" w:evenHBand="1" w:firstRowFirstColumn="0" w:firstRowLastColumn="0" w:lastRowFirstColumn="0" w:lastRowLastColumn="0"/>
            </w:pPr>
            <w:r>
              <w:t>Commission additional modules (Section 4) so MySafeOps becomes the single platform for jobs, timesheets, POs, clients, scheduling, MI – with safety built in. Higher cost, longer timeline, higher long-term leverage, and much better support for group-level MI post-acquisition.</w:t>
            </w:r>
          </w:p>
          <w:p w14:paraId="3C769456" w14:textId="77777777" w:rsidR="00D02BE8" w:rsidRDefault="00000000">
            <w:pPr>
              <w:cnfStyle w:val="000000010000" w:firstRow="0" w:lastRow="0" w:firstColumn="0" w:lastColumn="0" w:oddVBand="0" w:evenVBand="0" w:oddHBand="0" w:evenHBand="1" w:firstRowFirstColumn="0" w:firstRowLastColumn="0" w:lastRowFirstColumn="0" w:lastRowLastColumn="0"/>
            </w:pPr>
            <w:r>
              <w:rPr>
                <w:b/>
              </w:rPr>
              <w:t xml:space="preserve">When it's the right call:  </w:t>
            </w:r>
            <w:r>
              <w:t>The right answer if we want one system to run FESS on and are willing to invest in widening the scope.</w:t>
            </w:r>
          </w:p>
        </w:tc>
      </w:tr>
      <w:tr w:rsidR="00D02BE8" w14:paraId="3959E20B" w14:textId="77777777" w:rsidTr="00D02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396EE2B" w14:textId="77777777" w:rsidR="00D02BE8" w:rsidRDefault="00000000">
            <w:r>
              <w:t>C.  Park it</w:t>
            </w:r>
          </w:p>
        </w:tc>
        <w:tc>
          <w:tcPr>
            <w:tcW w:w="4986" w:type="dxa"/>
          </w:tcPr>
          <w:p w14:paraId="403BAD3B" w14:textId="77777777" w:rsidR="00D02BE8" w:rsidRDefault="00000000">
            <w:pPr>
              <w:cnfStyle w:val="000000100000" w:firstRow="0" w:lastRow="0" w:firstColumn="0" w:lastColumn="0" w:oddVBand="0" w:evenVBand="0" w:oddHBand="1" w:evenHBand="0" w:firstRowFirstColumn="0" w:firstRowLastColumn="0" w:lastRowFirstColumn="0" w:lastRowLastColumn="0"/>
            </w:pPr>
            <w:r>
              <w:t>Conclude the gap between where it is and where we need it is too wide, and adopt a proven mid-market platform (e.g. Joblogic, BigChange, Workbuzz, or similar vertical field-service tools) instead.</w:t>
            </w:r>
          </w:p>
          <w:p w14:paraId="4C718075" w14:textId="77777777" w:rsidR="00D02BE8" w:rsidRDefault="00000000">
            <w:pPr>
              <w:cnfStyle w:val="000000100000" w:firstRow="0" w:lastRow="0" w:firstColumn="0" w:lastColumn="0" w:oddVBand="0" w:evenVBand="0" w:oddHBand="1" w:evenHBand="0" w:firstRowFirstColumn="0" w:firstRowLastColumn="0" w:lastRowFirstColumn="0" w:lastRowLastColumn="0"/>
            </w:pPr>
            <w:r>
              <w:rPr>
                <w:b/>
              </w:rPr>
              <w:t xml:space="preserve">When it's the right call:  </w:t>
            </w:r>
            <w:r>
              <w:t>Worth keeping on the table as a genuine option rather than defaulting to A or B.</w:t>
            </w:r>
          </w:p>
        </w:tc>
      </w:tr>
    </w:tbl>
    <w:p w14:paraId="48419C28" w14:textId="77777777" w:rsidR="00D02BE8" w:rsidRDefault="00D02BE8"/>
    <w:p w14:paraId="18109468" w14:textId="77777777" w:rsidR="00D02BE8" w:rsidRDefault="00000000">
      <w:r>
        <w:t>My personal lean: Route A for the next 90 days (get the value of what we already have), with a clear decision window at the end of that period on whether we invest in Route B. That gets us real value immediately and avoids committing to a scope widening before we've lived with the product.</w:t>
      </w:r>
    </w:p>
    <w:p w14:paraId="4F1A2682" w14:textId="77777777" w:rsidR="00D02BE8" w:rsidRDefault="00000000">
      <w:r>
        <w:br w:type="page"/>
      </w:r>
    </w:p>
    <w:p w14:paraId="39442311" w14:textId="77777777" w:rsidR="00D02BE8" w:rsidRDefault="00000000">
      <w:pPr>
        <w:pStyle w:val="Heading1"/>
      </w:pPr>
      <w:r>
        <w:lastRenderedPageBreak/>
        <w:t>7. Suggested Next Steps</w:t>
      </w:r>
    </w:p>
    <w:p w14:paraId="060214DA" w14:textId="77777777" w:rsidR="00D02BE8" w:rsidRDefault="00000000">
      <w:r>
        <w:t>Assuming we go with Route A initially, a sensible order of attack:</w:t>
      </w:r>
    </w:p>
    <w:p w14:paraId="18E6A239" w14:textId="77777777" w:rsidR="00D02BE8" w:rsidRDefault="00000000">
      <w:pPr>
        <w:pStyle w:val="Heading2"/>
      </w:pPr>
      <w:r>
        <w:t>Next 30 days – tidy the foundations and adopt</w:t>
      </w:r>
    </w:p>
    <w:p w14:paraId="62EA32EE" w14:textId="77777777" w:rsidR="00D02BE8" w:rsidRDefault="00000000">
      <w:pPr>
        <w:pStyle w:val="ListNumber"/>
      </w:pPr>
      <w:r>
        <w:t>Clear the small housekeeping items on the login page and support email.</w:t>
      </w:r>
    </w:p>
    <w:p w14:paraId="4DB0C694" w14:textId="77777777" w:rsidR="00D02BE8" w:rsidRDefault="00000000">
      <w:pPr>
        <w:pStyle w:val="ListNumber"/>
      </w:pPr>
      <w:r>
        <w:t>Get Privacy Policy, T&amp;Cs, Cookie Policy and a DPA drafted and published.</w:t>
      </w:r>
    </w:p>
    <w:p w14:paraId="11BEE7BF" w14:textId="77777777" w:rsidR="00D02BE8" w:rsidRDefault="00000000">
      <w:pPr>
        <w:pStyle w:val="ListNumber"/>
      </w:pPr>
      <w:r>
        <w:t>Agree with the developer which direction we take the data model (server-of-record vs. local-first with sync) before we roll the app out internally.</w:t>
      </w:r>
    </w:p>
    <w:p w14:paraId="63CD44E7" w14:textId="77777777" w:rsidR="00D02BE8" w:rsidRDefault="00000000">
      <w:pPr>
        <w:pStyle w:val="ListNumber"/>
      </w:pPr>
      <w:r>
        <w:t>Put domain, repo, Supabase project, Stripe and supporting accounts under a FESS-owned Workspace/MS365 org.</w:t>
      </w:r>
    </w:p>
    <w:p w14:paraId="54D94CCD" w14:textId="77777777" w:rsidR="00D02BE8" w:rsidRDefault="00000000">
      <w:pPr>
        <w:pStyle w:val="ListNumber"/>
      </w:pPr>
      <w:r>
        <w:t>Pilot the app on two live FESS jobs – one in a food/pet environment, one elsewhere – and gather engineer feedback.</w:t>
      </w:r>
    </w:p>
    <w:p w14:paraId="2F642A1E" w14:textId="77777777" w:rsidR="00D02BE8" w:rsidRDefault="00000000">
      <w:pPr>
        <w:pStyle w:val="Heading2"/>
      </w:pPr>
      <w:r>
        <w:t>Days 31–60 – stretch it into FESS's sites</w:t>
      </w:r>
    </w:p>
    <w:p w14:paraId="30B08BFA" w14:textId="77777777" w:rsidR="00D02BE8" w:rsidRDefault="00000000">
      <w:pPr>
        <w:pStyle w:val="ListNumber"/>
      </w:pPr>
      <w:r>
        <w:t>Add the site-environment pieces from Section 3 (LOTO, hot work in food environments, high-care access, ATEX/DSEAR).</w:t>
      </w:r>
    </w:p>
    <w:p w14:paraId="7FF6CFCE" w14:textId="77777777" w:rsidR="00D02BE8" w:rsidRDefault="00000000">
      <w:pPr>
        <w:pStyle w:val="ListNumber"/>
      </w:pPr>
      <w:r>
        <w:t>Roll out across engineers with a short induction.</w:t>
      </w:r>
    </w:p>
    <w:p w14:paraId="3A8F17CF" w14:textId="77777777" w:rsidR="00D02BE8" w:rsidRDefault="00000000">
      <w:pPr>
        <w:pStyle w:val="ListNumber"/>
      </w:pPr>
      <w:r>
        <w:t>Confirm audit-log behaviour is strong enough for a BRC / CDM-style audit.</w:t>
      </w:r>
    </w:p>
    <w:p w14:paraId="1E913159" w14:textId="77777777" w:rsidR="00D02BE8" w:rsidRDefault="00000000">
      <w:pPr>
        <w:pStyle w:val="ListNumber"/>
      </w:pPr>
      <w:r>
        <w:t>Measure the time saved vs. current process on the two pilot jobs.</w:t>
      </w:r>
    </w:p>
    <w:p w14:paraId="431EF24E" w14:textId="77777777" w:rsidR="00D02BE8" w:rsidRDefault="00000000">
      <w:pPr>
        <w:pStyle w:val="Heading2"/>
      </w:pPr>
      <w:r>
        <w:t>Days 61–90 – decision point on Route B</w:t>
      </w:r>
    </w:p>
    <w:p w14:paraId="15428569" w14:textId="77777777" w:rsidR="00D02BE8" w:rsidRDefault="00000000">
      <w:pPr>
        <w:pStyle w:val="ListNumber"/>
      </w:pPr>
      <w:r>
        <w:t>Review against real usage data: is MySafeOps doing enough for us, or are we hitting the ceiling described in Section 2?</w:t>
      </w:r>
    </w:p>
    <w:p w14:paraId="3404D647" w14:textId="77777777" w:rsidR="00D02BE8" w:rsidRDefault="00000000">
      <w:pPr>
        <w:pStyle w:val="ListNumber"/>
      </w:pPr>
      <w:r>
        <w:t>If we want to widen scope: agree the Section 4 module list, sequence and investment budget with the developer.</w:t>
      </w:r>
    </w:p>
    <w:p w14:paraId="389D200F" w14:textId="77777777" w:rsidR="00D02BE8" w:rsidRDefault="00000000">
      <w:pPr>
        <w:pStyle w:val="ListNumber"/>
      </w:pPr>
      <w:r>
        <w:t>If we're keeping it narrow: confirm which best-of-breed tools sit alongside it (CRM, accounting, scheduling, MI) and how they integrate.</w:t>
      </w:r>
    </w:p>
    <w:p w14:paraId="7EE3B71D" w14:textId="77777777" w:rsidR="00D02BE8" w:rsidRDefault="00000000">
      <w:pPr>
        <w:pStyle w:val="ListNumber"/>
      </w:pPr>
      <w:r>
        <w:t>Lock in the KPI pack we use for board reporting – revenue, GP%, WIP, debtor days, utilisation, pipeline – and decide which system owns each number.</w:t>
      </w:r>
    </w:p>
    <w:p w14:paraId="00F4C14F" w14:textId="77777777" w:rsidR="00D02BE8" w:rsidRDefault="00000000">
      <w:r>
        <w:br w:type="page"/>
      </w:r>
    </w:p>
    <w:p w14:paraId="48A8AB39" w14:textId="77777777" w:rsidR="00D02BE8" w:rsidRDefault="00000000">
      <w:pPr>
        <w:pStyle w:val="Heading1"/>
      </w:pPr>
      <w:r>
        <w:lastRenderedPageBreak/>
        <w:t>8. Closing Thought</w:t>
      </w:r>
    </w:p>
    <w:tbl>
      <w:tblPr>
        <w:tblW w:w="0" w:type="auto"/>
        <w:tblLook w:val="04A0" w:firstRow="1" w:lastRow="0" w:firstColumn="1" w:lastColumn="0" w:noHBand="0" w:noVBand="1"/>
      </w:tblPr>
      <w:tblGrid>
        <w:gridCol w:w="9972"/>
      </w:tblGrid>
      <w:tr w:rsidR="00D02BE8" w14:paraId="1DFB5EA5" w14:textId="77777777">
        <w:tc>
          <w:tcPr>
            <w:tcW w:w="9972" w:type="dxa"/>
            <w:shd w:val="clear" w:color="auto" w:fill="EAF3EE"/>
          </w:tcPr>
          <w:p w14:paraId="09BD740A" w14:textId="77777777" w:rsidR="00D02BE8" w:rsidRDefault="00000000">
            <w:r>
              <w:t>MySafeOps is a well-built beta that already earns a place in FESS's site workflows if we want it there. Where it needs a conversation is whether we stretch its scope to make it the single system we run the group on, or whether we keep it focused on its strongest ground and use other tools around it.</w:t>
            </w:r>
          </w:p>
          <w:p w14:paraId="441969C4" w14:textId="77777777" w:rsidR="00D02BE8" w:rsidRDefault="00000000">
            <w:r>
              <w:t>Either path can work. What would be valuable is an explicit decision – and a short window of real usage before we commit to widening the scope. Happy to walk through any of this with you and the developer whenever you're ready.</w:t>
            </w:r>
          </w:p>
        </w:tc>
      </w:tr>
    </w:tbl>
    <w:p w14:paraId="4F6A9CA2" w14:textId="77777777" w:rsidR="00D02BE8" w:rsidRDefault="00D02BE8"/>
    <w:p w14:paraId="4807D1A3" w14:textId="77777777" w:rsidR="00D02BE8" w:rsidRDefault="00000000">
      <w:pPr>
        <w:jc w:val="right"/>
      </w:pPr>
      <w:r>
        <w:rPr>
          <w:i/>
          <w:color w:val="555555"/>
        </w:rPr>
        <w:t>– Jack</w:t>
      </w:r>
    </w:p>
    <w:sectPr w:rsidR="00D02BE8"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9268300">
    <w:abstractNumId w:val="8"/>
  </w:num>
  <w:num w:numId="2" w16cid:durableId="1400254274">
    <w:abstractNumId w:val="6"/>
  </w:num>
  <w:num w:numId="3" w16cid:durableId="708148440">
    <w:abstractNumId w:val="5"/>
  </w:num>
  <w:num w:numId="4" w16cid:durableId="1454245599">
    <w:abstractNumId w:val="4"/>
  </w:num>
  <w:num w:numId="5" w16cid:durableId="1243760788">
    <w:abstractNumId w:val="7"/>
  </w:num>
  <w:num w:numId="6" w16cid:durableId="2024084482">
    <w:abstractNumId w:val="3"/>
  </w:num>
  <w:num w:numId="7" w16cid:durableId="1158228566">
    <w:abstractNumId w:val="2"/>
  </w:num>
  <w:num w:numId="8" w16cid:durableId="1226140517">
    <w:abstractNumId w:val="1"/>
  </w:num>
  <w:num w:numId="9" w16cid:durableId="1276904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6020"/>
    <w:rsid w:val="007651D6"/>
    <w:rsid w:val="00AA1D8D"/>
    <w:rsid w:val="00B47730"/>
    <w:rsid w:val="00CB0664"/>
    <w:rsid w:val="00D02B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28086D"/>
  <w14:defaultImageDpi w14:val="300"/>
  <w15:docId w15:val="{8C6F2B85-C7E1-6B4B-9CC5-300119C61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2A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02A4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02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1807</Words>
  <Characters>10301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Jack Haswell</cp:lastModifiedBy>
  <cp:revision>2</cp:revision>
  <dcterms:created xsi:type="dcterms:W3CDTF">2013-12-23T23:15:00Z</dcterms:created>
  <dcterms:modified xsi:type="dcterms:W3CDTF">2026-04-22T14:03:00Z</dcterms:modified>
  <cp:category/>
</cp:coreProperties>
</file>