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8928" w14:textId="77777777" w:rsidR="00DA7D3B" w:rsidRDefault="00000000">
      <w:pPr>
        <w:pStyle w:val="Title"/>
      </w:pPr>
      <w:r>
        <w:t>E2 · Estrategia de pruebas – HU-410</w:t>
      </w:r>
    </w:p>
    <w:p w14:paraId="6EB3C109" w14:textId="29E4642D" w:rsidR="00DA7D3B" w:rsidRDefault="00000000">
      <w:pPr>
        <w:spacing w:after="30"/>
      </w:pPr>
      <w:r>
        <w:rPr>
          <w:b/>
          <w:bCs/>
        </w:rPr>
        <w:t>Objetivo:</w:t>
      </w:r>
      <w:r>
        <w:t xml:space="preserve"> decidir con evidencia si la HU-410 puede liberarse. El enfoque es </w:t>
      </w:r>
      <w:r>
        <w:rPr>
          <w:b/>
          <w:bCs/>
        </w:rPr>
        <w:t>basado en riesgo</w:t>
      </w:r>
      <w:r>
        <w:t xml:space="preserve">: parte de los hallazgos del E1 y prueba el servicio como caja negra, por su API y su base de datos. </w:t>
      </w:r>
      <w:r>
        <w:rPr>
          <w:b/>
          <w:bCs/>
        </w:rPr>
        <w:t>Autor:</w:t>
      </w:r>
      <w:r>
        <w:t xml:space="preserve"> Belly Espinal · </w:t>
      </w:r>
      <w:r>
        <w:rPr>
          <w:b/>
          <w:bCs/>
        </w:rPr>
        <w:t>Versión:</w:t>
      </w:r>
      <w:r>
        <w:t xml:space="preserve"> borrador 1</w:t>
      </w:r>
    </w:p>
    <w:p w14:paraId="010159B4" w14:textId="77777777" w:rsidR="00DA7D3B" w:rsidRDefault="00000000">
      <w:pPr>
        <w:pStyle w:val="Heading1"/>
      </w:pPr>
      <w:r>
        <w:t>Alcance</w:t>
      </w:r>
    </w:p>
    <w:p w14:paraId="2BDB035E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Dentro:</w:t>
      </w:r>
      <w:r>
        <w:t xml:space="preserve"> API del contrato (sesiones, verificaciones, webhook, alta y resolución de revisiones), máquina de estados, gate en el servidor (CA-06), multicomercio y configuración por comercio (CA-01, CA-07), intentos (CA-08), idempotencia y concurrencia (CA-10), privacidad en respuestas y base (Reglas 2, 4 y 8), integridad de datos en la base (incluido el sprint anterior) y diseño de pruebas móviles.</w:t>
      </w:r>
    </w:p>
    <w:p w14:paraId="0C1CF0BD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Fuera:</w:t>
      </w:r>
      <w:r>
        <w:t xml:space="preserve"> validación del NIT, accesibilidad de las pantallas de captura, código del servicio, proveedor real (se usa el simulador), ejecución en la app (no hay app), carga y rendimiento más allá de la concurrencia puntual, y logs del servicio (sin acceso; queda como riesgo residual).</w:t>
      </w:r>
    </w:p>
    <w:p w14:paraId="4D4C3B7E" w14:textId="77777777" w:rsidR="00DA7D3B" w:rsidRDefault="00000000">
      <w:pPr>
        <w:pStyle w:val="Heading1"/>
      </w:pPr>
      <w:r>
        <w:t>Riesgos principales (de mayor a menor) y cómo los cubro</w:t>
      </w:r>
    </w:p>
    <w:tbl>
      <w:tblPr>
        <w:tblW w:w="10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5475"/>
        <w:gridCol w:w="5055"/>
      </w:tblGrid>
      <w:tr w:rsidR="00DA7D3B" w14:paraId="1443F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933525" w14:textId="77777777" w:rsidR="00DA7D3B" w:rsidRDefault="00000000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5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6A7893" w14:textId="77777777" w:rsidR="00DA7D3B" w:rsidRDefault="00000000">
            <w:r>
              <w:rPr>
                <w:b/>
                <w:bCs/>
                <w:color w:val="FFFFFF"/>
                <w:sz w:val="15"/>
                <w:szCs w:val="15"/>
              </w:rPr>
              <w:t>Riesgo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1A078B8" w14:textId="77777777" w:rsidR="00DA7D3B" w:rsidRDefault="00000000">
            <w:r>
              <w:rPr>
                <w:b/>
                <w:bCs/>
                <w:color w:val="FFFFFF"/>
                <w:sz w:val="15"/>
                <w:szCs w:val="15"/>
              </w:rPr>
              <w:t>Cobertura</w:t>
            </w:r>
          </w:p>
        </w:tc>
      </w:tr>
      <w:tr w:rsidR="00DA7D3B" w14:paraId="2E653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F64DB82" w14:textId="77777777" w:rsidR="00DA7D3B" w:rsidRDefault="00000000">
            <w:r>
              <w:rPr>
                <w:sz w:val="15"/>
                <w:szCs w:val="15"/>
              </w:rPr>
              <w:t>1</w:t>
            </w:r>
          </w:p>
        </w:tc>
        <w:tc>
          <w:tcPr>
            <w:tcW w:w="5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B45C68C" w14:textId="77777777" w:rsidR="00DA7D3B" w:rsidRDefault="00000000">
            <w:r>
              <w:rPr>
                <w:sz w:val="15"/>
                <w:szCs w:val="15"/>
              </w:rPr>
              <w:t>Aprobar identidades que no deberían pasar (umbral 0.80, webhooks falsos, tardíos o duplicados) · A-02, A-05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DEA4CE" w14:textId="77777777" w:rsidR="00DA7D3B" w:rsidRDefault="00000000">
            <w:r>
              <w:rPr>
                <w:sz w:val="15"/>
                <w:szCs w:val="15"/>
              </w:rPr>
              <w:t>Valores límite del puntaje; transición de estados con webhooks propios firmados; firma inválida</w:t>
            </w:r>
          </w:p>
        </w:tc>
      </w:tr>
      <w:tr w:rsidR="00DA7D3B" w14:paraId="49DC4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47880A" w14:textId="77777777" w:rsidR="00DA7D3B" w:rsidRDefault="00000000">
            <w:r>
              <w:rPr>
                <w:sz w:val="15"/>
                <w:szCs w:val="15"/>
              </w:rPr>
              <w:t>2</w:t>
            </w:r>
          </w:p>
        </w:tc>
        <w:tc>
          <w:tcPr>
            <w:tcW w:w="5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3AE032" w14:textId="77777777" w:rsidR="00DA7D3B" w:rsidRDefault="00000000">
            <w:r>
              <w:rPr>
                <w:sz w:val="15"/>
                <w:szCs w:val="15"/>
              </w:rPr>
              <w:t>Crear altas sin verificación válida o duplicadas (gate, 30 minutos, idempotencia, reutilización) · A-04, A-06, A-09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7B79BAF" w14:textId="77777777" w:rsidR="00DA7D3B" w:rsidRDefault="00000000">
            <w:r>
              <w:rPr>
                <w:sz w:val="15"/>
                <w:szCs w:val="15"/>
              </w:rPr>
              <w:t>Reloj del sandbox (29, 30 y 31 min); misma Idempotency-Key en paralelo; mismo DPI en el mismo comercio y en otro; validación en la base</w:t>
            </w:r>
          </w:p>
        </w:tc>
      </w:tr>
      <w:tr w:rsidR="00DA7D3B" w14:paraId="6CC56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B37EFE" w14:textId="77777777" w:rsidR="00DA7D3B" w:rsidRDefault="00000000">
            <w:r>
              <w:rPr>
                <w:sz w:val="15"/>
                <w:szCs w:val="15"/>
              </w:rPr>
              <w:t>3</w:t>
            </w:r>
          </w:p>
        </w:tc>
        <w:tc>
          <w:tcPr>
            <w:tcW w:w="5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E1BA744" w14:textId="77777777" w:rsidR="00DA7D3B" w:rsidRDefault="00000000">
            <w:r>
              <w:rPr>
                <w:sz w:val="15"/>
                <w:szCs w:val="15"/>
              </w:rPr>
              <w:t>Cruce entre comercios o configuración del comercio ignorada · A-03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5ECE979" w14:textId="77777777" w:rsidR="00DA7D3B" w:rsidRDefault="00000000">
            <w:r>
              <w:rPr>
                <w:sz w:val="15"/>
                <w:szCs w:val="15"/>
              </w:rPr>
              <w:t xml:space="preserve">Tabla de decisión con los 4 comercios;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merchant</w:t>
            </w:r>
            <w:r>
              <w:rPr>
                <w:sz w:val="15"/>
                <w:szCs w:val="15"/>
              </w:rPr>
              <w:t xml:space="preserve"> o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channel</w:t>
            </w:r>
            <w:r>
              <w:rPr>
                <w:sz w:val="15"/>
                <w:szCs w:val="15"/>
              </w:rPr>
              <w:t xml:space="preserve"> en el body; tokens de otro comercio y de operaciones</w:t>
            </w:r>
          </w:p>
        </w:tc>
      </w:tr>
      <w:tr w:rsidR="00DA7D3B" w14:paraId="5B221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085C3D" w14:textId="77777777" w:rsidR="00DA7D3B" w:rsidRDefault="00000000">
            <w:r>
              <w:rPr>
                <w:sz w:val="15"/>
                <w:szCs w:val="15"/>
              </w:rPr>
              <w:t>4</w:t>
            </w:r>
          </w:p>
        </w:tc>
        <w:tc>
          <w:tcPr>
            <w:tcW w:w="5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C77BD4" w14:textId="77777777" w:rsidR="00DA7D3B" w:rsidRDefault="00000000">
            <w:r>
              <w:rPr>
                <w:sz w:val="15"/>
                <w:szCs w:val="15"/>
              </w:rPr>
              <w:t>Fuga de datos personales (CUI en errores, imágenes, secretos del proveedor) · A-08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3E674F8" w14:textId="77777777" w:rsidR="00DA7D3B" w:rsidRDefault="00000000">
            <w:r>
              <w:rPr>
                <w:sz w:val="15"/>
                <w:szCs w:val="15"/>
              </w:rPr>
              <w:t>Revisión de todos los cuerpos de error y respuestas; consultas a la base</w:t>
            </w:r>
          </w:p>
        </w:tc>
      </w:tr>
      <w:tr w:rsidR="00DA7D3B" w14:paraId="67BE2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1E279F" w14:textId="77777777" w:rsidR="00DA7D3B" w:rsidRDefault="00000000">
            <w:r>
              <w:rPr>
                <w:sz w:val="15"/>
                <w:szCs w:val="15"/>
              </w:rPr>
              <w:t>5</w:t>
            </w:r>
          </w:p>
        </w:tc>
        <w:tc>
          <w:tcPr>
            <w:tcW w:w="5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DE2CC9E" w14:textId="77777777" w:rsidR="00DA7D3B" w:rsidRDefault="00000000">
            <w:r>
              <w:rPr>
                <w:sz w:val="15"/>
                <w:szCs w:val="15"/>
              </w:rPr>
              <w:t>Evasión del límite de intentos · A-07, A-11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0D0724F" w14:textId="77777777" w:rsidR="00DA7D3B" w:rsidRDefault="00000000">
            <w:r>
              <w:rPr>
                <w:sz w:val="15"/>
                <w:szCs w:val="15"/>
              </w:rPr>
              <w:t xml:space="preserve">4.ª sesión; cambio de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X-Device-Id</w:t>
            </w:r>
            <w:r>
              <w:rPr>
                <w:sz w:val="15"/>
                <w:szCs w:val="15"/>
              </w:rPr>
              <w:t>; ventana de 24 h; sesiones simultáneas</w:t>
            </w:r>
          </w:p>
        </w:tc>
      </w:tr>
      <w:tr w:rsidR="00DA7D3B" w14:paraId="2A013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0FA62B" w14:textId="77777777" w:rsidR="00DA7D3B" w:rsidRDefault="00000000">
            <w:r>
              <w:rPr>
                <w:sz w:val="15"/>
                <w:szCs w:val="15"/>
              </w:rPr>
              <w:t>6</w:t>
            </w:r>
          </w:p>
        </w:tc>
        <w:tc>
          <w:tcPr>
            <w:tcW w:w="5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7667F62" w14:textId="77777777" w:rsidR="00DA7D3B" w:rsidRDefault="00000000">
            <w:r>
              <w:rPr>
                <w:sz w:val="15"/>
                <w:szCs w:val="15"/>
              </w:rPr>
              <w:t>Fallas de la experiencia móvil (permisos, red, segundo plano, abandono) · A-10, A-12</w:t>
            </w:r>
          </w:p>
        </w:tc>
        <w:tc>
          <w:tcPr>
            <w:tcW w:w="5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231C28B" w14:textId="77777777" w:rsidR="00DA7D3B" w:rsidRDefault="00000000">
            <w:r>
              <w:rPr>
                <w:sz w:val="15"/>
                <w:szCs w:val="15"/>
              </w:rPr>
              <w:t>Diseño de casos para dispositivo físico (E3)</w:t>
            </w:r>
          </w:p>
        </w:tc>
      </w:tr>
    </w:tbl>
    <w:p w14:paraId="0B976458" w14:textId="77777777" w:rsidR="00DA7D3B" w:rsidRDefault="00000000">
      <w:pPr>
        <w:pStyle w:val="Heading1"/>
      </w:pPr>
      <w:r>
        <w:t>Tipos de prueba y por qué</w:t>
      </w:r>
    </w:p>
    <w:p w14:paraId="49F14D9F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Funcional de API por criterio</w:t>
      </w:r>
      <w:r>
        <w:t xml:space="preserve"> (partición, valores límite, tabla de decisión): es la superficie real del producto.</w:t>
      </w:r>
    </w:p>
    <w:p w14:paraId="493BBBCE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Transición de estados:</w:t>
      </w:r>
      <w:r>
        <w:t xml:space="preserve"> el riesgo mayor está en llegar a estados no permitidos.</w:t>
      </w:r>
    </w:p>
    <w:p w14:paraId="13A0AF05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Contrato:</w:t>
      </w:r>
      <w:r>
        <w:t xml:space="preserve"> validación de esquemas contra </w:t>
      </w:r>
      <w:r>
        <w:rPr>
          <w:rFonts w:ascii="Consolas" w:eastAsia="Consolas" w:hAnsi="Consolas" w:cs="Consolas"/>
          <w:sz w:val="16"/>
          <w:szCs w:val="16"/>
        </w:rPr>
        <w:t>openapi.yaml</w:t>
      </w:r>
      <w:r>
        <w:t>, la fuente de verdad.</w:t>
      </w:r>
    </w:p>
    <w:p w14:paraId="16671CD9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Seguridad funcional:</w:t>
      </w:r>
      <w:r>
        <w:t xml:space="preserve"> autorización por comercio, firma HMAC, campos que no deben venir de la app y datos sensibles.</w:t>
      </w:r>
    </w:p>
    <w:p w14:paraId="0CCA75FF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Concurrencia:</w:t>
      </w:r>
      <w:r>
        <w:t xml:space="preserve"> reintentos y sesiones simultáneas, porque ahí fallan la idempotencia y los contadores.</w:t>
      </w:r>
    </w:p>
    <w:p w14:paraId="4E1D5DDA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Datos en la base:</w:t>
      </w:r>
      <w:r>
        <w:t xml:space="preserve"> confirma lo que la API no muestra (duplicados, códigos sin consumir, horas en UTC).</w:t>
      </w:r>
    </w:p>
    <w:p w14:paraId="57A64019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Regresión del flujo con código</w:t>
      </w:r>
      <w:r>
        <w:t xml:space="preserve"> (Regla 1) y </w:t>
      </w:r>
      <w:r>
        <w:rPr>
          <w:b/>
          <w:bCs/>
        </w:rPr>
        <w:t>exploratoria</w:t>
      </w:r>
      <w:r>
        <w:t xml:space="preserve"> en sesiones cortas guiadas por riesgo.</w:t>
      </w:r>
    </w:p>
    <w:p w14:paraId="1FF5D900" w14:textId="77777777" w:rsidR="00DA7D3B" w:rsidRDefault="00000000">
      <w:pPr>
        <w:pStyle w:val="Heading1"/>
      </w:pPr>
      <w:r>
        <w:t>Ambiente frente a dispositivo físico</w:t>
      </w:r>
    </w:p>
    <w:p w14:paraId="35928747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En el ambiente:</w:t>
      </w:r>
      <w:r>
        <w:t xml:space="preserve"> API, estados, webhooks, reloj, intentos, concurrencia y base de datos.</w:t>
      </w:r>
    </w:p>
    <w:p w14:paraId="515C8410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Exige dispositivo físico:</w:t>
      </w:r>
      <w:r>
        <w:t xml:space="preserve"> permisos de cámara (denegar o revocar), calidad de captura e iluminación, red intermitente durante la captura y la consulta, segundo plano y llamadas entrantes, rotación, Android e iOS de gama baja y alta, aviso de privacidad antes de abrir la cámara y el componente real del proveedor.</w:t>
      </w:r>
    </w:p>
    <w:p w14:paraId="65432869" w14:textId="77777777" w:rsidR="00DA7D3B" w:rsidRDefault="00000000">
      <w:pPr>
        <w:pStyle w:val="Heading1"/>
      </w:pPr>
      <w:r>
        <w:t>Datos de prueba</w:t>
      </w:r>
    </w:p>
    <w:p w14:paraId="5C7232BD" w14:textId="77777777" w:rsidR="00DA7D3B" w:rsidRDefault="00000000">
      <w:pPr>
        <w:spacing w:after="30"/>
      </w:pPr>
      <w:r>
        <w:t xml:space="preserve">Los 4 comercios del anexo como tabla de decisión (M-NORTE todo activo, M-SUR inactiva, M-OESTE con proveedor no soportado, M-ESTE sin revisión manual). Personas fijas A, B y C para repetir un DPI; personas al azar para independizar casos. Los 8 escenarios del simulador más webhooks propios para valores límite (0.79, 0.80, 0.81). Un </w:t>
      </w:r>
      <w:r>
        <w:rPr>
          <w:rFonts w:ascii="Consolas" w:eastAsia="Consolas" w:hAnsi="Consolas" w:cs="Consolas"/>
          <w:sz w:val="16"/>
          <w:szCs w:val="16"/>
        </w:rPr>
        <w:t>X-Device-Id</w:t>
      </w:r>
      <w:r>
        <w:t xml:space="preserve"> único por caso. Reinicio antes de cada corrida y copia de </w:t>
      </w:r>
      <w:r>
        <w:rPr>
          <w:rFonts w:ascii="Consolas" w:eastAsia="Consolas" w:hAnsi="Consolas" w:cs="Consolas"/>
          <w:sz w:val="16"/>
          <w:szCs w:val="16"/>
        </w:rPr>
        <w:t>qa.db</w:t>
      </w:r>
      <w:r>
        <w:t xml:space="preserve"> como evidencia. Solo datos ficticios.</w:t>
      </w:r>
    </w:p>
    <w:p w14:paraId="24115A66" w14:textId="77777777" w:rsidR="00DA7D3B" w:rsidRDefault="00000000">
      <w:pPr>
        <w:pStyle w:val="Heading1"/>
      </w:pPr>
      <w:r>
        <w:t>Dependencia del proveedor externo</w:t>
      </w:r>
    </w:p>
    <w:p w14:paraId="48C5B772" w14:textId="77777777" w:rsidR="00DA7D3B" w:rsidRDefault="00000000">
      <w:pPr>
        <w:spacing w:after="30"/>
      </w:pPr>
      <w:r>
        <w:t>El simulador no valida el OCR, la prueba de vida ni la latencia reales. Mitigación: tratar al proveedor como no confiable (puntajes límite, eventos repetidos, fuera de orden o mal firmados). Queda para preproducción con el sandbox real: formato real del webhook, tiempos de respuesta, reintentos, caídas del proveedor y rotación del secreto.</w:t>
      </w:r>
    </w:p>
    <w:p w14:paraId="641B79B0" w14:textId="77777777" w:rsidR="00DA7D3B" w:rsidRDefault="00000000">
      <w:pPr>
        <w:pStyle w:val="Heading1"/>
      </w:pPr>
      <w:r>
        <w:t>Criterios de entrada y de salida</w:t>
      </w:r>
    </w:p>
    <w:p w14:paraId="0D1836A6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Entrada:</w:t>
      </w:r>
      <w:r>
        <w:t xml:space="preserve"> ambiente arriba y reiniciable; contrato disponible; prueba básica correcta (crear sesión → </w:t>
      </w:r>
      <w:r>
        <w:rPr>
          <w:rFonts w:ascii="Consolas" w:eastAsia="Consolas" w:hAnsi="Consolas" w:cs="Consolas"/>
          <w:sz w:val="16"/>
          <w:szCs w:val="16"/>
        </w:rPr>
        <w:t>approved</w:t>
      </w:r>
      <w:r>
        <w:t xml:space="preserve"> → consultar); supuestos del E1 registrados.</w:t>
      </w:r>
    </w:p>
    <w:p w14:paraId="74F52C62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Salida:</w:t>
      </w:r>
      <w:r>
        <w:t xml:space="preserve"> smoke ejecutado al 100 % y aprobado; casos de prioridad alta ejecutados; respuestas conformes al contrato; base sin altas duplicadas, sin altas desde verificaciones no aprobadas y sin códigos sin consumir; defectos abiertos clasificados.</w:t>
      </w:r>
    </w:p>
    <w:p w14:paraId="7CB4A0A3" w14:textId="77777777" w:rsidR="00DA7D3B" w:rsidRDefault="00000000">
      <w:pPr>
        <w:pStyle w:val="Heading1"/>
      </w:pPr>
      <w:r>
        <w:t>Cómo decido si se libera</w:t>
      </w:r>
    </w:p>
    <w:p w14:paraId="388382C7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Go:</w:t>
      </w:r>
      <w:r>
        <w:t xml:space="preserve"> se cumplen los criterios de salida y no hay defectos críticos ni altos abiertos.</w:t>
      </w:r>
    </w:p>
    <w:p w14:paraId="283CE5FC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Go condicionado:</w:t>
      </w:r>
      <w:r>
        <w:t xml:space="preserve"> solo quedan defectos medios o bajos, o altos con mitigación acordada (por ejemplo, función apagada en los comercios afectados), y el PO confirma los supuestos del E1.</w:t>
      </w:r>
    </w:p>
    <w:p w14:paraId="434FB848" w14:textId="77777777" w:rsidR="00DA7D3B" w:rsidRDefault="00000000"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>No-Go:</w:t>
      </w:r>
      <w:r>
        <w:t xml:space="preserve"> cualquier defecto crítico en la aprobación de identidad, el gate del alta, el aislamiento entre comercios o la privacidad de datos.</w:t>
      </w:r>
    </w:p>
    <w:sectPr w:rsidR="00DA7D3B">
      <w:headerReference w:type="default" r:id="rId7"/>
      <w:footerReference w:type="default" r:id="rId8"/>
      <w:pgSz w:w="12240" w:h="15840"/>
      <w:pgMar w:top="680" w:right="680" w:bottom="680" w:left="6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63027" w14:textId="77777777" w:rsidR="008B7F52" w:rsidRDefault="008B7F52">
      <w:r>
        <w:separator/>
      </w:r>
    </w:p>
  </w:endnote>
  <w:endnote w:type="continuationSeparator" w:id="0">
    <w:p w14:paraId="60F5593F" w14:textId="77777777" w:rsidR="008B7F52" w:rsidRDefault="008B7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57ED" w14:textId="77777777" w:rsidR="00DA7D3B" w:rsidRDefault="00000000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20E69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120E69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AE8C3" w14:textId="77777777" w:rsidR="008B7F52" w:rsidRDefault="008B7F52">
      <w:r>
        <w:separator/>
      </w:r>
    </w:p>
  </w:footnote>
  <w:footnote w:type="continuationSeparator" w:id="0">
    <w:p w14:paraId="3DF1EBD6" w14:textId="77777777" w:rsidR="008B7F52" w:rsidRDefault="008B7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E5CB2" w14:textId="77777777" w:rsidR="00DA7D3B" w:rsidRDefault="00000000">
    <w:pPr>
      <w:jc w:val="right"/>
    </w:pPr>
    <w:r>
      <w:rPr>
        <w:color w:val="7F7F7F"/>
        <w:sz w:val="16"/>
        <w:szCs w:val="16"/>
      </w:rPr>
      <w:t>QA Senior · Fase 2 · E2 Estrategia de pruebas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05D7"/>
    <w:multiLevelType w:val="hybridMultilevel"/>
    <w:tmpl w:val="4D88E7F0"/>
    <w:lvl w:ilvl="0" w:tplc="72E66AF6" w:tentative="1">
      <w:start w:val="1"/>
      <w:numFmt w:val="decimal"/>
      <w:lvlText w:val="%1."/>
      <w:lvlJc w:val="left"/>
      <w:pPr>
        <w:ind w:left="360" w:hanging="300"/>
      </w:pPr>
    </w:lvl>
    <w:lvl w:ilvl="1" w:tplc="DA28DBF8">
      <w:numFmt w:val="decimal"/>
      <w:lvlText w:val=""/>
      <w:lvlJc w:val="left"/>
    </w:lvl>
    <w:lvl w:ilvl="2" w:tplc="5A667C2C">
      <w:numFmt w:val="decimal"/>
      <w:lvlText w:val=""/>
      <w:lvlJc w:val="left"/>
    </w:lvl>
    <w:lvl w:ilvl="3" w:tplc="18D4E862">
      <w:numFmt w:val="decimal"/>
      <w:lvlText w:val=""/>
      <w:lvlJc w:val="left"/>
    </w:lvl>
    <w:lvl w:ilvl="4" w:tplc="7FE044DE">
      <w:numFmt w:val="decimal"/>
      <w:lvlText w:val=""/>
      <w:lvlJc w:val="left"/>
    </w:lvl>
    <w:lvl w:ilvl="5" w:tplc="502C321A">
      <w:numFmt w:val="decimal"/>
      <w:lvlText w:val=""/>
      <w:lvlJc w:val="left"/>
    </w:lvl>
    <w:lvl w:ilvl="6" w:tplc="6EF65C22">
      <w:numFmt w:val="decimal"/>
      <w:lvlText w:val=""/>
      <w:lvlJc w:val="left"/>
    </w:lvl>
    <w:lvl w:ilvl="7" w:tplc="EA8EE170">
      <w:numFmt w:val="decimal"/>
      <w:lvlText w:val=""/>
      <w:lvlJc w:val="left"/>
    </w:lvl>
    <w:lvl w:ilvl="8" w:tplc="35706416">
      <w:numFmt w:val="decimal"/>
      <w:lvlText w:val=""/>
      <w:lvlJc w:val="left"/>
    </w:lvl>
  </w:abstractNum>
  <w:abstractNum w:abstractNumId="1" w15:restartNumberingAfterBreak="0">
    <w:nsid w:val="244A6AEC"/>
    <w:multiLevelType w:val="hybridMultilevel"/>
    <w:tmpl w:val="469095B6"/>
    <w:lvl w:ilvl="0" w:tplc="F334AEFA">
      <w:start w:val="1"/>
      <w:numFmt w:val="bullet"/>
      <w:lvlText w:val="•"/>
      <w:lvlJc w:val="left"/>
      <w:pPr>
        <w:ind w:left="360" w:hanging="260"/>
      </w:pPr>
    </w:lvl>
    <w:lvl w:ilvl="1" w:tplc="38964B04" w:tentative="1">
      <w:start w:val="1"/>
      <w:numFmt w:val="bullet"/>
      <w:lvlText w:val="◦"/>
      <w:lvlJc w:val="left"/>
      <w:pPr>
        <w:ind w:left="720" w:hanging="260"/>
      </w:pPr>
    </w:lvl>
    <w:lvl w:ilvl="2" w:tplc="27DEF2F0" w:tentative="1">
      <w:start w:val="1"/>
      <w:numFmt w:val="bullet"/>
      <w:lvlText w:val="▪"/>
      <w:lvlJc w:val="left"/>
      <w:pPr>
        <w:ind w:left="1080" w:hanging="260"/>
      </w:pPr>
    </w:lvl>
    <w:lvl w:ilvl="3" w:tplc="6FA21648">
      <w:numFmt w:val="decimal"/>
      <w:lvlText w:val=""/>
      <w:lvlJc w:val="left"/>
    </w:lvl>
    <w:lvl w:ilvl="4" w:tplc="35F43D72">
      <w:numFmt w:val="decimal"/>
      <w:lvlText w:val=""/>
      <w:lvlJc w:val="left"/>
    </w:lvl>
    <w:lvl w:ilvl="5" w:tplc="CD6EA766">
      <w:numFmt w:val="decimal"/>
      <w:lvlText w:val=""/>
      <w:lvlJc w:val="left"/>
    </w:lvl>
    <w:lvl w:ilvl="6" w:tplc="94A4EDB8">
      <w:numFmt w:val="decimal"/>
      <w:lvlText w:val=""/>
      <w:lvlJc w:val="left"/>
    </w:lvl>
    <w:lvl w:ilvl="7" w:tplc="2F866DAE">
      <w:numFmt w:val="decimal"/>
      <w:lvlText w:val=""/>
      <w:lvlJc w:val="left"/>
    </w:lvl>
    <w:lvl w:ilvl="8" w:tplc="1B980002">
      <w:numFmt w:val="decimal"/>
      <w:lvlText w:val=""/>
      <w:lvlJc w:val="left"/>
    </w:lvl>
  </w:abstractNum>
  <w:abstractNum w:abstractNumId="2" w15:restartNumberingAfterBreak="0">
    <w:nsid w:val="6E2A1776"/>
    <w:multiLevelType w:val="hybridMultilevel"/>
    <w:tmpl w:val="6DA49740"/>
    <w:lvl w:ilvl="0" w:tplc="F0BE3656" w:tentative="1">
      <w:start w:val="1"/>
      <w:numFmt w:val="bullet"/>
      <w:lvlText w:val="●"/>
      <w:lvlJc w:val="left"/>
      <w:pPr>
        <w:ind w:left="720" w:hanging="360"/>
      </w:pPr>
    </w:lvl>
    <w:lvl w:ilvl="1" w:tplc="0A12B7FC" w:tentative="1">
      <w:start w:val="1"/>
      <w:numFmt w:val="bullet"/>
      <w:lvlText w:val="○"/>
      <w:lvlJc w:val="left"/>
      <w:pPr>
        <w:ind w:left="1440" w:hanging="360"/>
      </w:pPr>
    </w:lvl>
    <w:lvl w:ilvl="2" w:tplc="D6B6B558" w:tentative="1">
      <w:start w:val="1"/>
      <w:numFmt w:val="bullet"/>
      <w:lvlText w:val="■"/>
      <w:lvlJc w:val="left"/>
      <w:pPr>
        <w:ind w:left="2160" w:hanging="360"/>
      </w:pPr>
    </w:lvl>
    <w:lvl w:ilvl="3" w:tplc="7F484EC6" w:tentative="1">
      <w:start w:val="1"/>
      <w:numFmt w:val="bullet"/>
      <w:lvlText w:val="●"/>
      <w:lvlJc w:val="left"/>
      <w:pPr>
        <w:ind w:left="2880" w:hanging="360"/>
      </w:pPr>
    </w:lvl>
    <w:lvl w:ilvl="4" w:tplc="91D89B98" w:tentative="1">
      <w:start w:val="1"/>
      <w:numFmt w:val="bullet"/>
      <w:lvlText w:val="○"/>
      <w:lvlJc w:val="left"/>
      <w:pPr>
        <w:ind w:left="3600" w:hanging="360"/>
      </w:pPr>
    </w:lvl>
    <w:lvl w:ilvl="5" w:tplc="9C8659B6" w:tentative="1">
      <w:start w:val="1"/>
      <w:numFmt w:val="bullet"/>
      <w:lvlText w:val="■"/>
      <w:lvlJc w:val="left"/>
      <w:pPr>
        <w:ind w:left="4320" w:hanging="360"/>
      </w:pPr>
    </w:lvl>
    <w:lvl w:ilvl="6" w:tplc="FCE697BE" w:tentative="1">
      <w:start w:val="1"/>
      <w:numFmt w:val="bullet"/>
      <w:lvlText w:val="●"/>
      <w:lvlJc w:val="left"/>
      <w:pPr>
        <w:ind w:left="5040" w:hanging="360"/>
      </w:pPr>
    </w:lvl>
    <w:lvl w:ilvl="7" w:tplc="F9DACE30" w:tentative="1">
      <w:start w:val="1"/>
      <w:numFmt w:val="bullet"/>
      <w:lvlText w:val="●"/>
      <w:lvlJc w:val="left"/>
      <w:pPr>
        <w:ind w:left="5760" w:hanging="360"/>
      </w:pPr>
    </w:lvl>
    <w:lvl w:ilvl="8" w:tplc="9A1EE2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78101337">
    <w:abstractNumId w:val="2"/>
    <w:lvlOverride w:ilvl="0">
      <w:startOverride w:val="1"/>
    </w:lvlOverride>
  </w:num>
  <w:num w:numId="2" w16cid:durableId="648943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D3B"/>
    <w:rsid w:val="00120E69"/>
    <w:rsid w:val="008B7F52"/>
    <w:rsid w:val="00AB6F49"/>
    <w:rsid w:val="00DA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EE27"/>
  <w15:docId w15:val="{5F5D3111-88E5-3246-AF81-01FFB631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70" w:after="20"/>
      <w:outlineLvl w:val="0"/>
    </w:pPr>
    <w:rPr>
      <w:b/>
      <w:bCs/>
      <w:color w:val="1F4E79"/>
      <w:sz w:val="21"/>
      <w:szCs w:val="21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40"/>
    </w:pPr>
    <w:rPr>
      <w:b/>
      <w:bCs/>
      <w:color w:val="1F4E7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 · Estrategia de pruebas – HU-410</dc:title>
  <dc:creator>Belly Espinal</dc:creator>
  <cp:lastModifiedBy>Belly Espinal</cp:lastModifiedBy>
  <cp:revision>2</cp:revision>
  <dcterms:created xsi:type="dcterms:W3CDTF">2026-10-20T00:44:00Z</dcterms:created>
  <dcterms:modified xsi:type="dcterms:W3CDTF">2026-10-20T01:00:00Z</dcterms:modified>
</cp:coreProperties>
</file>