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B270B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sz w:val="24"/>
          <w:szCs w:val="24"/>
        </w:rPr>
        <w:t>UNIVERSITÄTSKLINIKUM MÜNCHEN</w:t>
      </w:r>
    </w:p>
    <w:p w14:paraId="381DCEC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Klinik für Gastroenterologie, Hepatologie und Gastroenterologische Onkologie</w:t>
      </w:r>
    </w:p>
    <w:p w14:paraId="54370BC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Marchioninistraße 15, 81377 München • Tel: (089) 4400-0</w:t>
      </w:r>
    </w:p>
    <w:p w14:paraId="132A77B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ENTLASSUNGSBERICHT / ÄRZTLICHER ENTLASSUNGSBRIEF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4"/>
        <w:gridCol w:w="2187"/>
        <w:gridCol w:w="2154"/>
        <w:gridCol w:w="2026"/>
      </w:tblGrid>
      <w:tr w14:paraId="0AD3A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BC6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Style w:val="7"/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Patienten-Metadaten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DEF5A">
            <w:pPr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1D8CC">
            <w:pPr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560D8">
            <w:pPr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</w:tc>
      </w:tr>
      <w:tr w14:paraId="01C3C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AF8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Name, Vorname: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FEE5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WEBER, KLAUS-PETER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3876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Fallnummer / Station: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550D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902184-26 / Station 4B</w:t>
            </w:r>
          </w:p>
        </w:tc>
      </w:tr>
      <w:tr w14:paraId="16E45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9202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Geburtsdatum: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A95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12.03.1965 (61 J., 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4F0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Aufnahme / Entlassung: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B438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28.07.2026 – 03.08.2026</w:t>
            </w:r>
          </w:p>
        </w:tc>
      </w:tr>
      <w:tr w14:paraId="0B8BE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4BF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Behandelnder Arzt: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E2FB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Prof. Dr. med. Stefan Lindner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F9F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Bevorzugte Sprache: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1695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Deutsch</w:t>
            </w:r>
          </w:p>
        </w:tc>
      </w:tr>
    </w:tbl>
    <w:p w14:paraId="18A021C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DIAGNOSEN</w:t>
      </w:r>
    </w:p>
    <w:p w14:paraId="49891A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3CACFF2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Hauptdiagnose:</w:t>
      </w:r>
    </w:p>
    <w:p w14:paraId="6F56BC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313687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7D22B45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Akute ulzerative Kolitis (Erstmanifestation, mäßiggradig bis schwer)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[ICD-10: K51.0]</w:t>
      </w:r>
    </w:p>
    <w:p w14:paraId="629F87D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5EFC688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1" w:line="17" w:lineRule="atLeast"/>
        <w:ind w:left="4326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1183A3A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216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Pankolitis mit hoher endoskopischer Aktivität (Endoskopischer Mayo-Score: Grade 3).</w:t>
      </w:r>
    </w:p>
    <w:p w14:paraId="2055402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1" w:line="17" w:lineRule="atLeast"/>
        <w:ind w:left="4326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43B459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7F374E8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Nebendiagnosen:</w:t>
      </w:r>
    </w:p>
    <w:p w14:paraId="31C48C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2BED09F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1504371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Sekundäre hyperchrome mikrozytäre Anämie bei chronischer Entzündung/Blutverlust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[ICD-10: D63.0]</w:t>
      </w:r>
    </w:p>
    <w:p w14:paraId="305ADFB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3108F3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1E8DD6B4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Hypokaliämie bei Diarrhö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[ICD-10: E87.6]</w:t>
      </w:r>
    </w:p>
    <w:p w14:paraId="4DF9C7A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0CACEC3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38E614E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Arterielle Hypertonie (Grad 2)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[ICD-10: I10.9]</w:t>
      </w:r>
    </w:p>
    <w:p w14:paraId="69AF7C9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15CEAB3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KLINISCHER VERLAUF &amp; ANAMNESE</w:t>
      </w:r>
    </w:p>
    <w:p w14:paraId="2C069E6C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sz w:val="24"/>
          <w:szCs w:val="24"/>
        </w:rPr>
        <w:t xml:space="preserve">Der 61-jährige Patient stellte sich über die Notaufnahme mit seit drei Wochen anhaltenden, krampfartigen Abdominalschmerzen im linken Unterbauch, schmerzhaften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Tenesmen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sowie rezidivierenden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blutig-schleimigen Diarrhöen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(bis zu 10–12 Stuhlentleerungen/24h) vor. Initial zeigten sich eine deutliche entzündliche Aktivität mit einem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C-reaktiven Protein (CRP)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von 84,2 mg/l, einer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Leukozytose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von 15,8 G/l sowie einem exzessiv erhöhten fäkalen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Calprotectin-Wert (&gt; 1200 µg/g)</w:t>
      </w:r>
      <w:r>
        <w:rPr>
          <w:rFonts w:hint="default" w:ascii="Century Gothic" w:hAnsi="Century Gothic" w:eastAsia="sans-serif" w:cs="Century Gothic"/>
          <w:sz w:val="24"/>
          <w:szCs w:val="24"/>
        </w:rPr>
        <w:t>.</w:t>
      </w:r>
    </w:p>
    <w:p w14:paraId="71FC380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sz w:val="24"/>
          <w:szCs w:val="24"/>
        </w:rPr>
        <w:t xml:space="preserve">In der notfallmäßig durchgeführten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Ileo-Koloskopie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zeigten sich kontinuierliche, kontaktvalide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Schleimhautulzerationen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, fibrinbelegte Erosionsfelder und der Verlust der Gefäßzeichnung vom Rektum bis zum Zökum (Pankolitis). Histologische Biopsien bestätigten das Bild einer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Floriden ulzerativen Kolitis</w:t>
      </w:r>
      <w:r>
        <w:rPr>
          <w:rFonts w:hint="default" w:ascii="Century Gothic" w:hAnsi="Century Gothic" w:eastAsia="sans-serif" w:cs="Century Gothic"/>
          <w:sz w:val="24"/>
          <w:szCs w:val="24"/>
        </w:rPr>
        <w:t>.</w:t>
      </w:r>
    </w:p>
    <w:p w14:paraId="025D3F6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sz w:val="24"/>
          <w:szCs w:val="24"/>
        </w:rPr>
        <w:t xml:space="preserve">Unter i.v.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Glukokortikoidstoßtherapie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(Methylprednisolon 60 mg/d i.v.) zeigte sich nach 72 Stunden ein unzureichendes Ansprechen (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Steroidrefraktarität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). Nach Ausschluss einer opportunistischen Infektion (CMV-PCR negativ, QuantiFERON-TB-Test negativ) leiteten wir eine biologische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Induktionstherapie mit Infliximab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(5 mg/kg KG i.v. an Tag 0) ein. Darunter kam es zu einer raschen klinischen Rekonvaleszenz mit Rückgang der Stuhlfrequenz auf 2–3 geformte Stühle pro Tag ohne sichtbare Hämatochezie. Bei Aufnahme-Hb von 8,1 g/dl erfolgte eine orale Eisen-Substitution (Ferro Sanol). Der Patient wird in stabilem Allgemeinzustand in die ambulante fachärztliche Betreuung entlassen.</w:t>
      </w:r>
    </w:p>
    <w:p w14:paraId="5890C0F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ENTLASSUNGSMEDIKATION &amp; DOSIERUNGSSCHEMA</w:t>
      </w:r>
    </w:p>
    <w:p w14:paraId="24D119E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Hinweis zur Dosierung in Deutschland: Angaben im Format [Morgen - Mittag - Abend - Nacht]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4"/>
        <w:gridCol w:w="1815"/>
        <w:gridCol w:w="1520"/>
        <w:gridCol w:w="2048"/>
        <w:gridCol w:w="1874"/>
      </w:tblGrid>
      <w:tr w14:paraId="6E4A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568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Style w:val="7"/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Medikament &amp; Wirkstoff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D707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Style w:val="7"/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Einnahmeschema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7A0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Style w:val="7"/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Darreichung &amp; Route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0E7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Style w:val="7"/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Indikation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641D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Style w:val="7"/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Besondere Einnahmehinweise</w:t>
            </w:r>
          </w:p>
        </w:tc>
      </w:tr>
      <w:tr w14:paraId="0B0B9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79F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sz w:val="24"/>
                <w:szCs w:val="24"/>
                <w:bdr w:val="none" w:color="auto" w:sz="0" w:space="0"/>
              </w:rPr>
              <w:t>DECORTIN H</w:t>
            </w:r>
          </w:p>
          <w:p w14:paraId="34E64C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  <w:p w14:paraId="288395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i/>
                <w:iCs/>
                <w:sz w:val="24"/>
                <w:szCs w:val="24"/>
                <w:bdr w:val="none" w:color="auto" w:sz="0" w:space="0"/>
              </w:rPr>
              <w:t>(Prednisolon)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F3EA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 mg – 0 – 0 – 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8802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Tablette p.o.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6355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Steroid-Ausschleichtherapie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128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Morgens mit dem Frühstück einnehmen.</w:t>
            </w: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Wöchentlich um 5 mg reduzieren nach Absprechschema!</w:t>
            </w:r>
          </w:p>
        </w:tc>
      </w:tr>
      <w:tr w14:paraId="34B6A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638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sz w:val="24"/>
                <w:szCs w:val="24"/>
                <w:bdr w:val="none" w:color="auto" w:sz="0" w:space="0"/>
              </w:rPr>
              <w:t>PENTASA XTREME</w:t>
            </w:r>
          </w:p>
          <w:p w14:paraId="06176A0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  <w:p w14:paraId="60A1E5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i/>
                <w:iCs/>
                <w:sz w:val="24"/>
                <w:szCs w:val="24"/>
                <w:bdr w:val="none" w:color="auto" w:sz="0" w:space="0"/>
              </w:rPr>
              <w:t>(Mesalazin)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E18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– 0 – 1 – 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520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Granulat 2g p.o.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B32D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Entzündungshemmer / 5-ASA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2F4A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Unzerkaut mit reichlich Flüssigkeit einnehmen. Dauertherapie!</w:t>
            </w:r>
          </w:p>
        </w:tc>
      </w:tr>
      <w:tr w14:paraId="6F9A5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8A2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sz w:val="24"/>
                <w:szCs w:val="24"/>
                <w:bdr w:val="none" w:color="auto" w:sz="0" w:space="0"/>
              </w:rPr>
              <w:t>PENTASA KLYSMA</w:t>
            </w:r>
          </w:p>
          <w:p w14:paraId="46D836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  <w:p w14:paraId="10DFA8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i/>
                <w:iCs/>
                <w:sz w:val="24"/>
                <w:szCs w:val="24"/>
                <w:bdr w:val="none" w:color="auto" w:sz="0" w:space="0"/>
              </w:rPr>
              <w:t>(Mesalazin)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73D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– 0 – 0 – 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2D4E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Klysma 1g/100ml rect.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2FBD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Lokale Rektumtherapie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4780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Abends vor dem Schlafengehen rektal anwenden und möglichst lange einhalten.</w:t>
            </w:r>
          </w:p>
        </w:tc>
      </w:tr>
      <w:tr w14:paraId="1923E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B6F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sz w:val="24"/>
                <w:szCs w:val="24"/>
                <w:bdr w:val="none" w:color="auto" w:sz="0" w:space="0"/>
              </w:rPr>
              <w:t>FERRO SANOL DUODENAL</w:t>
            </w:r>
          </w:p>
          <w:p w14:paraId="4855092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  <w:p w14:paraId="69C50D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i/>
                <w:iCs/>
                <w:sz w:val="24"/>
                <w:szCs w:val="24"/>
                <w:bdr w:val="none" w:color="auto" w:sz="0" w:space="0"/>
              </w:rPr>
              <w:t>(Eisen(II)-glycin-sulfat)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EA63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– 0 – 0 – 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40B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Kapsel 100mg p.o.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F854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Anämie / Eisensubstitution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F50E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Std. vor dem Frühstück mit Orangensaft einnehmen.</w:t>
            </w: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Nicht zusammen mit Milch/Kaffee.</w:t>
            </w:r>
          </w:p>
        </w:tc>
      </w:tr>
      <w:tr w14:paraId="48B2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FF0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sz w:val="24"/>
                <w:szCs w:val="24"/>
                <w:bdr w:val="none" w:color="auto" w:sz="0" w:space="0"/>
              </w:rPr>
              <w:t>PANTO PRAZOL</w:t>
            </w:r>
          </w:p>
          <w:p w14:paraId="429A9D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  <w:p w14:paraId="5AAB12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i/>
                <w:iCs/>
                <w:sz w:val="24"/>
                <w:szCs w:val="24"/>
                <w:bdr w:val="none" w:color="auto" w:sz="0" w:space="0"/>
              </w:rPr>
              <w:t>(Pantoprazol)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CCE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– 0 – 0 – 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599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Magensaftres. Tab. 20mg p.o.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0A5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Magenschutz (PPI)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F38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Morgens 30 Minuten vor dem Frühstück einnehmen (Protektion unter Steroidtherapie).</w:t>
            </w:r>
          </w:p>
        </w:tc>
      </w:tr>
      <w:tr w14:paraId="3BB33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E13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sz w:val="24"/>
                <w:szCs w:val="24"/>
                <w:bdr w:val="none" w:color="auto" w:sz="0" w:space="0"/>
              </w:rPr>
              <w:t>RAMIPRIL</w:t>
            </w:r>
          </w:p>
          <w:p w14:paraId="66449E6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</w:p>
          <w:p w14:paraId="5D1640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i/>
                <w:iCs/>
                <w:sz w:val="24"/>
                <w:szCs w:val="24"/>
                <w:bdr w:val="none" w:color="auto" w:sz="0" w:space="0"/>
              </w:rPr>
              <w:t>(Ramipril)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969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– 0 – 0 – 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06F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Tablette 5mg p.o.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FF2A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Blutdruckeinstellung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4FFC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Century Gothic" w:hAnsi="Century Gothic" w:eastAsia="sans-serif" w:cs="Century Gothic"/>
                <w:sz w:val="24"/>
                <w:szCs w:val="24"/>
              </w:rPr>
            </w:pPr>
            <w:r>
              <w:rPr>
                <w:rFonts w:hint="default" w:ascii="Century Gothic" w:hAnsi="Century Gothic" w:eastAsia="sans-serif" w:cs="Century Gothic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Unverändert weiter einnehmen. Regelmäßige Blutdruckkontrolle.</w:t>
            </w:r>
          </w:p>
        </w:tc>
      </w:tr>
    </w:tbl>
    <w:p w14:paraId="136F461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⚠️ WARNSIGNALE — WANN SIE SOFORT EINEN ARZT AUFSUCHEN MÜSSEN</w:t>
      </w:r>
    </w:p>
    <w:p w14:paraId="6B3E10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6EE440AE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Fieber &amp; Systemzeichen: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Körpertemperatur &gt; 38,5 °C, Schüttelfrost oder starker Schwindel.</w:t>
      </w:r>
    </w:p>
    <w:p w14:paraId="498377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63E8BF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5DE4B6D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Akuter Schubsymptom-Rückfall: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Zunahme der Stuhlfrequenz auf &gt; 6 blutige Diarrhöen innerhalb von 24 Stunden.</w:t>
      </w:r>
    </w:p>
    <w:p w14:paraId="1C2EDE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6B0BC0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49A9C57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Abdominale Notfälle: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Plötzliche, zunnehmende, brettarte Bauchkrampfschmerzen oder extremer Blähbauch (Verdacht auf </w:t>
      </w: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Toxisches Megakolon</w:t>
      </w:r>
      <w:r>
        <w:rPr>
          <w:rFonts w:hint="default" w:ascii="Century Gothic" w:hAnsi="Century Gothic" w:eastAsia="sans-serif" w:cs="Century Gothic"/>
          <w:sz w:val="24"/>
          <w:szCs w:val="24"/>
        </w:rPr>
        <w:t>).</w:t>
      </w:r>
    </w:p>
    <w:p w14:paraId="37D641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26C553F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AMBULANTE WEITERBEHANDLUNG &amp; LABORANORDNUNGEN</w:t>
      </w:r>
    </w:p>
    <w:p w14:paraId="307F58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7419B56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Infliximab-Folgeinfusionen (Tagesklinik Gastroenterologie):</w:t>
      </w:r>
    </w:p>
    <w:p w14:paraId="5B5298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4954ECC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3A7440B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2. Dosis (Woche 2):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18.08.2026 um 08:30 Uhr</w:t>
      </w:r>
    </w:p>
    <w:p w14:paraId="49CCCCA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515DA44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332D3C0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3. Dosis (Woche 6):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15.09.2026 um 08:30 Uhr</w:t>
      </w:r>
    </w:p>
    <w:p w14:paraId="0142CDA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13C55E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2D73987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Kontrolltermine &amp; Labor beim Hausarzt / Niedergelassenen Gastroenterologen:</w:t>
      </w:r>
    </w:p>
    <w:p w14:paraId="372F92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18E60B1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76C88AFB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Blutbild- &amp; Elektrolytkontrolle (K+, Na+, CRP, Hb, Kreatinin):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In 5 Tagen am </w:t>
      </w: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08.08.2026</w:t>
      </w:r>
      <w:r>
        <w:rPr>
          <w:rFonts w:hint="default" w:ascii="Century Gothic" w:hAnsi="Century Gothic" w:eastAsia="sans-serif" w:cs="Century Gothic"/>
          <w:sz w:val="24"/>
          <w:szCs w:val="24"/>
        </w:rPr>
        <w:t>.</w:t>
      </w:r>
    </w:p>
    <w:p w14:paraId="73EBCA2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215C100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0033565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Fäkales Calprotectin: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Verlaufskontrolle in 6 Wochen zur Beurteilung der Schleimhautheilung (</w:t>
      </w: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Mucosal Healing</w:t>
      </w:r>
      <w:r>
        <w:rPr>
          <w:rFonts w:hint="default" w:ascii="Century Gothic" w:hAnsi="Century Gothic" w:eastAsia="sans-serif" w:cs="Century Gothic"/>
          <w:sz w:val="24"/>
          <w:szCs w:val="24"/>
        </w:rPr>
        <w:t>).</w:t>
      </w:r>
    </w:p>
    <w:p w14:paraId="5E1E654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7" w:lineRule="atLeast"/>
        <w:ind w:left="2882" w:hanging="360"/>
        <w:rPr>
          <w:rFonts w:hint="default" w:ascii="Century Gothic" w:hAnsi="Century Gothic" w:eastAsia="sans-serif" w:cs="Century Gothic"/>
          <w:sz w:val="24"/>
          <w:szCs w:val="24"/>
        </w:rPr>
      </w:pPr>
    </w:p>
    <w:p w14:paraId="519BD40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Elektronisch signiert am 03.08.2026 um 11:40 Uhr</w:t>
      </w:r>
    </w:p>
    <w:p w14:paraId="74A233DE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Prof. Dr. med. Stefan Lindner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</w:t>
      </w: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(Chefarzt Gastroenterologie • NPI/LANR: 839201948)</w:t>
      </w:r>
      <w:bookmarkStart w:id="0" w:name="_GoBack"/>
      <w:bookmarkEnd w:id="0"/>
    </w:p>
    <w:p w14:paraId="4665A2A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entury Gothic" w:hAnsi="Century Gothic" w:eastAsia="sans-serif" w:cs="Century Gothic"/>
          <w:sz w:val="24"/>
          <w:szCs w:val="24"/>
        </w:rPr>
      </w:pPr>
      <w:r>
        <w:rPr>
          <w:rFonts w:hint="default" w:ascii="Century Gothic" w:hAnsi="Century Gothic" w:eastAsia="sans-serif" w:cs="Century Gothic"/>
          <w:b/>
          <w:bCs/>
          <w:sz w:val="24"/>
          <w:szCs w:val="24"/>
        </w:rPr>
        <w:t>Dr. med. Christina Weber</w:t>
      </w:r>
      <w:r>
        <w:rPr>
          <w:rFonts w:hint="default" w:ascii="Century Gothic" w:hAnsi="Century Gothic" w:eastAsia="sans-serif" w:cs="Century Gothic"/>
          <w:sz w:val="24"/>
          <w:szCs w:val="24"/>
        </w:rPr>
        <w:t xml:space="preserve"> </w:t>
      </w:r>
      <w:r>
        <w:rPr>
          <w:rFonts w:hint="default" w:ascii="Century Gothic" w:hAnsi="Century Gothic" w:eastAsia="sans-serif" w:cs="Century Gothic"/>
          <w:i/>
          <w:iCs/>
          <w:sz w:val="24"/>
          <w:szCs w:val="24"/>
        </w:rPr>
        <w:t>(Assistenzärztin)</w:t>
      </w:r>
    </w:p>
    <w:p w14:paraId="59944CE1">
      <w:pPr>
        <w:rPr>
          <w:rFonts w:hint="default" w:ascii="Century Gothic" w:hAnsi="Century Gothic" w:cs="Century Gothic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DEE1D"/>
    <w:multiLevelType w:val="multilevel"/>
    <w:tmpl w:val="936DE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D1E4B4"/>
    <w:multiLevelType w:val="multilevel"/>
    <w:tmpl w:val="95D1E4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817AFFC"/>
    <w:multiLevelType w:val="multilevel"/>
    <w:tmpl w:val="7817A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62DC4"/>
    <w:rsid w:val="4576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2026-08-03T04:23:00Z</dcterms:created>
  <dc:creator>Owen Ochieng</dc:creator>
  <cp:lastModifiedBy>Owen Ochieng</cp:lastModifiedBy>
  <dcterms:modified xsi:type="dcterms:W3CDTF">2026-08-03T04:25:12Z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4DC4EEBE36A44CE1B2CD5843BE9C1A59_11</vt:lpwstr>
  </property>
</Properties>
</file>