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ClaimTrace — Design Thinking: Searching Engine and Verify Function</w:t>
      </w:r>
    </w:p>
    <w:p>
      <w:r>
        <w:rPr>
          <w:b/>
        </w:rPr>
        <w:t>Group 18 · 41129 Software Innovation Studio · UTS · 15 October 2026</w:t>
      </w:r>
    </w:p>
    <w:p>
      <w:r>
        <w:t>This document applies the six-step design thinking process to the two Engine subsystems only: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Subsystem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The question it answers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Code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Searching engine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Does the cited work exist in the publication record — and does the manuscript describe it correctly?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engine/engine/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reference_text.py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openalex_lookup.py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crossref_lookup.py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metadata_lookup.py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identity.py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title_matching.py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Verify function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Does the cited source actually say what the sentence claims?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engine/engine/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source_resolver.py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retriever.py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embedder.py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verifier.py</w:t>
            </w:r>
          </w:p>
        </w:tc>
      </w:tr>
    </w:tbl>
    <w:p>
      <w:pPr>
        <w:spacing w:after="80"/>
      </w:pPr>
    </w:p>
    <w:p>
      <w:r>
        <w:t xml:space="preserve">The whole-product design thinking is in </w:t>
      </w:r>
      <w:r>
        <w:rPr>
          <w:rFonts w:ascii="Consolas" w:hAnsi="Consolas"/>
          <w:sz w:val="19"/>
        </w:rPr>
        <w:t>ClaimTrace-Design-Thinking.md</w:t>
      </w:r>
      <w:r>
        <w:t>. This is the engineering-level</w:t>
      </w:r>
    </w:p>
    <w:p>
      <w:r>
        <w:t>pass on the two parts the Engine group owns: what each was designed against, what was tried and</w:t>
      </w:r>
    </w:p>
    <w:p>
      <w:r>
        <w:t>rejected, what exists today, what the tests measured, and what is still open.</w:t>
      </w: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1. Empathise</w:t>
      </w:r>
    </w:p>
    <w:p>
      <w:pPr>
        <w:pStyle w:val="Heading3"/>
      </w:pPr>
      <w:r>
        <w:t>The moment each subsystem exists for</w:t>
      </w:r>
    </w:p>
    <w:p>
      <w:r>
        <w:rPr>
          <w:b/>
        </w:rPr>
        <w:t>Searching engine.</w:t>
      </w:r>
      <w:r>
        <w:t xml:space="preserve"> A supervisor has thirty minutes and an eight-page draft. They are not going to</w:t>
      </w:r>
    </w:p>
    <w:p>
      <w:r>
        <w:t>find thirty PDFs; they are going to look at the reference list and ask, per entry, *is this real, and</w:t>
      </w:r>
    </w:p>
    <w:p>
      <w:r>
        <w:t>is this entry describing it correctly?* That is the moment the audit serves.</w:t>
      </w:r>
    </w:p>
    <w:p>
      <w:r>
        <w:t>But the literature review turned up a sharper, less comfortable requirement. Academia already knows</w:t>
      </w:r>
    </w:p>
    <w:p>
      <w:r>
        <w:t>citations are wrong — 16.9% of quotations, 8.0% seriously so, across 46 studies and ~32,074</w:t>
      </w:r>
    </w:p>
    <w:p>
      <w:r>
        <w:t>quotations, flat for forty years. What the design had to answer was not "how do we find errors" but</w:t>
      </w:r>
    </w:p>
    <w:p>
      <w:r>
        <w:rPr>
          <w:b/>
        </w:rPr>
        <w:t>"what happens when we are the ones who are wrong."</w:t>
      </w:r>
      <w:r>
        <w:t xml:space="preserve"> Telling a researcher that a colleague's</w:t>
      </w:r>
    </w:p>
    <w:p>
      <w:r>
        <w:t xml:space="preserve">reference </w:t>
      </w:r>
      <w:r>
        <w:rPr>
          <w:i/>
        </w:rPr>
        <w:t>does not exist</w:t>
      </w:r>
      <w:r>
        <w:t xml:space="preserve"> when the truth is that our lookup was throttled is not a neutral error —</w:t>
      </w:r>
    </w:p>
    <w:p>
      <w:r>
        <w:t>it is the seed of a false accusation, and it is unrecoverable in a way that a missed error is not.</w:t>
      </w:r>
    </w:p>
    <w:p>
      <w:r>
        <w:t>An earlier version of the product had exactly this failure shape available to it. The five-state</w:t>
      </w:r>
    </w:p>
    <w:p>
      <w:r>
        <w:t>audit contract exists to make it impossible.</w:t>
      </w:r>
    </w:p>
    <w:p>
      <w:r>
        <w:rPr>
          <w:b/>
        </w:rPr>
        <w:t>Verify.</w:t>
      </w:r>
      <w:r>
        <w:t xml:space="preserve"> The 2 a.m. moment: the sentence is written, the citation is attached, and the doubt is</w:t>
      </w:r>
    </w:p>
    <w:p>
      <w:r>
        <w:rPr>
          <w:i/>
        </w:rPr>
        <w:t>does that paper actually say this?</w:t>
      </w:r>
      <w:r>
        <w:t xml:space="preserve"> Every persona in the user research asks for the same thing at</w:t>
      </w:r>
    </w:p>
    <w:p>
      <w:r>
        <w:t xml:space="preserve">this moment — not a label, but </w:t>
      </w:r>
      <w:r>
        <w:rPr>
          <w:b/>
        </w:rPr>
        <w:t>the passage</w:t>
      </w:r>
      <w:r>
        <w:t>. The primary persona (an anxious first author who</w:t>
      </w:r>
    </w:p>
    <w:p>
      <w:r>
        <w:t>does not trust citations they did not write) and the secondary persona (a PI who wants to give</w:t>
      </w:r>
    </w:p>
    <w:p>
      <w:r>
        <w:t>specific feedback) both converge on it, and the long-term reviewer persona wants claim and passage</w:t>
      </w:r>
    </w:p>
    <w:p>
      <w:r>
        <w:t>side by side for the same reason: a reviewer who cannot quote the source cannot put the concern in</w:t>
      </w:r>
    </w:p>
    <w:p>
      <w:r>
        <w:t>a review.</w:t>
      </w:r>
    </w:p>
    <w:p>
      <w:r>
        <w:t>That convergence became the shared insight the whole product is designed around: **show the source</w:t>
      </w:r>
    </w:p>
    <w:p>
      <w:r>
        <w:t>evidence, not the conclusion.** For the Verify function it is a hard requirement, not a style</w:t>
      </w:r>
    </w:p>
    <w:p>
      <w:r>
        <w:t>choice: a verdict without the passage it came from is exactly the AI conclusion the personas said</w:t>
      </w:r>
    </w:p>
    <w:p>
      <w:r>
        <w:t>they do not trust.</w:t>
      </w:r>
    </w:p>
    <w:p>
      <w:pPr>
        <w:pStyle w:val="Heading3"/>
      </w:pPr>
      <w:r>
        <w:t>The component as a user</w:t>
      </w:r>
    </w:p>
    <w:p>
      <w:r>
        <w:t>Both subsystems are also consumers of other people's outputs, and their interfaces are consumed by</w:t>
      </w:r>
    </w:p>
    <w:p>
      <w:r>
        <w:t>other groups. A design that only considers the end user forgets that an enum is a promise.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Consumer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What it does with the output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What the design therefore owes it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Backend audit path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Persists each reference's state and its lookup attempts; its own validator rejects </w:t>
            </w:r>
            <w:r>
              <w:rPr>
                <w:rFonts w:ascii="Consolas" w:hAnsi="Consolas"/>
                <w:sz w:val="19"/>
              </w:rPr>
              <w:t>not_found</w:t>
            </w:r>
            <w:r>
              <w:rPr>
                <w:sz w:val="20"/>
              </w:rPr>
              <w:t xml:space="preserve"> unless every attempt is itself </w:t>
            </w:r>
            <w:r>
              <w:rPr>
                <w:rFonts w:ascii="Consolas" w:hAnsi="Consolas"/>
                <w:sz w:val="19"/>
              </w:rPr>
              <w:t>not_found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engine's rule must be the same rule, applied where the attempts are made — not a second, weaker copy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Backend Verify path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Maps the verdict onto </w:t>
            </w:r>
            <w:r>
              <w:rPr>
                <w:rFonts w:ascii="Consolas" w:hAnsi="Consolas"/>
                <w:sz w:val="19"/>
              </w:rPr>
              <w:t>VerdictEnum</w:t>
            </w:r>
            <w:r>
              <w:rPr>
                <w:sz w:val="20"/>
              </w:rPr>
              <w:t>; returns non-judged outcomes as HTTP 200 with a null judgement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verdict set is closed; "not judged" must never arrive dressed as a verdict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Dashboard (</w:t>
            </w:r>
            <w:r>
              <w:rPr>
                <w:rFonts w:ascii="Consolas" w:hAnsi="Consolas"/>
                <w:sz w:val="19"/>
              </w:rPr>
              <w:t>VerdictBadge.tsx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9"/>
              </w:rPr>
              <w:t>types/api.ts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Indexes a label map with no runtime guard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A fifth verdict would render </w:t>
            </w:r>
            <w:r>
              <w:rPr>
                <w:rFonts w:ascii="Consolas" w:hAnsi="Consolas"/>
                <w:sz w:val="19"/>
              </w:rPr>
              <w:t>undefined</w:t>
            </w:r>
            <w:r>
              <w:rPr>
                <w:sz w:val="20"/>
              </w:rPr>
              <w:t xml:space="preserve"> and a bogus CSS class — silently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Extension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Renders the hover card from the same payload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Evidence has to be in the payload, not fetched later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Parser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Supplies the passages and the reference text that both subsystems consume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The engine may depend on the parser's </w:t>
            </w:r>
            <w:r>
              <w:rPr>
                <w:i/>
                <w:sz w:val="20"/>
              </w:rPr>
              <w:t>output</w:t>
            </w:r>
            <w:r>
              <w:rPr>
                <w:sz w:val="20"/>
              </w:rPr>
              <w:t>, never on its package</w:t>
            </w:r>
          </w:p>
        </w:tc>
      </w:tr>
    </w:tbl>
    <w:p>
      <w:pPr>
        <w:spacing w:after="80"/>
      </w:pPr>
    </w:p>
    <w:p>
      <w:pPr>
        <w:pStyle w:val="Heading3"/>
      </w:pPr>
      <w:r>
        <w:t>An honest note on method</w:t>
      </w:r>
    </w:p>
    <w:p>
      <w:r>
        <w:t xml:space="preserve">The personas are </w:t>
      </w:r>
      <w:r>
        <w:rPr>
          <w:b/>
        </w:rPr>
        <w:t>synthesised</w:t>
      </w:r>
      <w:r>
        <w:t xml:space="preserve"> — from the published literature and from the team's own experience</w:t>
      </w:r>
    </w:p>
    <w:p>
      <w:r>
        <w:t xml:space="preserve">as researchers. </w:t>
      </w:r>
      <w:r>
        <w:rPr>
          <w:rFonts w:ascii="Consolas" w:hAnsi="Consolas"/>
          <w:sz w:val="19"/>
        </w:rPr>
        <w:t>docs/team.md</w:t>
      </w:r>
      <w:r>
        <w:t xml:space="preserve"> records that the interview round with five external researchers is</w:t>
      </w:r>
    </w:p>
    <w:p>
      <w:r>
        <w:t>planned and has not been run. Everything in this section is a hypothesis with a stated origin; the</w:t>
      </w:r>
    </w:p>
    <w:p>
      <w:r>
        <w:t>interview round is the first open item in Section 6, and it is the same open item the whole-product</w:t>
      </w:r>
    </w:p>
    <w:p>
      <w:r>
        <w:t>document carries.</w:t>
      </w: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2. Define</w:t>
      </w:r>
    </w:p>
    <w:p>
      <w:pPr>
        <w:pStyle w:val="Heading3"/>
      </w:pPr>
      <w:r>
        <w:t>The two problems, stated precisely</w:t>
      </w:r>
    </w:p>
    <w:p>
      <w:r>
        <w:rPr>
          <w:b/>
        </w:rPr>
        <w:t>Searching engine.</w:t>
      </w:r>
      <w:r>
        <w:t xml:space="preserve"> Given one reference as it actually appears in a manuscript — a human-formatted</w:t>
      </w:r>
    </w:p>
    <w:p>
      <w:r>
        <w:t>string from a PDF or a BibTeX entry, with no guaranteed structured fields — decide whether that work</w:t>
      </w:r>
    </w:p>
    <w:p>
      <w:r>
        <w:t>exists in the public record and whether the manuscript's metadata agrees with it; and when the answer</w:t>
      </w:r>
    </w:p>
    <w:p>
      <w:r>
        <w:t xml:space="preserve">is not a clean yes or no, say </w:t>
      </w:r>
      <w:r>
        <w:rPr>
          <w:b/>
        </w:rPr>
        <w:t>which kind of no it is</w:t>
      </w:r>
      <w:r>
        <w:t>.</w:t>
      </w:r>
    </w:p>
    <w:p>
      <w:r>
        <w:rPr>
          <w:b/>
        </w:rPr>
        <w:t>Verify function.</w:t>
      </w:r>
      <w:r>
        <w:t xml:space="preserve"> Given a claim and the source it cites, decide whether the source supports the</w:t>
      </w:r>
    </w:p>
    <w:p>
      <w:r>
        <w:t>claim, and show the passage the decision rests on — or report, explicitly and visibly, that the</w:t>
      </w:r>
    </w:p>
    <w:p>
      <w:r>
        <w:t>comparison could not be made.</w:t>
      </w:r>
    </w:p>
    <w:p>
      <w:pPr>
        <w:pStyle w:val="Heading3"/>
      </w:pPr>
      <w:r>
        <w:t>Design constraints — the rules that bound both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Where it comes from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What it forbids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A failed check is never a negative finding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false-accusation asymmetry above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NOT_FOUND</w:t>
            </w:r>
            <w:r>
              <w:rPr>
                <w:sz w:val="20"/>
              </w:rPr>
              <w:t xml:space="preserve"> may only mean "searched, completed, found nothing"; a throttle is </w:t>
            </w:r>
            <w:r>
              <w:rPr>
                <w:rFonts w:ascii="Consolas" w:hAnsi="Consolas"/>
                <w:sz w:val="19"/>
              </w:rPr>
              <w:t>LOOKUP_FAILED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The identity decision is structural, never a weighted score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A live provider query returns records </w:t>
            </w:r>
            <w:r>
              <w:rPr>
                <w:i/>
                <w:sz w:val="20"/>
              </w:rPr>
              <w:t>built to look like</w:t>
            </w:r>
            <w:r>
              <w:rPr>
                <w:sz w:val="20"/>
              </w:rPr>
              <w:t xml:space="preserve"> the cited work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Any rule that a copy can satisfy — similarity above a threshold, a score sum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A verdict exists only when the model actually judged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closed verdict set with three external consumers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A fifth verdict; a default label; </w:t>
            </w:r>
            <w:r>
              <w:rPr>
                <w:rFonts w:ascii="Consolas" w:hAnsi="Consolas"/>
                <w:sz w:val="19"/>
              </w:rPr>
              <w:t>NOT_FOUND</w:t>
            </w:r>
            <w:r>
              <w:rPr>
                <w:sz w:val="20"/>
              </w:rPr>
              <w:t xml:space="preserve"> used as "I could not tell"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Every result carries its evidence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personas' shared insight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 verdict without a passage; an audit state without its lookup attempts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Ambiguity goes to a person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tool is advisory, not an authority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Silently picking the better-ranked of two plausible records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The engine imports neither the backend nor the parser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Directory-level ownership; four groups work in four directories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Reaching across a package boundary for convenience</w:t>
            </w:r>
          </w:p>
        </w:tc>
      </w:tr>
    </w:tbl>
    <w:p>
      <w:pPr>
        <w:spacing w:after="80"/>
      </w:pPr>
    </w:p>
    <w:p>
      <w:pPr>
        <w:pStyle w:val="Heading3"/>
      </w:pPr>
      <w:r>
        <w:t>How might we…</w:t>
      </w:r>
    </w:p>
    <w:p>
      <w:pPr>
        <w:spacing w:after="80"/>
        <w:ind w:left="360"/>
      </w:pPr>
      <w:r>
        <w:t xml:space="preserve">1. Decide that a record </w:t>
      </w:r>
      <w:r>
        <w:rPr>
          <w:i/>
        </w:rPr>
        <w:t>is</w:t>
      </w:r>
      <w:r>
        <w:t xml:space="preserve"> the cited work — when a record designed to impersonate it is also</w:t>
      </w:r>
    </w:p>
    <w:p>
      <w:r>
        <w:t>returned — without a similarity score that the impersonation can satisfy?</w:t>
      </w:r>
    </w:p>
    <w:p>
      <w:pPr>
        <w:spacing w:after="80"/>
        <w:ind w:left="360"/>
      </w:pPr>
      <w:r>
        <w:t>2. Tell "it is not there" apart from "we did not manage to look", when every layer between the</w:t>
      </w:r>
    </w:p>
    <w:p>
      <w:r>
        <w:t>reference text and the provider can fail in its own way?</w:t>
      </w:r>
    </w:p>
    <w:p>
      <w:pPr>
        <w:spacing w:after="80"/>
        <w:ind w:left="360"/>
      </w:pPr>
      <w:r>
        <w:t>3. Judge a claim against a source when academic prose restates rather than repeats — the exact</w:t>
      </w:r>
    </w:p>
    <w:p>
      <w:r>
        <w:t>thing keyword search cannot see?</w:t>
      </w:r>
    </w:p>
    <w:p>
      <w:pPr>
        <w:spacing w:after="80"/>
        <w:ind w:left="360"/>
      </w:pPr>
      <w:r>
        <w:t>4. Show the evidence for a model's judgement when the model is the one component that could</w:t>
      </w:r>
    </w:p>
    <w:p>
      <w:r>
        <w:t>invent the evidence?</w:t>
      </w: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3. Ideate</w:t>
      </w:r>
    </w:p>
    <w:p>
      <w:pPr>
        <w:pStyle w:val="Heading3"/>
      </w:pPr>
      <w:r>
        <w:t>Searching engine — options considered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Option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Outcome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Scrape a citation index (the first version read Google Scholar)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Replaced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No API contract, session-based blocking, bounded retry loops. OpenAlex and Crossref are documented REST APIs, both work keyless, and OpenAlex indexes the preprints the corpus actually cites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One provider (the most authoritative)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chain is injected and ordered OpenAlex → Crossref; the second provider costs nothing when the first resolves, and covers what the first's ranking hides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Rank candidates by similarity, take the best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 live query for a well-known title returns 2025 records by an unrelated organisation carrying the real title and author list verbatim. A score can be raised by copying text; a structural filter on venue, year and type cannot be satisfied by copying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 fuzzy near-title tier with tunable thresholds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Built, measured, removed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Swept across its whole usable range it never once decided a case. A constant that nothing depends on cannot be measured, so it was deleted instead of tuned. It was replaced by a rule with no constant in it: two records that share an informative title token are </w:t>
            </w:r>
            <w:r>
              <w:rPr>
                <w:i/>
                <w:sz w:val="20"/>
              </w:rPr>
              <w:t>ambiguous</w:t>
            </w:r>
            <w:r>
              <w:rPr>
                <w:sz w:val="20"/>
              </w:rPr>
              <w:t xml:space="preserve"> — a question handed to a person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Tune </w:t>
            </w:r>
            <w:r>
              <w:rPr>
                <w:rFonts w:ascii="Consolas" w:hAnsi="Consolas"/>
                <w:sz w:val="19"/>
              </w:rPr>
              <w:t>YEAR_TOLERANCE</w:t>
            </w:r>
            <w:r>
              <w:rPr>
                <w:sz w:val="20"/>
              </w:rPr>
              <w:t xml:space="preserve"> to a "safe" middle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 — pinned from both sides instead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Measured: 0 rejects a correct record (8 of 13 cases, recall at 50%); 2 admits a superseded conference version of the same work. Only 1 does neither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Require an identifier (DOI / arXiv) before matching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 as a requirement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Only 53 of the 140 corpus references carry either. Identifiers are instead a </w:t>
            </w:r>
            <w:r>
              <w:rPr>
                <w:i/>
                <w:sz w:val="20"/>
              </w:rPr>
              <w:t>pre-pass</w:t>
            </w:r>
            <w:r>
              <w:rPr>
                <w:sz w:val="20"/>
              </w:rPr>
              <w:t xml:space="preserve"> when present: it bypasses the year veto (publishers date the same DOI differently) but not the type filter</w:t>
            </w:r>
          </w:p>
        </w:tc>
      </w:tr>
    </w:tbl>
    <w:p>
      <w:pPr>
        <w:spacing w:after="80"/>
      </w:pPr>
    </w:p>
    <w:p>
      <w:pPr>
        <w:pStyle w:val="Heading3"/>
      </w:pPr>
      <w:r>
        <w:t>Verify — options considered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Option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Outcome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Ask a model to read the whole paper and answer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Unbounded context, unverifiable output, and precisely the fabrication failure the product exists to catch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Keyword / Ctrl+F search of the source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Paraphrase is invisible to it, and paraphrase-invisibility is the failure mode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Retrieve semantically, return the label without the passage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Contradicts the shared insight, and makes the judgement unauditable by the person it is for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 fifth verdict meaning "could not judge"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Rejected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Three consumers treat the enum as closed; a fifth member fails silently in the badge and raises far from its cause in the backend. Abstention is expressed by </w:t>
            </w:r>
            <w:r>
              <w:rPr>
                <w:rFonts w:ascii="Consolas" w:hAnsi="Consolas"/>
                <w:sz w:val="19"/>
              </w:rPr>
              <w:t>VerificationStatus</w:t>
            </w:r>
            <w:r>
              <w:rPr>
                <w:sz w:val="20"/>
              </w:rPr>
              <w:t>, never by a new verdict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Report the model's self-reported confidence as a probability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Demoted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confidence</w:t>
            </w:r>
            <w:r>
              <w:rPr>
                <w:sz w:val="20"/>
              </w:rPr>
              <w:t xml:space="preserve"> is a coarse band, documented as </w:t>
            </w:r>
            <w:r>
              <w:rPr>
                <w:i/>
                <w:sz w:val="20"/>
              </w:rPr>
              <w:t>not</w:t>
            </w:r>
            <w:r>
              <w:rPr>
                <w:sz w:val="20"/>
              </w:rPr>
              <w:t xml:space="preserve"> a probability the model reported, and is </w:t>
            </w:r>
            <w:r>
              <w:rPr>
                <w:rFonts w:ascii="Consolas" w:hAnsi="Consolas"/>
                <w:sz w:val="19"/>
              </w:rPr>
              <w:t>0.0</w:t>
            </w:r>
            <w:r>
              <w:rPr>
                <w:sz w:val="20"/>
              </w:rPr>
              <w:t xml:space="preserve"> on every failure — "a failure must not imply certainty"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Two-stage retrieval (paragraph → sentence)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Chosen in the architecture, implemented, not yet wired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Paragraph-level embedding for recall, sentence-level re-ranking for precision, avoiding pure-sentence noise and pure-paragraph imprecision. </w:t>
            </w:r>
            <w:r>
              <w:rPr>
                <w:rFonts w:ascii="Consolas" w:hAnsi="Consolas"/>
                <w:sz w:val="19"/>
              </w:rPr>
              <w:t>Retriever.retrieve_with_sentences</w:t>
            </w:r>
            <w:r>
              <w:rPr>
                <w:sz w:val="20"/>
              </w:rPr>
              <w:t xml:space="preserve"> implements it and has tests; the live Verify path calls paragraph-level </w:t>
            </w:r>
            <w:r>
              <w:rPr>
                <w:rFonts w:ascii="Consolas" w:hAnsi="Consolas"/>
                <w:sz w:val="19"/>
              </w:rPr>
              <w:t>retrieve()</w:t>
            </w:r>
            <w:r>
              <w:rPr>
                <w:sz w:val="20"/>
              </w:rPr>
              <w:t>. No measurement yet says which is better — see Section 6</w:t>
            </w:r>
          </w:p>
        </w:tc>
      </w:tr>
    </w:tbl>
    <w:p>
      <w:pPr>
        <w:spacing w:after="80"/>
      </w:pPr>
    </w:p>
    <w:p>
      <w:r>
        <w:t>Both tables converged on the same two ideas from opposite directions: **decide structurally, and</w:t>
      </w:r>
    </w:p>
    <w:p>
      <w:r>
        <w:t>abstain loudly.** The searching engine refuses to score its way to an answer; the Verify function</w:t>
      </w:r>
    </w:p>
    <w:p>
      <w:r>
        <w:t>refuses to label its way out of a failure. Neither idea was copied from the other — they were</w:t>
      </w:r>
    </w:p>
    <w:p>
      <w:r>
        <w:t>reached independently, which is the strongest sign they belong to the problem rather than to our</w:t>
      </w:r>
    </w:p>
    <w:p>
      <w:r>
        <w:t>taste.</w:t>
      </w: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4. Prototype</w:t>
      </w:r>
    </w:p>
    <w:p>
      <w:pPr>
        <w:pStyle w:val="Heading3"/>
      </w:pPr>
      <w:r>
        <w:t>The searching engine, as built</w:t>
      </w:r>
    </w:p>
    <w:p>
      <w:pPr>
        <w:spacing w:after="80"/>
        <w:ind w:left="360"/>
      </w:pPr>
      <w:r>
        <w:t xml:space="preserve">1. </w:t>
      </w:r>
      <w:r>
        <w:rPr>
          <w:b/>
        </w:rPr>
        <w:t>Read the reference as a query</w:t>
      </w:r>
      <w:r>
        <w:t xml:space="preserve"> — </w:t>
      </w:r>
      <w:r>
        <w:rPr>
          <w:rFonts w:ascii="Consolas" w:hAnsi="Consolas"/>
          <w:sz w:val="19"/>
        </w:rPr>
        <w:t>reference_text.parse_reference_text</w:t>
      </w:r>
      <w:r>
        <w:t xml:space="preserve"> turns the raw entry</w:t>
      </w:r>
    </w:p>
    <w:p>
      <w:r>
        <w:t>into structured fields (title, authors, year, venue, DOI, arXiv id). The parser is deliberately</w:t>
      </w:r>
    </w:p>
    <w:p>
      <w:r>
        <w:t>conservative: it would rather return an empty field than a guessed one, because an empty field</w:t>
      </w:r>
    </w:p>
    <w:p>
      <w:r>
        <w:t>costs an abstention while a wrong field can select the wrong record.</w:t>
      </w:r>
    </w:p>
    <w:p>
      <w:pPr>
        <w:spacing w:after="80"/>
        <w:ind w:left="360"/>
      </w:pPr>
      <w:r>
        <w:t xml:space="preserve">2. </w:t>
      </w:r>
      <w:r>
        <w:rPr>
          <w:b/>
        </w:rPr>
        <w:t>Ask the providers</w:t>
      </w:r>
      <w:r>
        <w:t xml:space="preserve"> — </w:t>
      </w:r>
      <w:r>
        <w:rPr>
          <w:rFonts w:ascii="Consolas" w:hAnsi="Consolas"/>
          <w:sz w:val="19"/>
        </w:rPr>
        <w:t>openalex_lookup</w:t>
      </w:r>
      <w:r>
        <w:t xml:space="preserve"> then </w:t>
      </w:r>
      <w:r>
        <w:rPr>
          <w:rFonts w:ascii="Consolas" w:hAnsi="Consolas"/>
          <w:sz w:val="19"/>
        </w:rPr>
        <w:t>crossref_lookup</w:t>
      </w:r>
      <w:r>
        <w:t>, both keyless, both documented</w:t>
      </w:r>
    </w:p>
    <w:p>
      <w:r>
        <w:t xml:space="preserve">APIs; </w:t>
      </w:r>
      <w:r>
        <w:rPr>
          <w:rFonts w:ascii="Consolas" w:hAnsi="Consolas"/>
          <w:sz w:val="19"/>
        </w:rPr>
        <w:t>metadata_lookup.lookup_reference</w:t>
      </w:r>
      <w:r>
        <w:t xml:space="preserve"> owns the chain order and stops at the first provider</w:t>
      </w:r>
    </w:p>
    <w:p>
      <w:r>
        <w:t>that settles the identity. Each provider gets exactly one request; a provider that raises is</w:t>
      </w:r>
    </w:p>
    <w:p>
      <w:r>
        <w:t>caught rather than trusted.</w:t>
      </w:r>
    </w:p>
    <w:p>
      <w:pPr>
        <w:spacing w:after="80"/>
        <w:ind w:left="360"/>
      </w:pPr>
      <w:r>
        <w:t xml:space="preserve">3. </w:t>
      </w:r>
      <w:r>
        <w:rPr>
          <w:b/>
        </w:rPr>
        <w:t>Decide the identity</w:t>
      </w:r>
      <w:r>
        <w:t xml:space="preserve"> — </w:t>
      </w:r>
      <w:r>
        <w:rPr>
          <w:rFonts w:ascii="Consolas" w:hAnsi="Consolas"/>
          <w:sz w:val="19"/>
        </w:rPr>
        <w:t>identity.select_identity</w:t>
      </w:r>
      <w:r>
        <w:t xml:space="preserve"> runs hard tiers (identifier → exact title →</w:t>
      </w:r>
    </w:p>
    <w:p>
      <w:r>
        <w:t>title-and-year-and-venue agreement) that either settle the identity or refuse to. Records that</w:t>
      </w:r>
    </w:p>
    <w:p>
      <w:r>
        <w:t xml:space="preserve">fail a tier are </w:t>
      </w:r>
      <w:r>
        <w:rPr>
          <w:b/>
        </w:rPr>
        <w:t>reported in `rejected`</w:t>
      </w:r>
      <w:r>
        <w:t>, not silently dropped, because the records a provider</w:t>
      </w:r>
    </w:p>
    <w:p>
      <w:r>
        <w:t>did return are part of the honest evidence.</w:t>
      </w:r>
    </w:p>
    <w:p>
      <w:pPr>
        <w:spacing w:after="80"/>
        <w:ind w:left="360"/>
      </w:pPr>
      <w:r>
        <w:t xml:space="preserve">4. </w:t>
      </w:r>
      <w:r>
        <w:rPr>
          <w:b/>
        </w:rPr>
        <w:t>Report one of five states</w:t>
      </w:r>
      <w:r>
        <w:t xml:space="preserve">, with every lookup attempt preserved: </w:t>
      </w:r>
      <w:r>
        <w:rPr>
          <w:rFonts w:ascii="Consolas" w:hAnsi="Consolas"/>
          <w:sz w:val="19"/>
        </w:rPr>
        <w:t>VERIFIED</w:t>
      </w:r>
      <w:r>
        <w:t>,</w:t>
      </w:r>
    </w:p>
    <w:p>
      <w:r>
        <w:rPr>
          <w:rFonts w:ascii="Consolas" w:hAnsi="Consolas"/>
          <w:sz w:val="19"/>
        </w:rPr>
        <w:t>METADATA_MISMATCH</w:t>
      </w:r>
      <w:r>
        <w:t xml:space="preserve">, </w:t>
      </w:r>
      <w:r>
        <w:rPr>
          <w:rFonts w:ascii="Consolas" w:hAnsi="Consolas"/>
          <w:sz w:val="19"/>
        </w:rPr>
        <w:t>NEEDS_REVIEW</w:t>
      </w:r>
      <w:r>
        <w:t xml:space="preserve">, </w:t>
      </w:r>
      <w:r>
        <w:rPr>
          <w:rFonts w:ascii="Consolas" w:hAnsi="Consolas"/>
          <w:sz w:val="19"/>
        </w:rPr>
        <w:t>NOT_FOUND</w:t>
      </w:r>
      <w:r>
        <w:t xml:space="preserve">, </w:t>
      </w:r>
      <w:r>
        <w:rPr>
          <w:rFonts w:ascii="Consolas" w:hAnsi="Consolas"/>
          <w:sz w:val="19"/>
        </w:rPr>
        <w:t>LOOKUP_FAILED</w:t>
      </w:r>
      <w:r>
        <w:t>.</w:t>
      </w:r>
    </w:p>
    <w:p>
      <w:pPr>
        <w:pStyle w:val="Heading3"/>
      </w:pPr>
      <w:r>
        <w:t>The Verify function, as built</w:t>
      </w:r>
    </w:p>
    <w:p>
      <w:pPr>
        <w:spacing w:after="80"/>
        <w:ind w:left="360"/>
      </w:pPr>
      <w:r>
        <w:t xml:space="preserve">1. </w:t>
      </w:r>
      <w:r>
        <w:rPr>
          <w:b/>
        </w:rPr>
        <w:t>Resolve the source</w:t>
      </w:r>
      <w:r>
        <w:t xml:space="preserve"> — </w:t>
      </w:r>
      <w:r>
        <w:rPr>
          <w:rFonts w:ascii="Consolas" w:hAnsi="Consolas"/>
          <w:sz w:val="19"/>
        </w:rPr>
        <w:t>SourceResolver</w:t>
      </w:r>
      <w:r>
        <w:t xml:space="preserve"> takes injected </w:t>
      </w:r>
      <w:r>
        <w:rPr>
          <w:rFonts w:ascii="Consolas" w:hAnsi="Consolas"/>
          <w:sz w:val="19"/>
        </w:rPr>
        <w:t>locate</w:t>
      </w:r>
      <w:r>
        <w:t xml:space="preserve"> and </w:t>
      </w:r>
      <w:r>
        <w:rPr>
          <w:rFonts w:ascii="Consolas" w:hAnsi="Consolas"/>
          <w:sz w:val="19"/>
        </w:rPr>
        <w:t>parse</w:t>
      </w:r>
      <w:r>
        <w:t xml:space="preserve"> callables, so the</w:t>
      </w:r>
    </w:p>
    <w:p>
      <w:r>
        <w:t>engine depends on neither the backend's paper store nor the parser package; the backend supplies</w:t>
      </w:r>
    </w:p>
    <w:p>
      <w:r>
        <w:t>both at the call site. That injection is what keeps the directory boundary real rather than</w:t>
      </w:r>
    </w:p>
    <w:p>
      <w:r>
        <w:t>aspirational.</w:t>
      </w:r>
    </w:p>
    <w:p>
      <w:pPr>
        <w:spacing w:after="80"/>
        <w:ind w:left="360"/>
      </w:pPr>
      <w:r>
        <w:t xml:space="preserve">2. </w:t>
      </w:r>
      <w:r>
        <w:rPr>
          <w:b/>
        </w:rPr>
        <w:t>Index the passages</w:t>
      </w:r>
      <w:r>
        <w:t xml:space="preserve"> — </w:t>
      </w:r>
      <w:r>
        <w:rPr>
          <w:rFonts w:ascii="Consolas" w:hAnsi="Consolas"/>
          <w:sz w:val="19"/>
        </w:rPr>
        <w:t>Retriever</w:t>
      </w:r>
      <w:r>
        <w:t xml:space="preserve"> over </w:t>
      </w:r>
      <w:r>
        <w:rPr>
          <w:rFonts w:ascii="Consolas" w:hAnsi="Consolas"/>
          <w:sz w:val="19"/>
        </w:rPr>
        <w:t>faiss.IndexFlatIP</w:t>
      </w:r>
      <w:r>
        <w:t xml:space="preserve"> with L2-normalised</w:t>
      </w:r>
    </w:p>
    <w:p>
      <w:r>
        <w:rPr>
          <w:rFonts w:ascii="Consolas" w:hAnsi="Consolas"/>
          <w:sz w:val="19"/>
        </w:rPr>
        <w:t>all-MiniLM-L6-v2</w:t>
      </w:r>
      <w:r>
        <w:t xml:space="preserve"> embeddings; cosine similarity over paragraph-level passages, local and free.</w:t>
      </w:r>
    </w:p>
    <w:p>
      <w:pPr>
        <w:spacing w:after="80"/>
        <w:ind w:left="360"/>
      </w:pPr>
      <w:r>
        <w:t xml:space="preserve">3. </w:t>
      </w:r>
      <w:r>
        <w:rPr>
          <w:b/>
        </w:rPr>
        <w:t>Retrieve</w:t>
      </w:r>
      <w:r>
        <w:t xml:space="preserve"> — top-k passages by meaning, not by string, which is what makes paraphrase visible.</w:t>
      </w:r>
    </w:p>
    <w:p>
      <w:pPr>
        <w:spacing w:after="80"/>
        <w:ind w:left="360"/>
      </w:pPr>
      <w:r>
        <w:t xml:space="preserve">4. </w:t>
      </w:r>
      <w:r>
        <w:rPr>
          <w:b/>
        </w:rPr>
        <w:t>Judge</w:t>
      </w:r>
      <w:r>
        <w:t xml:space="preserve"> — </w:t>
      </w:r>
      <w:r>
        <w:rPr>
          <w:rFonts w:ascii="Consolas" w:hAnsi="Consolas"/>
          <w:sz w:val="19"/>
        </w:rPr>
        <w:t>Verifier.verify_with_retrieval</w:t>
      </w:r>
      <w:r>
        <w:t xml:space="preserve"> shows the model the claim and the retrieved</w:t>
      </w:r>
    </w:p>
    <w:p>
      <w:r>
        <w:t>passage(s) and asks for one of four labels. The model's only job is classification between two</w:t>
      </w:r>
    </w:p>
    <w:p>
      <w:r>
        <w:t>pieces of real text; it never writes a reference and never supplies the evidence. A reply that is</w:t>
      </w:r>
    </w:p>
    <w:p>
      <w:r>
        <w:t xml:space="preserve">not a valid label produces a </w:t>
      </w:r>
      <w:r>
        <w:rPr>
          <w:rFonts w:ascii="Consolas" w:hAnsi="Consolas"/>
          <w:sz w:val="19"/>
        </w:rPr>
        <w:t>VerificationStatus</w:t>
      </w:r>
      <w:r>
        <w:t>, not a verdict.</w:t>
      </w:r>
    </w:p>
    <w:p>
      <w:pPr>
        <w:pStyle w:val="Heading3"/>
      </w:pPr>
      <w:r>
        <w:t>What the prototype deliberately keeps separate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Thing</w:t>
            </w:r>
          </w:p>
        </w:tc>
        <w:tc>
          <w:tcPr>
            <w:tcW w:type="dxa" w:w="4824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Why it is a seam, not a hard-coded choice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20"/>
              </w:rPr>
              <w:t>The provider list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20"/>
              </w:rPr>
              <w:t xml:space="preserve">Injected into </w:t>
            </w:r>
            <w:r>
              <w:rPr>
                <w:rFonts w:ascii="Consolas" w:hAnsi="Consolas"/>
                <w:sz w:val="19"/>
              </w:rPr>
              <w:t>lookup_reference</w:t>
            </w:r>
            <w:r>
              <w:rPr>
                <w:sz w:val="20"/>
              </w:rPr>
              <w:t>; ordering is a policy the backend sets ("most authoritative first"), so the chain can change without touching the decision rule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locate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parse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20"/>
              </w:rPr>
              <w:t xml:space="preserve">Injected into </w:t>
            </w:r>
            <w:r>
              <w:rPr>
                <w:rFonts w:ascii="Consolas" w:hAnsi="Consolas"/>
                <w:sz w:val="19"/>
              </w:rPr>
              <w:t>SourceResolver</w:t>
            </w:r>
            <w:r>
              <w:rPr>
                <w:sz w:val="20"/>
              </w:rPr>
              <w:t>; storage-agnostic resolution is what lets the engine be tested without the backend's storage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sz w:val="20"/>
              </w:rPr>
              <w:t>The LLM client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20"/>
              </w:rPr>
              <w:t>Passed per call; the engine holds no client, no key and no default</w:t>
            </w:r>
          </w:p>
        </w:tc>
      </w:tr>
    </w:tbl>
    <w:p>
      <w:pPr>
        <w:spacing w:after="80"/>
      </w:pP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5. Test</w:t>
      </w:r>
    </w:p>
    <w:p>
      <w:r>
        <w:t>Three layers, with different jobs: the bottom layer checks the rules, the middle replays recorded</w:t>
      </w:r>
    </w:p>
    <w:p>
      <w:r>
        <w:t>reality, the top runs the real path.</w:t>
      </w:r>
    </w:p>
    <w:p>
      <w:pPr>
        <w:pStyle w:val="Heading3"/>
      </w:pPr>
      <w:r>
        <w:t>Layer 1 — component tests and invariants</w:t>
      </w:r>
    </w:p>
    <w:p>
      <w:r>
        <w:t>The engine suite (352 tests) covers both subsystems, including the identity tiers, the provider</w:t>
      </w:r>
    </w:p>
    <w:p>
      <w:r>
        <w:t>chain's failure handling, the reference parser, retrieval, and the verdict/status constructors. Two</w:t>
      </w:r>
    </w:p>
    <w:p>
      <w:r>
        <w:t>invariants are asserted as pass/fail rather than as rates, because they are the design, not a</w:t>
      </w:r>
    </w:p>
    <w:p>
      <w:r>
        <w:t>quality bar: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NOT_FOUND</w:t>
      </w:r>
      <w:r>
        <w:t xml:space="preserve"> implies </w:t>
      </w:r>
      <w:r>
        <w:rPr>
          <w:b/>
        </w:rPr>
        <w:t>every</w:t>
      </w:r>
      <w:r>
        <w:t xml:space="preserve"> attempt completed and returned nothing, and there was at least one</w:t>
      </w:r>
    </w:p>
    <w:p>
      <w:r>
        <w:t>attempt.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LOOKUP_FAILED</w:t>
      </w:r>
      <w:r>
        <w:t xml:space="preserve"> implies </w:t>
      </w:r>
      <w:r>
        <w:rPr>
          <w:b/>
        </w:rPr>
        <w:t>at least one</w:t>
      </w:r>
      <w:r>
        <w:t xml:space="preserve"> attempt did not complete.</w:t>
      </w:r>
    </w:p>
    <w:p>
      <w:pPr>
        <w:pStyle w:val="ListBullet"/>
        <w:spacing w:after="60"/>
      </w:pPr>
      <w:r>
        <w:t>On the Verify side: a result with a non-</w:t>
      </w:r>
      <w:r>
        <w:rPr>
          <w:rFonts w:ascii="Consolas" w:hAnsi="Consolas"/>
          <w:sz w:val="19"/>
        </w:rPr>
        <w:t>JUDGED</w:t>
      </w:r>
      <w:r>
        <w:t xml:space="preserve"> status must not carry a verdict — enforced in</w:t>
      </w:r>
    </w:p>
    <w:p>
      <w:r>
        <w:rPr>
          <w:rFonts w:ascii="Consolas" w:hAnsi="Consolas"/>
          <w:sz w:val="19"/>
        </w:rPr>
        <w:t>VerificationResult.__post_init__</w:t>
      </w:r>
      <w:r>
        <w:t>, not merely by convention.</w:t>
      </w:r>
    </w:p>
    <w:p>
      <w:pPr>
        <w:pStyle w:val="Heading3"/>
      </w:pPr>
      <w:r>
        <w:t>Layer 2 — recorded fixtures and sweeps</w:t>
      </w:r>
    </w:p>
    <w:p>
      <w:pPr>
        <w:pStyle w:val="ListBullet"/>
        <w:spacing w:after="60"/>
      </w:pPr>
      <w:r>
        <w:t>The identity fixture harness replays recorded provider responses and sweeps thresholds: this is</w:t>
      </w:r>
    </w:p>
    <w:p>
      <w:r>
        <w:t xml:space="preserve">what pinned </w:t>
      </w:r>
      <w:r>
        <w:rPr>
          <w:rFonts w:ascii="Consolas" w:hAnsi="Consolas"/>
          <w:sz w:val="19"/>
        </w:rPr>
        <w:t>YEAR_TOLERANCE = 1</w:t>
      </w:r>
      <w:r>
        <w:t xml:space="preserve"> from both sides instead of by intuition.</w:t>
      </w:r>
    </w:p>
    <w:p>
      <w:pPr>
        <w:pStyle w:val="ListBullet"/>
        <w:spacing w:after="60"/>
      </w:pPr>
      <w:r>
        <w:t xml:space="preserve">The audit replay reproduces </w:t>
      </w:r>
      <w:r>
        <w:rPr>
          <w:b/>
        </w:rPr>
        <w:t>36 of 39</w:t>
      </w:r>
      <w:r>
        <w:t xml:space="preserve"> bibliography cases and </w:t>
      </w:r>
      <w:r>
        <w:rPr>
          <w:b/>
        </w:rPr>
        <w:t>3 of 3</w:t>
      </w:r>
      <w:r>
        <w:t xml:space="preserve"> PDF cases. Three cases</w:t>
      </w:r>
    </w:p>
    <w:p>
      <w:r>
        <w:t>are red and stay red: their fixtures no longer reproduce the mechanism their names claim. They are</w:t>
      </w:r>
    </w:p>
    <w:p>
      <w:r>
        <w:t>recorded for a human decision, not edited green.</w:t>
      </w:r>
    </w:p>
    <w:p>
      <w:pPr>
        <w:pStyle w:val="ListBullet"/>
        <w:spacing w:after="60"/>
      </w:pPr>
      <w:r>
        <w:rPr>
          <w:b/>
        </w:rPr>
        <w:t>The comparison measurement over 91 matched records</w:t>
      </w:r>
      <w:r>
        <w:t xml:space="preserve"> is the clearest single result in this</w:t>
      </w:r>
    </w:p>
    <w:p>
      <w:r>
        <w:t>document. Before the field-comparison change, the audit produced</w:t>
      </w:r>
    </w:p>
    <w:p>
      <w:r>
        <w:rPr>
          <w:rFonts w:ascii="Consolas" w:hAnsi="Consolas"/>
          <w:sz w:val="19"/>
        </w:rPr>
        <w:t>0 VERIFIED / 0 MISMATCH / 91 NEEDS_REVIEW</w:t>
      </w:r>
      <w:r>
        <w:t xml:space="preserve"> — every reference to a human. That is </w:t>
      </w:r>
      <w:r>
        <w:rPr>
          <w:i/>
        </w:rPr>
        <w:t>safe</w:t>
      </w:r>
      <w:r>
        <w:t xml:space="preserve"> and</w:t>
      </w:r>
    </w:p>
    <w:p>
      <w:r>
        <w:rPr>
          <w:i/>
        </w:rPr>
        <w:t>useless</w:t>
      </w:r>
      <w:r>
        <w:t>: a tool that reviews everything has not reviewed anything. After the change:</w:t>
      </w:r>
    </w:p>
    <w:p>
      <w:r>
        <w:rPr>
          <w:rFonts w:ascii="Consolas" w:hAnsi="Consolas"/>
          <w:sz w:val="19"/>
        </w:rPr>
        <w:t>18 / 0 / 73</w:t>
      </w:r>
      <w:r>
        <w:t>. The naive alternative (element-wise comparison with no recovered-value rule) would</w:t>
      </w:r>
    </w:p>
    <w:p>
      <w:r>
        <w:t xml:space="preserve">have produced </w:t>
      </w:r>
      <w:r>
        <w:rPr>
          <w:rFonts w:ascii="Consolas" w:hAnsi="Consolas"/>
          <w:sz w:val="19"/>
        </w:rPr>
        <w:t>10 / 62 / 19</w:t>
      </w:r>
      <w:r>
        <w:t xml:space="preserve"> — </w:t>
      </w:r>
      <w:r>
        <w:rPr>
          <w:b/>
        </w:rPr>
        <w:t>62 metadata-mismatch assertions the data does not support</w:t>
      </w:r>
      <w:r>
        <w:t>,</w:t>
      </w:r>
    </w:p>
    <w:p>
      <w:r>
        <w:t>which is the false-accusation failure arriving through the front door. Author agreement: 69 of 91</w:t>
      </w:r>
    </w:p>
    <w:p>
      <w:r>
        <w:t>under the current gate, 36 of 91 under the comparison it replaced. The change landed in PR #44.</w:t>
      </w:r>
    </w:p>
    <w:p>
      <w:pPr>
        <w:pStyle w:val="Heading3"/>
      </w:pPr>
      <w:r>
        <w:t>Layer 3 — the real path</w:t>
      </w:r>
    </w:p>
    <w:p>
      <w:pPr>
        <w:pStyle w:val="ListBullet"/>
        <w:spacing w:after="60"/>
      </w:pPr>
      <w:r>
        <w:rPr>
          <w:b/>
        </w:rPr>
        <w:t>Verify acceptance</w:t>
      </w:r>
      <w:r>
        <w:t xml:space="preserve"> runs six labelled claims against a seeded excerpt of *Attention Is All You</w:t>
      </w:r>
    </w:p>
    <w:p>
      <w:r>
        <w:t>Need*, covering an overgeneralised claim, an unsupported causal claim and an incorrect GPU count.</w:t>
      </w:r>
    </w:p>
    <w:p>
      <w:r>
        <w:t xml:space="preserve">A case passes only if it returns HTTP 200, </w:t>
      </w:r>
      <w:r>
        <w:rPr>
          <w:rFonts w:ascii="Consolas" w:hAnsi="Consolas"/>
          <w:sz w:val="19"/>
        </w:rPr>
        <w:t>COMPARED</w:t>
      </w:r>
      <w:r>
        <w:t>, the expected verdict, the seeded source ID,</w:t>
      </w:r>
    </w:p>
    <w:p>
      <w:r>
        <w:rPr>
          <w:b/>
        </w:rPr>
        <w:t>and</w:t>
      </w:r>
      <w:r>
        <w:t xml:space="preserve"> non-empty evidence with valid provenance. A returned judgement alone does not pass.</w:t>
      </w:r>
    </w:p>
    <w:p>
      <w:r>
        <w:t>The first live run — real DeepSeek calls, real embeddings, real FAISS retrieval through the</w:t>
      </w:r>
    </w:p>
    <w:p>
      <w:r>
        <w:t xml:space="preserve">Verify route — passed </w:t>
      </w:r>
      <w:r>
        <w:rPr>
          <w:b/>
        </w:rPr>
        <w:t>12 of 12</w:t>
      </w:r>
      <w:r>
        <w:t xml:space="preserve"> across both thinking modes (6 cases × 2 modes; mean 1.373 s and</w:t>
      </w:r>
    </w:p>
    <w:p>
      <w:r>
        <w:t>1.262 s), with the harness's own stated limit: six smoke cases prove the wiring, not the accuracy.</w:t>
      </w:r>
    </w:p>
    <w:p>
      <w:pPr>
        <w:pStyle w:val="ListBullet"/>
        <w:spacing w:after="60"/>
      </w:pPr>
      <w:r>
        <w:rPr>
          <w:b/>
        </w:rPr>
        <w:t>Timing</w:t>
      </w:r>
      <w:r>
        <w:t xml:space="preserve"> is reported as a baseline with no pass/fail line: the audit N-curve medians are</w:t>
      </w:r>
    </w:p>
    <w:p>
      <w:r>
        <w:t>0.45 / 0.83 / 1.66 / 3.31 / 6.57 s for N = 5 / 10 / 20 / 40 / 80 — about 0.055 s per entry under</w:t>
      </w:r>
    </w:p>
    <w:p>
      <w:r>
        <w:t>injected latency, linear in N, which is the structural evidence that the batch path is serial by</w:t>
      </w:r>
    </w:p>
    <w:p>
      <w:r>
        <w:t>design and short-circuits correctly.</w:t>
      </w:r>
    </w:p>
    <w:p>
      <w:pPr>
        <w:pStyle w:val="Heading3"/>
      </w:pPr>
      <w:r>
        <w:t>Defects the tests and measurements found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Defect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How it was found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Why it mattered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An arXiv identifier read as a publication year (</w:t>
            </w:r>
            <w:r>
              <w:rPr>
                <w:rFonts w:ascii="Consolas" w:hAnsi="Consolas"/>
                <w:sz w:val="19"/>
              </w:rPr>
              <w:t>1911.03587</w:t>
            </w:r>
            <w:r>
              <w:rPr>
                <w:sz w:val="20"/>
              </w:rPr>
              <w:t xml:space="preserve"> → 1911)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Re-parsing the 140-reference corpus (fixed in PR #59)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20"/>
              </w:rPr>
              <w:t>7 of 140 entries</w:t>
            </w:r>
            <w:r>
              <w:rPr>
                <w:sz w:val="20"/>
              </w:rPr>
              <w:t xml:space="preserve"> took their year from an identifier — four displacing a real year on 2019/2020 papers, three supplying one for truncated entries that stated none. Because the identity rule rejects a record whose year disagrees by more than one, those references </w:t>
            </w:r>
            <w:r>
              <w:rPr>
                <w:b/>
                <w:sz w:val="20"/>
              </w:rPr>
              <w:t>could not resolve to the work they cite</w:t>
            </w:r>
            <w:r>
              <w:rPr>
                <w:sz w:val="20"/>
              </w:rPr>
              <w:t>: a parsing bug presenting itself as "the record is not there"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Everything routed to </w:t>
            </w:r>
            <w:r>
              <w:rPr>
                <w:rFonts w:ascii="Consolas" w:hAnsi="Consolas"/>
                <w:sz w:val="19"/>
              </w:rPr>
              <w:t>NEEDS_REVIEW</w:t>
            </w:r>
            <w:r>
              <w:rPr>
                <w:sz w:val="20"/>
              </w:rPr>
              <w:t xml:space="preserve"> (0/0/91)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comparison measurement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Technically safe, practically worthless — a review queue with everything in it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 fuzzy matching tier that decided nothing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threshold sweep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Deleted rather than tuned: an unmeasurable constant is a liability</w:t>
            </w:r>
          </w:p>
        </w:tc>
      </w:tr>
    </w:tbl>
    <w:p>
      <w:pPr>
        <w:spacing w:after="80"/>
      </w:pPr>
    </w:p>
    <w:p>
      <w:pPr>
        <w:pStyle w:val="Heading3"/>
      </w:pPr>
      <w:r>
        <w:t>Safety invariants, re-checked</w:t>
      </w:r>
    </w:p>
    <w:p>
      <w:r>
        <w:t xml:space="preserve">The </w:t>
      </w:r>
      <w:r>
        <w:rPr>
          <w:rFonts w:ascii="Consolas" w:hAnsi="Consolas"/>
          <w:sz w:val="19"/>
        </w:rPr>
        <w:t>LOOKUP_FAILED ≠ NOT_FOUND</w:t>
      </w:r>
      <w:r>
        <w:t xml:space="preserve"> rule is asserted on replay fixtures </w:t>
      </w:r>
      <w:r>
        <w:rPr>
          <w:b/>
        </w:rPr>
        <w:t>and</w:t>
      </w:r>
      <w:r>
        <w:t xml:space="preserve"> on the real corpus: a</w:t>
      </w:r>
    </w:p>
    <w:p>
      <w:r>
        <w:t xml:space="preserve">provider returning 500, a transport failure, and a 429 each produce </w:t>
      </w:r>
      <w:r>
        <w:rPr>
          <w:rFonts w:ascii="Consolas" w:hAnsi="Consolas"/>
          <w:sz w:val="19"/>
        </w:rPr>
        <w:t>LOOKUP_FAILED</w:t>
      </w:r>
      <w:r>
        <w:t xml:space="preserve"> with the</w:t>
      </w:r>
    </w:p>
    <w:p>
      <w:r>
        <w:t>corresponding error code, and the same rule is re-checked on the live 140-reference run, where it is</w:t>
      </w:r>
    </w:p>
    <w:p>
      <w:r>
        <w:t>not a fixture assumption but an observed property of real throttling.</w:t>
      </w:r>
    </w:p>
    <w:p>
      <w:pPr>
        <w:pStyle w:val="Heading3"/>
      </w:pPr>
      <w:r>
        <w:t>What is not yet measured</w:t>
      </w:r>
    </w:p>
    <w:p>
      <w:r>
        <w:t xml:space="preserve">The Verify accuracy bars were fixed </w:t>
      </w:r>
      <w:r>
        <w:rPr>
          <w:b/>
        </w:rPr>
        <w:t>before</w:t>
      </w:r>
      <w:r>
        <w:t xml:space="preserve"> any data existed — Recall@5 ≥ 0.80, Recall@1 ≥ 0.50,</w:t>
      </w:r>
    </w:p>
    <w:p>
      <w:r>
        <w:t>accuracy ≥ 0.80, F1 ≥ 0.85, Cohen's kappa ≥ 0.70 — which is the point: the target cannot move to</w:t>
      </w:r>
    </w:p>
    <w:p>
      <w:r>
        <w:t>meet the result. The instrument is built (103 real claim–source pairs harvested onto a worksheet</w:t>
      </w:r>
    </w:p>
    <w:p>
      <w:r>
        <w:t>with a retrieval escape hatch, so Recall@5 cannot be inflated by construction) and it is empty of</w:t>
      </w:r>
    </w:p>
    <w:p>
      <w:r>
        <w:t xml:space="preserve">labels. </w:t>
      </w:r>
      <w:r>
        <w:rPr>
          <w:b/>
        </w:rPr>
        <w:t>Engine accuracy on real claims is currently unmeasured</w:t>
      </w:r>
      <w:r>
        <w:t>, and no number is reported here</w:t>
      </w:r>
    </w:p>
    <w:p>
      <w:r>
        <w:t>in place of one.</w:t>
      </w: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6. Analysis</w:t>
      </w:r>
    </w:p>
    <w:p>
      <w:pPr>
        <w:pStyle w:val="Heading3"/>
      </w:pPr>
      <w:r>
        <w:t>What worked</w:t>
      </w:r>
    </w:p>
    <w:p>
      <w:pPr>
        <w:spacing w:after="80"/>
        <w:ind w:left="360"/>
      </w:pPr>
      <w:r>
        <w:t xml:space="preserve">1. </w:t>
      </w:r>
      <w:r>
        <w:rPr>
          <w:b/>
        </w:rPr>
        <w:t>Measured constants instead of chosen ones.</w:t>
      </w:r>
      <w:r>
        <w:t xml:space="preserve"> </w:t>
      </w:r>
      <w:r>
        <w:rPr>
          <w:rFonts w:ascii="Consolas" w:hAnsi="Consolas"/>
          <w:sz w:val="19"/>
        </w:rPr>
        <w:t>YEAR_TOLERANCE = 1</w:t>
      </w:r>
      <w:r>
        <w:t xml:space="preserve"> exists because 0 and 2 were</w:t>
      </w:r>
    </w:p>
    <w:p>
      <w:r>
        <w:t>both measured and both wrong. The fuzzy tier was deleted because the sweep showed nothing</w:t>
      </w:r>
    </w:p>
    <w:p>
      <w:r>
        <w:t>depended on it. The provider page size is 10 because the correct record for one real reference</w:t>
      </w:r>
    </w:p>
    <w:p>
      <w:r>
        <w:t>appeared at rank 9 — "relying on rank 1 is the same mistake as relying on a score threshold."</w:t>
      </w:r>
    </w:p>
    <w:p>
      <w:pPr>
        <w:spacing w:after="80"/>
        <w:ind w:left="360"/>
      </w:pPr>
      <w:r>
        <w:t xml:space="preserve">2. </w:t>
      </w:r>
      <w:r>
        <w:rPr>
          <w:b/>
        </w:rPr>
        <w:t>Structural decisions where a copy cannot fake the answer.</w:t>
      </w:r>
      <w:r>
        <w:t xml:space="preserve"> The spoofed-record case is the</w:t>
      </w:r>
    </w:p>
    <w:p>
      <w:r>
        <w:t>clearest justification in the codebase for refusing to use a similarity score: the impersonation</w:t>
      </w:r>
    </w:p>
    <w:p>
      <w:r>
        <w:t>solves the text-similarity problem and cannot solve the venue-and-year problem.</w:t>
      </w:r>
    </w:p>
    <w:p>
      <w:pPr>
        <w:spacing w:after="80"/>
        <w:ind w:left="360"/>
      </w:pPr>
      <w:r>
        <w:t xml:space="preserve">3. </w:t>
      </w:r>
      <w:r>
        <w:rPr>
          <w:b/>
        </w:rPr>
        <w:t>Failure as a first-class state — reached twice, independently.</w:t>
      </w:r>
      <w:r>
        <w:t xml:space="preserve"> The searching engine refuses</w:t>
      </w:r>
    </w:p>
    <w:p>
      <w:r>
        <w:t>to turn a failed lookup into "does not exist"; the Verify function refuses to turn "could not</w:t>
      </w:r>
    </w:p>
    <w:p>
      <w:r>
        <w:t xml:space="preserve">judge" into </w:t>
      </w:r>
      <w:r>
        <w:rPr>
          <w:rFonts w:ascii="Consolas" w:hAnsi="Consolas"/>
          <w:sz w:val="19"/>
        </w:rPr>
        <w:t>NOT_FOUND</w:t>
      </w:r>
      <w:r>
        <w:t>. The same rule was derived separately in two subsystems, from the same</w:t>
      </w:r>
    </w:p>
    <w:p>
      <w:r>
        <w:t xml:space="preserve">reasoning: </w:t>
      </w:r>
      <w:r>
        <w:rPr>
          <w:b/>
        </w:rPr>
        <w:t>the dangerous output is the confident one.</w:t>
      </w:r>
      <w:r>
        <w:t xml:space="preserve"> Everything else in this document is a</w:t>
      </w:r>
    </w:p>
    <w:p>
      <w:r>
        <w:t>consequence of that sentence.</w:t>
      </w:r>
    </w:p>
    <w:p>
      <w:pPr>
        <w:spacing w:after="80"/>
        <w:ind w:left="360"/>
      </w:pPr>
      <w:r>
        <w:t xml:space="preserve">4. </w:t>
      </w:r>
      <w:r>
        <w:rPr>
          <w:b/>
        </w:rPr>
        <w:t>Contracts that let four groups work in four directories.</w:t>
      </w:r>
      <w:r>
        <w:t xml:space="preserve"> The closed verdict enum is enforced</w:t>
      </w:r>
    </w:p>
    <w:p>
      <w:r>
        <w:t xml:space="preserve">by three components owned by two other groups; the injected </w:t>
      </w:r>
      <w:r>
        <w:rPr>
          <w:rFonts w:ascii="Consolas" w:hAnsi="Consolas"/>
          <w:sz w:val="19"/>
        </w:rPr>
        <w:t>locate</w:t>
      </w:r>
      <w:r>
        <w:t>/</w:t>
      </w:r>
      <w:r>
        <w:rPr>
          <w:rFonts w:ascii="Consolas" w:hAnsi="Consolas"/>
          <w:sz w:val="19"/>
        </w:rPr>
        <w:t>parse</w:t>
      </w:r>
      <w:r>
        <w:t xml:space="preserve"> keeps the engine</w:t>
      </w:r>
    </w:p>
    <w:p>
      <w:r>
        <w:t>out of the backend's storage and the parser's package. The boundaries are load-bearing, not</w:t>
      </w:r>
    </w:p>
    <w:p>
      <w:r>
        <w:t>stylistic.</w:t>
      </w:r>
    </w:p>
    <w:p>
      <w:pPr>
        <w:pStyle w:val="Heading3"/>
      </w:pPr>
      <w:r>
        <w:t>What we would do differently</w:t>
      </w:r>
    </w:p>
    <w:p>
      <w:pPr>
        <w:spacing w:after="80"/>
        <w:ind w:left="360"/>
      </w:pPr>
      <w:r>
        <w:t xml:space="preserve">1. </w:t>
      </w:r>
      <w:r>
        <w:rPr>
          <w:b/>
        </w:rPr>
        <w:t>The provider chain has no backoff.</w:t>
      </w:r>
      <w:r>
        <w:t xml:space="preserve"> Measured on the live corpus: a 140-reference run had 70</w:t>
      </w:r>
    </w:p>
    <w:p>
      <w:r>
        <w:t xml:space="preserve">requests answered and then took </w:t>
      </w:r>
      <w:r>
        <w:rPr>
          <w:rFonts w:ascii="Consolas" w:hAnsi="Consolas"/>
          <w:sz w:val="19"/>
        </w:rPr>
        <w:t>429</w:t>
      </w:r>
      <w:r>
        <w:t xml:space="preserve"> until the next UTC midnight. The design note justified one</w:t>
      </w:r>
    </w:p>
    <w:p>
      <w:r>
        <w:t>request per provider "because neither API has a punitive backoff to wait out" — that was wrong at</w:t>
      </w:r>
    </w:p>
    <w:p>
      <w:r>
        <w:t>volume, and it is the first thing to fix.</w:t>
      </w:r>
    </w:p>
    <w:p>
      <w:pPr>
        <w:spacing w:after="80"/>
        <w:ind w:left="360"/>
      </w:pPr>
      <w:r>
        <w:t xml:space="preserve">2. </w:t>
      </w:r>
      <w:r>
        <w:rPr>
          <w:b/>
        </w:rPr>
        <w:t>Query construction passes characters the provider rejects.</w:t>
      </w:r>
      <w:r>
        <w:t xml:space="preserve"> Five of the 140 corpus queries</w:t>
      </w:r>
    </w:p>
    <w:p>
      <w:r>
        <w:t>returned HTTP 400 because punctuation (</w:t>
      </w:r>
      <w:r>
        <w:rPr>
          <w:rFonts w:ascii="Consolas" w:hAnsi="Consolas"/>
          <w:sz w:val="19"/>
        </w:rPr>
        <w:t>?</w:t>
      </w:r>
      <w:r>
        <w:t xml:space="preserve">, </w:t>
      </w:r>
      <w:r>
        <w:rPr>
          <w:rFonts w:ascii="Consolas" w:hAnsi="Consolas"/>
          <w:sz w:val="19"/>
        </w:rPr>
        <w:t>,</w:t>
      </w:r>
      <w:r>
        <w:t xml:space="preserve">, </w:t>
      </w:r>
      <w:r>
        <w:rPr>
          <w:rFonts w:ascii="Consolas" w:hAnsi="Consolas"/>
          <w:sz w:val="19"/>
        </w:rPr>
        <w:t>:</w:t>
      </w:r>
      <w:r>
        <w:t>) went into the title-search query. Found by</w:t>
      </w:r>
    </w:p>
    <w:p>
      <w:r>
        <w:t>running real data — not by any test — which is the reminder that fixtures encode our assumptions.</w:t>
      </w:r>
    </w:p>
    <w:p>
      <w:pPr>
        <w:spacing w:after="80"/>
        <w:ind w:left="360"/>
      </w:pPr>
      <w:r>
        <w:t xml:space="preserve">3. </w:t>
      </w:r>
      <w:r>
        <w:rPr>
          <w:b/>
        </w:rPr>
        <w:t>A red test whose fixture cannot fail is worse than a missing test.</w:t>
      </w:r>
      <w:r>
        <w:t xml:space="preserve"> The three red forged-</w:t>
      </w:r>
    </w:p>
    <w:p>
      <w:r>
        <w:t>record cases are still unresolved: the fixture mechanism does not reproduce what the case name</w:t>
      </w:r>
    </w:p>
    <w:p>
      <w:r>
        <w:t>claims. They are recorded rather than edited, but leaving them red indefinitely erodes the</w:t>
      </w:r>
    </w:p>
    <w:p>
      <w:r>
        <w:t>signal.</w:t>
      </w:r>
    </w:p>
    <w:p>
      <w:pPr>
        <w:spacing w:after="80"/>
        <w:ind w:left="360"/>
      </w:pPr>
      <w:r>
        <w:t xml:space="preserve">4. </w:t>
      </w:r>
      <w:r>
        <w:rPr>
          <w:b/>
        </w:rPr>
        <w:t>Deliberate duplication is still duplication.</w:t>
      </w:r>
      <w:r>
        <w:t xml:space="preserve"> </w:t>
      </w:r>
      <w:r>
        <w:rPr>
          <w:rFonts w:ascii="Consolas" w:hAnsi="Consolas"/>
          <w:sz w:val="19"/>
        </w:rPr>
        <w:t>title_matching.py</w:t>
      </w:r>
      <w:r>
        <w:t xml:space="preserve"> mirrors the backend's title</w:t>
      </w:r>
    </w:p>
    <w:p>
      <w:r>
        <w:t>normalisation with two documented differences. The duplication is intentional (the engine may</w:t>
      </w:r>
    </w:p>
    <w:p>
      <w:r>
        <w:t>not import the backend) but it can drift silently, and nothing currently detects the drift.</w:t>
      </w:r>
    </w:p>
    <w:p>
      <w:pPr>
        <w:pStyle w:val="Heading3"/>
      </w:pPr>
      <w:r>
        <w:t>Where the design goes next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Open item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State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Verify accuracy against the pre-committed bars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Instrument built; 103 pairs awaiting human labels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Engine + human annotators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Two-stage retrieval (paragraph → sentence)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Decision recorded, implementation exists and is tested, live path still paragraph-level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Engine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429 backoff / retry in the provider chain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Not built; measured as a real limit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Engine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HTTP 400 from punctuation in search queries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Reproduced on 5 corpus references; not fixed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Engine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Three red forged-record fixtures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Awaiting a human decision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Engine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Real-user validation of the personas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Planned and documented; not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Whole team</w:t>
            </w:r>
          </w:p>
        </w:tc>
      </w:tr>
    </w:tbl>
    <w:p>
      <w:pPr>
        <w:spacing w:after="80"/>
      </w:pPr>
    </w:p>
    <w:p>
      <w:pPr>
        <w:pStyle w:val="Heading3"/>
      </w:pPr>
      <w:r>
        <w:t>Takeaway</w:t>
      </w:r>
    </w:p>
    <w:p>
      <w:r>
        <w:t>The two subsystems look different — one queries public APIs about a reference, the other runs a</w:t>
      </w:r>
    </w:p>
    <w:p>
      <w:r>
        <w:t>language model over retrieved text — but they were designed against the same constraint from</w:t>
      </w:r>
    </w:p>
    <w:p>
      <w:r>
        <w:t xml:space="preserve">opposite ends: </w:t>
      </w:r>
      <w:r>
        <w:rPr>
          <w:b/>
        </w:rPr>
        <w:t>a tool that checks other people's accuracy must be honest about its own limits.</w:t>
      </w:r>
    </w:p>
    <w:p>
      <w:r>
        <w:t>The searching engine can say "we could not complete the search"; the Verify function can say "the</w:t>
      </w:r>
    </w:p>
    <w:p>
      <w:r>
        <w:t>model did not judge this". Both answers are less satisfying than a confident verdict, and both are</w:t>
      </w:r>
    </w:p>
    <w:p>
      <w:r>
        <w:t>the reason the confident verdicts can be trusted.</w:t>
      </w:r>
    </w:p>
    <w:p>
      <w:pPr>
        <w:spacing w:after="200"/>
        <w:pBdr>
          <w:bottom w:val="single" w:sz="6" w:space="1" w:color="BFBFBF"/>
        </w:pBdr>
      </w:pPr>
    </w:p>
    <w:p>
      <w:pPr>
        <w:pStyle w:val="Heading2"/>
      </w:pPr>
      <w:r>
        <w:t>Additional Notes — evidence index</w:t>
      </w:r>
    </w:p>
    <w:p>
      <w:r>
        <w:t>Every design claim in this document is traceable to a merged pull request. The PR numbers below were</w:t>
      </w:r>
    </w:p>
    <w:p>
      <w:r>
        <w:t>read from the repository's merged pull requests on 15 October 2026; each names the PR that</w:t>
      </w:r>
    </w:p>
    <w:p>
      <w:r>
        <w:t>introduced or established the evidence, not merely the last one to touch the file.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Claim in this document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Where to check it</w:t>
            </w:r>
          </w:p>
        </w:tc>
        <w:tc>
          <w:tcPr>
            <w:tcW w:type="dxa" w:w="3216"/>
            <w:shd w:val="clear" w:fill="F2F2F2"/>
          </w:tcPr>
          <w:p>
            <w:pPr>
              <w:spacing w:after="40"/>
            </w:pPr>
            <w:r>
              <w:rPr>
                <w:b/>
                <w:sz w:val="20"/>
              </w:rPr>
              <w:t>Backing PR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Five-state audit contract; </w:t>
            </w:r>
            <w:r>
              <w:rPr>
                <w:rFonts w:ascii="Consolas" w:hAnsi="Consolas"/>
                <w:sz w:val="19"/>
              </w:rPr>
              <w:t>not_found</w:t>
            </w:r>
            <w:r>
              <w:rPr>
                <w:sz w:val="20"/>
              </w:rPr>
              <w:t xml:space="preserve"> requires every attempt to be </w:t>
            </w:r>
            <w:r>
              <w:rPr>
                <w:rFonts w:ascii="Consolas" w:hAnsi="Consolas"/>
                <w:sz w:val="19"/>
              </w:rPr>
              <w:t>not_found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docs/audit-contract.md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19"/>
              </w:rPr>
              <w:t>engine/engine/metadata_lookup.py</w:t>
            </w:r>
            <w:r>
              <w:rPr>
                <w:sz w:val="20"/>
              </w:rPr>
              <w:t xml:space="preserve"> (module docstring)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#38, #41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Structural identity rule; </w:t>
            </w:r>
            <w:r>
              <w:rPr>
                <w:rFonts w:ascii="Consolas" w:hAnsi="Consolas"/>
                <w:sz w:val="19"/>
              </w:rPr>
              <w:t>YEAR_TOLERANCE = 1</w:t>
            </w:r>
            <w:r>
              <w:rPr>
                <w:sz w:val="20"/>
              </w:rPr>
              <w:t>; the removed fuzzy tier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engine/engine/identity.py</w:t>
            </w:r>
            <w:r>
              <w:rPr>
                <w:sz w:val="20"/>
              </w:rPr>
              <w:t xml:space="preserve"> (module docstring); </w:t>
            </w:r>
            <w:r>
              <w:rPr>
                <w:rFonts w:ascii="Consolas" w:hAnsi="Consolas"/>
                <w:sz w:val="19"/>
              </w:rPr>
              <w:t>docs/audit-contract.md</w:t>
            </w:r>
            <w:r>
              <w:rPr>
                <w:sz w:val="20"/>
              </w:rPr>
              <w:t xml:space="preserve"> §identity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#38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Provider chain: OpenAlex first, Crossref fallback, one request each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engine/engine/metadata_lookup.py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19"/>
              </w:rPr>
              <w:t>backend/src/services/provider_chain_lookup.py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#41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The 91-record comparison measurement (0/0/91 → 18/0/73; naive 10/62/19)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docs/audit-contract.md</w:t>
            </w:r>
            <w:r>
              <w:rPr>
                <w:sz w:val="20"/>
              </w:rPr>
              <w:t xml:space="preserve"> §5, measured 2026-09-19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#44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Closed verdict set and its three consumers; status vs verdict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engine/engine/verifier.py</w:t>
            </w:r>
            <w:r>
              <w:rPr>
                <w:sz w:val="20"/>
              </w:rPr>
              <w:t xml:space="preserve"> (module and enum docstrings)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#28 (engine), #43 (backend)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arXiv-year defect: 7 of 140 entries, four displacing a real year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 xml:space="preserve">commit </w:t>
            </w:r>
            <w:r>
              <w:rPr>
                <w:rFonts w:ascii="Consolas" w:hAnsi="Consolas"/>
                <w:sz w:val="19"/>
              </w:rPr>
              <w:t>b45f59e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19"/>
              </w:rPr>
              <w:t>fix(engine): stop reading an arXiv identifier as the year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#59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Two-stage retrieval decision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docs/architecture.md</w:t>
            </w:r>
            <w:r>
              <w:rPr>
                <w:sz w:val="20"/>
              </w:rPr>
              <w:t xml:space="preserve"> §5.3; </w:t>
            </w:r>
            <w:r>
              <w:rPr>
                <w:rFonts w:ascii="Consolas" w:hAnsi="Consolas"/>
                <w:sz w:val="19"/>
              </w:rPr>
              <w:t>Retriever.retrieve_with_sentences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#12 (architecture record)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Verify acceptance: six labelled cases, pass conditions, and the limits of a smoke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docs/verify-acceptance.md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#61, #60 (provider matrix)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Live DeepSeek run: 12 passed / 0 failed, per-case results, timings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docs/verify-acceptance-deepseek-live.md</w:t>
            </w:r>
            <w:r>
              <w:rPr>
                <w:sz w:val="20"/>
              </w:rPr>
              <w:t xml:space="preserve"> (2026-10-11)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#61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Audit timing baseline (N-curve medians, ~0.055 s/entry)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docs/accuracy-baseline/audit_timing.json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#57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OpenAlex 429 after ~70 requests; live-run note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docs/team.md</w:t>
            </w:r>
            <w:r>
              <w:rPr>
                <w:sz w:val="20"/>
              </w:rPr>
              <w:t xml:space="preserve"> §3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#58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Audit replay 36/39 + 3/3; the three red cases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docs/team.md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19"/>
              </w:rPr>
              <w:t>docs/audit-live-acceptance/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#47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Verify bars and the 103-pair worksheet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engine/tests/benchmarks/CLAIM_PASSAGES.md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19"/>
              </w:rPr>
              <w:t>docs/team.md</w:t>
            </w:r>
            <w:r>
              <w:rPr>
                <w:sz w:val="20"/>
              </w:rPr>
              <w:t xml:space="preserve"> §2 (criteria 4–5)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#39, #57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Manual source-PDF selection for Verify (with the ambiguity path)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docs/verify-acceptance.md</w:t>
            </w:r>
            <w:r>
              <w:rPr>
                <w:sz w:val="20"/>
              </w:rPr>
              <w:t xml:space="preserve"> scope note; backend verify routes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#48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Personas synthesised; interviews not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docs/team.md</w:t>
            </w:r>
            <w:r>
              <w:rPr>
                <w:sz w:val="20"/>
              </w:rPr>
              <w:t xml:space="preserve"> §2 (criterion 1); </w:t>
            </w:r>
            <w:r>
              <w:rPr>
                <w:rFonts w:ascii="Consolas" w:hAnsi="Consolas"/>
                <w:sz w:val="19"/>
              </w:rPr>
              <w:t>docs/user-research/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sz w:val="20"/>
              </w:rPr>
              <w:t>#12 (added), #45 (consolidated)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ClaimTrace-Design-Thinking-Searching-and-Verify</dc:title>
  <dc:subject>41129 Software Innovation Studio</dc:subject>
  <dc:creator>Group 18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