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ClaimTrace — Project Idea</w:t>
      </w:r>
    </w:p>
    <w:p>
      <w:r>
        <w:rPr>
          <w:b/>
        </w:rPr>
        <w:t>Group 18 · 41129 Software Innovation Studio · UTS · 15 October 2026</w:t>
      </w:r>
    </w:p>
    <w:p>
      <w:r>
        <w:t>ClaimTrace checks whether a paper's citations actually support the claims they are attached to: a</w:t>
      </w:r>
    </w:p>
    <w:p>
      <w:r>
        <w:t>Chrome extension that works inside Overleaf, and a web dashboard that checks a whole reference list</w:t>
      </w:r>
    </w:p>
    <w:p>
      <w:r>
        <w:t xml:space="preserve">at once. It answers one question — </w:t>
      </w:r>
      <w:r>
        <w:rPr>
          <w:i/>
        </w:rPr>
        <w:t>does the cited source say what this sentence claims it says?</w:t>
      </w:r>
      <w:r>
        <w:t xml:space="preserve"> —</w:t>
      </w:r>
    </w:p>
    <w:p>
      <w:r>
        <w:t>and shows the evidence behind every answer.</w:t>
      </w:r>
    </w:p>
    <w:p/>
    <w:p>
      <w:pPr>
        <w:pStyle w:val="Heading2"/>
      </w:pPr>
      <w:r>
        <w:t>1. Background Research</w:t>
      </w:r>
    </w:p>
    <w:p>
      <w:pPr>
        <w:pStyle w:val="Heading3"/>
      </w:pPr>
      <w:r>
        <w:t>How this research was done</w:t>
      </w:r>
    </w:p>
    <w:p>
      <w:r>
        <w:t>Three inputs, in order of weight: the peer-reviewed literature on citation accuracy and on what peer</w:t>
      </w:r>
    </w:p>
    <w:p>
      <w:r>
        <w:t>review actually catches; a teardown of thirteen products that touch references in some way; and the</w:t>
      </w:r>
    </w:p>
    <w:p>
      <w:r>
        <w:t>team's own experience — all seven of us write papers and have hit the moment this project is about.</w:t>
      </w:r>
    </w:p>
    <w:p>
      <w:r>
        <w:t>A structured interview round with five researchers outside the team is planned and documented</w:t>
      </w:r>
    </w:p>
    <w:p>
      <w:r>
        <w:t>(protocol, recruiting channels, output format); it has not been run yet, which is why Section 3</w:t>
      </w:r>
    </w:p>
    <w:p>
      <w:r>
        <w:t>treats the personas as hypotheses rather than findings.</w:t>
      </w:r>
    </w:p>
    <w:p>
      <w:r>
        <w:t>One rule was applied to every number below, after our own first pitch failed to meet it:</w:t>
      </w:r>
    </w:p>
    <w:p>
      <w:r>
        <w:rPr>
          <w:b/>
        </w:rPr>
        <w:t>quote a report, its scope and its growth rate — or quote nothing.</w:t>
      </w:r>
    </w:p>
    <w:p>
      <w:pPr>
        <w:pStyle w:val="Heading3"/>
      </w:pPr>
      <w:r>
        <w:t>Finding 1 — citations frequently do not say what authors think they say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Measure</w:t>
            </w:r>
          </w:p>
        </w:tc>
        <w:tc>
          <w:tcPr>
            <w:tcW w:type="dxa" w:w="2880"/>
          </w:tcPr>
          <w:p>
            <w:r/>
            <w:r>
              <w:t>Value</w:t>
            </w:r>
          </w:p>
        </w:tc>
        <w:tc>
          <w:tcPr>
            <w:tcW w:type="dxa" w:w="2880"/>
          </w:tcPr>
          <w:p>
            <w:r/>
            <w: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Quotations incorrect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16.9%</w:t>
            </w:r>
            <w:r>
              <w:t xml:space="preserve"> (95% CI 14.1–20.0)</w:t>
            </w:r>
          </w:p>
        </w:tc>
        <w:tc>
          <w:tcPr>
            <w:tcW w:type="dxa" w:w="2880"/>
          </w:tcPr>
          <w:p>
            <w:r/>
            <w:r>
              <w:t xml:space="preserve">Baethge &amp; Jergas 2025, </w:t>
            </w:r>
            <w:r>
              <w:rPr>
                <w:i/>
              </w:rPr>
              <w:t>Research Integrity and Peer Review</w:t>
            </w:r>
            <w:r>
              <w:t xml:space="preserve"> 10(1):13</w:t>
            </w:r>
          </w:p>
        </w:tc>
      </w:tr>
      <w:tr>
        <w:tc>
          <w:tcPr>
            <w:tcW w:type="dxa" w:w="2880"/>
          </w:tcPr>
          <w:p>
            <w:r/>
            <w:r>
              <w:t>Of which major errors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8.0%</w:t>
            </w:r>
            <w:r>
              <w:t xml:space="preserve"> (95% CI 6.4–10.0)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>Evidence base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46 studies, ~32,074 quotations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>Trend over forty years</w:t>
            </w:r>
          </w:p>
        </w:tc>
        <w:tc>
          <w:tcPr>
            <w:tcW w:type="dxa" w:w="2880"/>
          </w:tcPr>
          <w:p>
            <w:r/>
            <w:r>
              <w:t xml:space="preserve">flat — meta-regression slope −0.002, </w:t>
            </w:r>
            <w:r>
              <w:rPr>
                <w:b/>
              </w:rPr>
              <w:t>p = 0.85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</w:tbl>
    <w:p/>
    <w:p>
      <w:r>
        <w:t>The earlier pooled estimate (Jergas &amp; Baethge 2015: 25.4% total, 11.9% major) points the same way,</w:t>
      </w:r>
    </w:p>
    <w:p>
      <w:r>
        <w:t>and field-level studies range widely — 41% citation errors in dermatology, 16% in anaesthesiology,</w:t>
      </w:r>
    </w:p>
    <w:p>
      <w:r>
        <w:t>7.6% mean quotation inaccuracy in orthopaedics. This is not one bad field. **One in six quotations</w:t>
      </w:r>
    </w:p>
    <w:p>
      <w:r>
        <w:t>is wrong, half of those errors are serious, and it has not improved in forty years.**</w:t>
      </w:r>
    </w:p>
    <w:p>
      <w:pPr>
        <w:pStyle w:val="Heading3"/>
      </w:pPr>
      <w:r>
        <w:t>Finding 2 — the checking that should catch it does not happen</w:t>
      </w:r>
    </w:p>
    <w:p>
      <w:pPr>
        <w:pStyle w:val="ListBullet"/>
      </w:pPr>
      <w:r>
        <w:t xml:space="preserve">Reviewers failed to identify </w:t>
      </w:r>
      <w:r>
        <w:rPr>
          <w:b/>
        </w:rPr>
        <w:t>two-thirds of major errors</w:t>
      </w:r>
      <w:r>
        <w:t xml:space="preserve"> in a fictitious-manuscript experiment</w:t>
      </w:r>
    </w:p>
    <w:p>
      <w:r>
        <w:t xml:space="preserve">(Baxt et al. 1998, </w:t>
      </w:r>
      <w:r>
        <w:rPr>
          <w:i/>
        </w:rPr>
        <w:t>Ann Emerg Med</w:t>
      </w:r>
      <w:r>
        <w:t>, n = 203).</w:t>
      </w:r>
    </w:p>
    <w:p>
      <w:pPr>
        <w:pStyle w:val="ListBullet"/>
      </w:pPr>
      <w:r>
        <w:t xml:space="preserve">Reviewers found a mean of </w:t>
      </w:r>
      <w:r>
        <w:rPr>
          <w:b/>
        </w:rPr>
        <w:t>3 of 9</w:t>
      </w:r>
      <w:r>
        <w:t xml:space="preserve"> deliberately planted errors across 607 </w:t>
      </w:r>
      <w:r>
        <w:rPr>
          <w:i/>
        </w:rPr>
        <w:t>BMJ</w:t>
      </w:r>
      <w:r>
        <w:t xml:space="preserve"> reviewers, and</w:t>
      </w:r>
    </w:p>
    <w:p>
      <w:r>
        <w:t xml:space="preserve">training barely helped (Schroter et al. 2008, </w:t>
      </w:r>
      <w:r>
        <w:rPr>
          <w:i/>
        </w:rPr>
        <w:t>J R Soc Med</w:t>
      </w:r>
      <w:r>
        <w:t>).</w:t>
      </w:r>
    </w:p>
    <w:p>
      <w:pPr>
        <w:pStyle w:val="ListBullet"/>
      </w:pPr>
      <w:r>
        <w:t xml:space="preserve">A </w:t>
      </w:r>
      <w:r>
        <w:rPr>
          <w:i/>
        </w:rPr>
        <w:t>BMJ</w:t>
      </w:r>
      <w:r>
        <w:t xml:space="preserve"> 2023 analysis states that responsibility for auditing cited literature "**rests with those</w:t>
      </w:r>
    </w:p>
    <w:p>
      <w:r>
        <w:t>who selected it, not reviewers</w:t>
      </w:r>
      <w:r>
        <w:rPr>
          <w:b/>
        </w:rPr>
        <w:t xml:space="preserve">" and proposes </w:t>
      </w:r>
      <w:r>
        <w:t>AI tools integrated into submission portals to</w:t>
      </w:r>
    </w:p>
    <w:p>
      <w:r>
        <w:t>confirm cited works exist and flag likely mis-citations*</w:t>
      </w:r>
      <w:r>
        <w:rPr>
          <w:i/>
        </w:rPr>
        <w:t xml:space="preserve"> (</w:t>
      </w:r>
      <w:r>
        <w:t>BMJ* 2023;383:e076441).</w:t>
      </w:r>
    </w:p>
    <w:p>
      <w:r>
        <w:t>That last point is, in effect, this project's value proposition already published in a medical</w:t>
      </w:r>
    </w:p>
    <w:p>
      <w:r>
        <w:t>journal. The reason it does not happen is cost: checking one citation by hand means finding the</w:t>
      </w:r>
    </w:p>
    <w:p>
      <w:r>
        <w:t>source PDF, searching it, and reading around the hit — minutes per citation, hours per paper, which</w:t>
      </w:r>
    </w:p>
    <w:p>
      <w:r>
        <w:t>is exactly the work that gets skipped at 2 a.m. before a deadline.</w:t>
      </w:r>
    </w:p>
    <w:p>
      <w:pPr>
        <w:pStyle w:val="Heading3"/>
      </w:pPr>
      <w:r>
        <w:t>Finding 3 — retracted and fabricated work keeps being cited</w:t>
      </w:r>
    </w:p>
    <w:p>
      <w:pPr>
        <w:pStyle w:val="ListBullet"/>
      </w:pPr>
      <w:r>
        <w:t>Across independent samples spanning 1990–2026, roughly **70–94% of retracted papers continue to</w:t>
      </w:r>
    </w:p>
    <w:p>
      <w:r>
        <w:t>be cited** after retraction, usually neutrally or positively, and only 4–18% of citing articles</w:t>
      </w:r>
    </w:p>
    <w:p>
      <w:r>
        <w:t>mention the retraction.</w:t>
      </w:r>
    </w:p>
    <w:p>
      <w:pPr>
        <w:pStyle w:val="ListBullet"/>
      </w:pPr>
      <w:r>
        <w:rPr>
          <w:b/>
        </w:rPr>
        <w:t>93.9%</w:t>
      </w:r>
      <w:r>
        <w:t xml:space="preserve"> of 994 retracted Nature Index articles kept receiving citations — 21,047 post-retraction</w:t>
      </w:r>
    </w:p>
    <w:p>
      <w:r>
        <w:t xml:space="preserve">citations, </w:t>
      </w:r>
      <w:r>
        <w:rPr>
          <w:b/>
        </w:rPr>
        <w:t>39.8% of them positive</w:t>
      </w:r>
      <w:r>
        <w:t xml:space="preserve"> (</w:t>
      </w:r>
      <w:r>
        <w:rPr>
          <w:i/>
        </w:rPr>
        <w:t>J Inf Sci</w:t>
      </w:r>
      <w:r>
        <w:t xml:space="preserve"> 2026).</w:t>
      </w:r>
    </w:p>
    <w:p>
      <w:pPr>
        <w:pStyle w:val="ListBullet"/>
      </w:pPr>
      <w:r>
        <w:t xml:space="preserve">The retracted Wakefield paper has been cited </w:t>
      </w:r>
      <w:r>
        <w:rPr>
          <w:b/>
        </w:rPr>
        <w:t>1,154 times after retraction versus 643 before</w:t>
      </w:r>
      <w:r>
        <w:t xml:space="preserve"> —</w:t>
      </w:r>
    </w:p>
    <w:p>
      <w:r>
        <w:t xml:space="preserve">it is cited </w:t>
      </w:r>
      <w:r>
        <w:rPr>
          <w:i/>
        </w:rPr>
        <w:t>more</w:t>
      </w:r>
      <w:r>
        <w:t xml:space="preserve"> after retraction than before.</w:t>
      </w:r>
    </w:p>
    <w:p>
      <w:pPr>
        <w:pStyle w:val="ListBullet"/>
      </w:pPr>
      <w:r>
        <w:t>The data to detect this is free: Crossref acquired the Retraction Watch database and released it</w:t>
      </w:r>
    </w:p>
    <w:p>
      <w:r>
        <w:t>CC0 in September 2023 (~43,000 records, plus Crossref's own ~14,000).</w:t>
      </w:r>
    </w:p>
    <w:p>
      <w:pPr>
        <w:pStyle w:val="Heading3"/>
      </w:pPr>
      <w:r>
        <w:t>Finding 4 — AI writing tools made the problem acute, and dated it</w:t>
      </w:r>
    </w:p>
    <w:p>
      <w:pPr>
        <w:pStyle w:val="ListBullet"/>
      </w:pPr>
      <w:r>
        <w:t xml:space="preserve">Fabricated citations rose </w:t>
      </w:r>
      <w:r>
        <w:rPr>
          <w:b/>
        </w:rPr>
        <w:t>more than twelvefold</w:t>
      </w:r>
      <w:r>
        <w:t xml:space="preserve"> in the samples tracked: 1 in 2,828 papers</w:t>
      </w:r>
    </w:p>
    <w:p>
      <w:r>
        <w:t xml:space="preserve">(2023) → 1 in 458 (2025) → about </w:t>
      </w:r>
      <w:r>
        <w:rPr>
          <w:b/>
        </w:rPr>
        <w:t>1 in 277</w:t>
      </w:r>
      <w:r>
        <w:t xml:space="preserve"> in the first seven weeks of 2026, from an audit of</w:t>
      </w:r>
    </w:p>
    <w:p>
      <w:r>
        <w:t xml:space="preserve">2.47M PMC articles and 125.6M references. </w:t>
      </w:r>
      <w:r>
        <w:rPr>
          <w:b/>
        </w:rPr>
        <w:t>98.4% of affected papers saw no publisher action</w:t>
      </w:r>
    </w:p>
    <w:p>
      <w:r>
        <w:t>(</w:t>
      </w:r>
      <w:r>
        <w:rPr>
          <w:i/>
        </w:rPr>
        <w:t>Lancet</w:t>
      </w:r>
      <w:r>
        <w:t xml:space="preserve"> 2026).</w:t>
      </w:r>
    </w:p>
    <w:p>
      <w:pPr>
        <w:pStyle w:val="ListBullet"/>
      </w:pPr>
      <w:r>
        <w:t xml:space="preserve">GPT-4o produced wholly fabricated references in </w:t>
      </w:r>
      <w:r>
        <w:rPr>
          <w:b/>
        </w:rPr>
        <w:t>19.9%</w:t>
      </w:r>
      <w:r>
        <w:t xml:space="preserve"> of cases, and </w:t>
      </w:r>
      <w:r>
        <w:rPr>
          <w:b/>
        </w:rPr>
        <w:t>45.4%</w:t>
      </w:r>
      <w:r>
        <w:t xml:space="preserve"> of the real ones</w:t>
      </w:r>
    </w:p>
    <w:p>
      <w:r>
        <w:t>contained bibliographic errors — nearly two-thirds defective (</w:t>
      </w:r>
      <w:r>
        <w:rPr>
          <w:i/>
        </w:rPr>
        <w:t>JMIR Mental Health</w:t>
      </w:r>
      <w:r>
        <w:t xml:space="preserve"> 2025; n = 176).</w:t>
      </w:r>
    </w:p>
    <w:p>
      <w:pPr>
        <w:pStyle w:val="ListBullet"/>
      </w:pPr>
      <w:r>
        <w:t xml:space="preserve">GPT-3.5 fabricated </w:t>
      </w:r>
      <w:r>
        <w:rPr>
          <w:b/>
        </w:rPr>
        <w:t>55%</w:t>
      </w:r>
      <w:r>
        <w:t xml:space="preserve"> of references and erred in </w:t>
      </w:r>
      <w:r>
        <w:rPr>
          <w:b/>
        </w:rPr>
        <w:t>43%</w:t>
      </w:r>
      <w:r>
        <w:t xml:space="preserve"> of the genuine ones (</w:t>
      </w:r>
      <w:r>
        <w:rPr>
          <w:i/>
        </w:rPr>
        <w:t>Sci Rep</w:t>
      </w:r>
      <w:r>
        <w:t xml:space="preserve"> 2023).</w:t>
      </w:r>
    </w:p>
    <w:p>
      <w:r>
        <w:t>Five years ago the problem was chronic. Today it is compounding annually, and the tools researchers</w:t>
      </w:r>
    </w:p>
    <w:p>
      <w:r>
        <w:t>actually use to write are among its causes.</w:t>
      </w:r>
    </w:p>
    <w:p>
      <w:pPr>
        <w:pStyle w:val="Heading3"/>
      </w:pPr>
      <w:r>
        <w:t>What the research says is missing</w:t>
      </w:r>
    </w:p>
    <w:p>
      <w:r>
        <w:t xml:space="preserve">Every existing tool checks something — the record's metadata, the text's similarity, how </w:t>
      </w:r>
      <w:r>
        <w:rPr>
          <w:i/>
        </w:rPr>
        <w:t>other</w:t>
      </w:r>
    </w:p>
    <w:p>
      <w:r>
        <w:t xml:space="preserve">papers cited a work. </w:t>
      </w:r>
      <w:r>
        <w:rPr>
          <w:b/>
        </w:rPr>
        <w:t>Nothing in a researcher's workflow checks the sentence against its source</w:t>
      </w:r>
      <w:r>
        <w:t>,</w:t>
      </w:r>
    </w:p>
    <w:p>
      <w:r>
        <w:t>and doing it by hand is expensive enough that it is skipped. That is the gap this project addresses.</w:t>
      </w:r>
    </w:p>
    <w:p/>
    <w:p>
      <w:pPr>
        <w:pStyle w:val="Heading2"/>
      </w:pPr>
      <w:r>
        <w:t>2. Project Scope</w:t>
      </w:r>
    </w:p>
    <w:p>
      <w:pPr>
        <w:pStyle w:val="Heading3"/>
      </w:pPr>
      <w:r>
        <w:t>What the project delivers</w:t>
      </w:r>
    </w:p>
    <w:p>
      <w:r>
        <w:t>Three surfaces, one engine: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Surface</w:t>
            </w:r>
          </w:p>
        </w:tc>
        <w:tc>
          <w:tcPr>
            <w:tcW w:type="dxa" w:w="4320"/>
          </w:tcPr>
          <w:p>
            <w:r/>
            <w: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Batch audit</w:t>
            </w:r>
            <w:r>
              <w:t xml:space="preserve"> (web dashboard)</w:t>
            </w:r>
          </w:p>
        </w:tc>
        <w:tc>
          <w:tcPr>
            <w:tcW w:type="dxa" w:w="4320"/>
          </w:tcPr>
          <w:p>
            <w:r/>
            <w:r>
              <w:t>Checks a manuscript's reference list against real publication records — OpenAlex first, Crossref as fallback, both keyless — and reports every reference in one of five states: verified, metadata mismatch, needs review, not found, or lookup 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Verify</w:t>
            </w:r>
            <w:r>
              <w:t xml:space="preserve"> (web dashboard)</w:t>
            </w:r>
          </w:p>
        </w:tc>
        <w:tc>
          <w:tcPr>
            <w:tcW w:type="dxa" w:w="4320"/>
          </w:tcPr>
          <w:p>
            <w:r/>
            <w:r>
              <w:t>Compares a selected claim with the source it cites: retrieves the relevant passage from the cited paper and classifies the relationship — supported, partially supported, contradicted, not found — always showing the passage it decided 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Overleaf hover</w:t>
            </w:r>
            <w:r>
              <w:t xml:space="preserve"> (Chrome extension)</w:t>
            </w:r>
          </w:p>
        </w:tc>
        <w:tc>
          <w:tcPr>
            <w:tcW w:type="dxa" w:w="4320"/>
          </w:tcPr>
          <w:p>
            <w:r/>
            <w:r>
              <w:t xml:space="preserve">Shows the citation in place: hover a </w:t>
            </w:r>
            <w:r>
              <w:rPr>
                <w:rFonts w:ascii="Consolas" w:hAnsi="Consolas"/>
                <w:sz w:val="19"/>
              </w:rPr>
              <w:t>\cite{}</w:t>
            </w:r>
            <w:r>
              <w:t xml:space="preserve"> and see the citation, its bibliography entry and its location, marked not checked — the extension runs the bibliography audit, and the passage-level check is the dashboard's Verify</w:t>
            </w:r>
          </w:p>
        </w:tc>
      </w:tr>
    </w:tbl>
    <w:p/>
    <w:p>
      <w:pPr>
        <w:pStyle w:val="Heading3"/>
      </w:pPr>
      <w:r>
        <w:t>In scope</w:t>
      </w:r>
    </w:p>
    <w:p>
      <w:pPr>
        <w:pStyle w:val="ListBullet"/>
      </w:pPr>
      <w:r>
        <w:t>Checking a bibliography against external publication records (existence and field-level agreement)</w:t>
      </w:r>
    </w:p>
    <w:p>
      <w:pPr>
        <w:pStyle w:val="ListBullet"/>
      </w:pPr>
      <w:r>
        <w:t>Checking a sentence against the source it cites, with the evidence shown</w:t>
      </w:r>
    </w:p>
    <w:p>
      <w:pPr>
        <w:pStyle w:val="ListBullet"/>
      </w:pPr>
      <w:r>
        <w:t>Working inside the editor at the moment of writing, and batch-checking before submission</w:t>
      </w:r>
    </w:p>
    <w:p>
      <w:pPr>
        <w:pStyle w:val="ListBullet"/>
      </w:pPr>
      <w:r>
        <w:t>Running entirely with the researcher's own AI provider credentials, across 17 supported providers</w:t>
      </w:r>
    </w:p>
    <w:p>
      <w:pPr>
        <w:pStyle w:val="Heading3"/>
      </w:pPr>
      <w:r>
        <w:t>Out of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Not built, deliberately</w:t>
            </w:r>
          </w:p>
        </w:tc>
        <w:tc>
          <w:tcPr>
            <w:tcW w:type="dxa" w:w="4320"/>
          </w:tcPr>
          <w:p>
            <w:r/>
            <w: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t>Reference management, formatting, bibliography styles</w:t>
            </w:r>
          </w:p>
        </w:tc>
        <w:tc>
          <w:tcPr>
            <w:tcW w:type="dxa" w:w="4320"/>
          </w:tcPr>
          <w:p>
            <w:r/>
            <w:r>
              <w:t>Zotero and Mendeley do this well; it is not the problem</w:t>
            </w:r>
          </w:p>
        </w:tc>
      </w:tr>
      <w:tr>
        <w:tc>
          <w:tcPr>
            <w:tcW w:type="dxa" w:w="4320"/>
          </w:tcPr>
          <w:p>
            <w:r/>
            <w:r>
              <w:t>Text-similarity and plagiarism checking</w:t>
            </w:r>
          </w:p>
        </w:tc>
        <w:tc>
          <w:tcPr>
            <w:tcW w:type="dxa" w:w="4320"/>
          </w:tcPr>
          <w:p>
            <w:r/>
            <w:r>
              <w:t>Turnitin and iThenticate own this; it answers a different question</w:t>
            </w:r>
          </w:p>
        </w:tc>
      </w:tr>
      <w:tr>
        <w:tc>
          <w:tcPr>
            <w:tcW w:type="dxa" w:w="4320"/>
          </w:tcPr>
          <w:p>
            <w:r/>
            <w:r>
              <w:t>Generating or rewriting the researcher's text</w:t>
            </w:r>
          </w:p>
        </w:tc>
        <w:tc>
          <w:tcPr>
            <w:tcW w:type="dxa" w:w="4320"/>
          </w:tcPr>
          <w:p>
            <w:r/>
            <w:r>
              <w:t>The product checks claims; it does not make them</w:t>
            </w:r>
          </w:p>
        </w:tc>
      </w:tr>
      <w:tr>
        <w:tc>
          <w:tcPr>
            <w:tcW w:type="dxa" w:w="4320"/>
          </w:tcPr>
          <w:p>
            <w:r/>
            <w:r>
              <w:t>Judging authors or declaring misconduct</w:t>
            </w:r>
          </w:p>
        </w:tc>
        <w:tc>
          <w:tcPr>
            <w:tcW w:type="dxa" w:w="4320"/>
          </w:tcPr>
          <w:p>
            <w:r/>
            <w:r>
              <w:t>It reports what the record says and shows the evidence</w:t>
            </w:r>
          </w:p>
        </w:tc>
      </w:tr>
      <w:tr>
        <w:tc>
          <w:tcPr>
            <w:tcW w:type="dxa" w:w="4320"/>
          </w:tcPr>
          <w:p>
            <w:r/>
            <w:r>
              <w:t>Retaining manuscripts or credentials</w:t>
            </w:r>
          </w:p>
        </w:tc>
        <w:tc>
          <w:tcPr>
            <w:tcW w:type="dxa" w:w="4320"/>
          </w:tcPr>
          <w:p>
            <w:r/>
            <w:r>
              <w:t>Papers are processed transiently; keys live only for the request</w:t>
            </w:r>
          </w:p>
        </w:tc>
      </w:tr>
      <w:tr>
        <w:tc>
          <w:tcPr>
            <w:tcW w:type="dxa" w:w="4320"/>
          </w:tcPr>
          <w:p>
            <w:r/>
            <w:r>
              <w:t>Exportable reports, shared team libraries, a reviewer workspace</w:t>
            </w:r>
          </w:p>
        </w:tc>
        <w:tc>
          <w:tcPr>
            <w:tcW w:type="dxa" w:w="4320"/>
          </w:tcPr>
          <w:p>
            <w:r/>
            <w:r>
              <w:t>Deferred (P2 in the user stories) — valuable, but not on the critical path to a trustworthy core</w:t>
            </w:r>
          </w:p>
        </w:tc>
      </w:tr>
    </w:tbl>
    <w:p/>
    <w:p>
      <w:pPr>
        <w:pStyle w:val="Heading3"/>
      </w:pPr>
      <w:r>
        <w:t>Boundaries that are product rules, not features</w:t>
      </w:r>
    </w:p>
    <w:p>
      <w:r>
        <w:t xml:space="preserve">Two rules constrain the scope more than any feature list, and both make the product </w:t>
      </w:r>
      <w:r>
        <w:rPr>
          <w:i/>
        </w:rPr>
        <w:t>less</w:t>
      </w:r>
    </w:p>
    <w:p>
      <w:r>
        <w:t>conclusive on purpose:</w:t>
      </w:r>
    </w:p>
    <w:p>
      <w:r>
        <w:t xml:space="preserve">1. </w:t>
      </w:r>
      <w:r>
        <w:rPr>
          <w:b/>
        </w:rPr>
        <w:t>A failed check is never reported as a negative finding.</w:t>
      </w:r>
      <w:r>
        <w:t xml:space="preserve"> </w:t>
      </w:r>
      <w:r>
        <w:rPr>
          <w:rFonts w:ascii="Consolas" w:hAnsi="Consolas"/>
          <w:sz w:val="19"/>
        </w:rPr>
        <w:t>NOT_FOUND</w:t>
      </w:r>
      <w:r>
        <w:t xml:space="preserve"> means the search</w:t>
      </w:r>
    </w:p>
    <w:p>
      <w:r>
        <w:t xml:space="preserve">completed and found nothing; </w:t>
      </w:r>
      <w:r>
        <w:rPr>
          <w:rFonts w:ascii="Consolas" w:hAnsi="Consolas"/>
          <w:sz w:val="19"/>
        </w:rPr>
        <w:t>LOOKUP_FAILED</w:t>
      </w:r>
      <w:r>
        <w:t xml:space="preserve"> means the search could not run, and is reported as</w:t>
      </w:r>
    </w:p>
    <w:p>
      <w:r>
        <w:rPr>
          <w:i/>
        </w:rPr>
        <w:t>not checked</w:t>
      </w:r>
      <w:r>
        <w:t>. The audit never converts the second into the first, because the most damaging</w:t>
      </w:r>
    </w:p>
    <w:p>
      <w:r>
        <w:t>output this class of tool can produce is not a wrong answer — it is a reassuring one.</w:t>
      </w:r>
    </w:p>
    <w:p>
      <w:r>
        <w:t xml:space="preserve">2. </w:t>
      </w:r>
      <w:r>
        <w:rPr>
          <w:b/>
        </w:rPr>
        <w:t>No result without its evidence.</w:t>
      </w:r>
      <w:r>
        <w:t xml:space="preserve"> Every verdict ships with the passage, page and similarity it</w:t>
      </w:r>
    </w:p>
    <w:p>
      <w:r>
        <w:t>was based on, so the researcher can overrule the tool rather than trust it blindly.</w:t>
      </w:r>
    </w:p>
    <w:p>
      <w:r>
        <w:t>The project is a working prototype on this scope: the extension (v0.4.0), the dashboard, the API,</w:t>
      </w:r>
    </w:p>
    <w:p>
      <w:r>
        <w:t>and the engine all exist and pass their test suites, and the end-to-end flow has been accepted on</w:t>
      </w:r>
    </w:p>
    <w:p>
      <w:r>
        <w:t>the real Overleaf with a real backend.</w:t>
      </w:r>
    </w:p>
    <w:p/>
    <w:p>
      <w:pPr>
        <w:pStyle w:val="Heading2"/>
      </w:pPr>
      <w:r>
        <w:t>3. Target User</w:t>
      </w:r>
    </w:p>
    <w:p>
      <w:r>
        <w:t xml:space="preserve">Three user types, defined as personas in </w:t>
      </w:r>
      <w:r>
        <w:rPr>
          <w:rFonts w:ascii="Consolas" w:hAnsi="Consolas"/>
          <w:sz w:val="19"/>
        </w:rPr>
        <w:t>docs/user-research/personas.md</w:t>
      </w:r>
      <w:r>
        <w:t xml:space="preserve"> and prioritised as</w:t>
      </w:r>
    </w:p>
    <w:p>
      <w:r>
        <w:t>primary, secondary and long-term.</w:t>
      </w:r>
    </w:p>
    <w:p>
      <w:pPr>
        <w:pStyle w:val="Heading3"/>
      </w:pPr>
      <w:r>
        <w:t>Primary — the anxious first author</w:t>
      </w:r>
    </w:p>
    <w:p>
      <w:r>
        <w:t>A PhD student or early-career researcher writing a conference paper in Overleaf, responsible for</w:t>
      </w:r>
    </w:p>
    <w:p>
      <w:r>
        <w:t>integrating sections written by several co-authors. They do not fully trust citations they did not</w:t>
      </w:r>
    </w:p>
    <w:p>
      <w:r>
        <w:t>write, and have no time to check them by hand. Their deadline scenario is concrete: 48 hours out,</w:t>
      </w:r>
    </w:p>
    <w:p>
      <w:r>
        <w:t>thirty-plus unverified citations in the Related Work, and — in their words — "can only let most of</w:t>
      </w:r>
    </w:p>
    <w:p>
      <w:r>
        <w:t>them slide on gut feel." They asked for two things: hover in the editor and know whether a citation</w:t>
      </w:r>
    </w:p>
    <w:p>
      <w:r>
        <w:t>is right, and batch-check the whole paper to find the few citations that most need human review.</w:t>
      </w:r>
    </w:p>
    <w:p>
      <w:r>
        <w:t>They are the wedge user: the pain is sharpest, and the fix has to be instant and non-disruptive.</w:t>
      </w:r>
    </w:p>
    <w:p>
      <w:pPr>
        <w:pStyle w:val="Heading3"/>
      </w:pPr>
      <w:r>
        <w:t>Secondary — the supervising PI</w:t>
      </w:r>
    </w:p>
    <w:p>
      <w:r>
        <w:t>An academic supervising five or more students, gating every draft in fragmented time. They cannot</w:t>
      </w:r>
    </w:p>
    <w:p>
      <w:r>
        <w:t>verify each citation themselves, they have seen references pasted from ChatGPT, and they want</w:t>
      </w:r>
    </w:p>
    <w:p>
      <w:r>
        <w:t>evidence rather than conclusions so their feedback can be specific. Their scenario: an eight-page</w:t>
      </w:r>
    </w:p>
    <w:p>
      <w:r>
        <w:t>draft and thirty minutes. They asked for a risk-ranked report with doubtful citations marked and</w:t>
      </w:r>
    </w:p>
    <w:p>
      <w:r>
        <w:t>source evidence attached. They are the natural paying user — a lab or department subscription — and</w:t>
      </w:r>
    </w:p>
    <w:p>
      <w:r>
        <w:t>the batch audit is designed for them.</w:t>
      </w:r>
    </w:p>
    <w:p>
      <w:pPr>
        <w:pStyle w:val="Heading3"/>
      </w:pPr>
      <w:r>
        <w:t>Long-term — the reviewer</w:t>
      </w:r>
    </w:p>
    <w:p>
      <w:r>
        <w:t>A conference reviewer reading five to ten submissions a year, who suspects a claim over-interprets</w:t>
      </w:r>
    </w:p>
    <w:p>
      <w:r>
        <w:t>its source but cannot afford the time to verify it, and needs specific, citable evidence for the</w:t>
      </w:r>
    </w:p>
    <w:p>
      <w:r>
        <w:t>review. They asked to see the claim and the cited passage side by side. They are not a</w:t>
      </w:r>
    </w:p>
    <w:p>
      <w:r>
        <w:t>direct-payment user; this is a publisher-facing direction, not a current feature.</w:t>
      </w:r>
    </w:p>
    <w:p>
      <w:pPr>
        <w:pStyle w:val="Heading3"/>
      </w:pPr>
      <w:r>
        <w:t>Who this is not for</w:t>
      </w:r>
    </w:p>
    <w:p>
      <w:r>
        <w:t>People who want references generated or formatted; authors who never cite; and institutional</w:t>
      </w:r>
    </w:p>
    <w:p>
      <w:r>
        <w:t>metadata clean-up work, which is adjacent (the audit data helps) but not the user this product is</w:t>
      </w:r>
    </w:p>
    <w:p>
      <w:r>
        <w:t>designed around.</w:t>
      </w:r>
    </w:p>
    <w:p>
      <w:pPr>
        <w:pStyle w:val="Heading3"/>
      </w:pPr>
      <w:r>
        <w:t>An honest note on method</w:t>
      </w:r>
    </w:p>
    <w:p>
      <w:r>
        <w:t xml:space="preserve">These personas are </w:t>
      </w:r>
      <w:r>
        <w:rPr>
          <w:b/>
        </w:rPr>
        <w:t>synthesised</w:t>
      </w:r>
      <w:r>
        <w:t xml:space="preserve"> — from the literature above and from the team's own experience</w:t>
      </w:r>
    </w:p>
    <w:p>
      <w:r>
        <w:t>as researchers. The interview round that would validate them (five researchers who recently</w:t>
      </w:r>
    </w:p>
    <w:p>
      <w:r>
        <w:t>submitted to a top venue) is planned and documented but not yet run. The shared insight that came</w:t>
      </w:r>
    </w:p>
    <w:p>
      <w:r>
        <w:t>out of the synthesis — all three types want to see the source evidence, not an AI conclusion — is</w:t>
      </w:r>
    </w:p>
    <w:p>
      <w:r>
        <w:t>already load-bearing in the design, and is the first hypothesis the interviews will test.</w:t>
      </w:r>
    </w:p>
    <w:p/>
    <w:p>
      <w:pPr>
        <w:pStyle w:val="Heading2"/>
      </w:pPr>
      <w:r>
        <w:t>4. Solutions</w:t>
      </w:r>
    </w:p>
    <w:p>
      <w:pPr>
        <w:pStyle w:val="Heading3"/>
      </w:pPr>
      <w:r>
        <w:t>1. Verify a claim against its source</w:t>
      </w:r>
    </w:p>
    <w:p>
      <w:r>
        <w:t>Select a sentence in the dashboard, or submit it directly; the system finds the cited paper, retrieves</w:t>
      </w:r>
    </w:p>
    <w:p>
      <w:r>
        <w:t xml:space="preserve">the passage in it that bears on the claim, and classifies the relationship: </w:t>
      </w:r>
      <w:r>
        <w:rPr>
          <w:b/>
        </w:rPr>
        <w:t>Supported</w:t>
      </w:r>
      <w:r>
        <w:t>,</w:t>
      </w:r>
    </w:p>
    <w:p>
      <w:r>
        <w:rPr>
          <w:b/>
        </w:rPr>
        <w:t>Partially supported</w:t>
      </w:r>
      <w:r>
        <w:t xml:space="preserve">, </w:t>
      </w:r>
      <w:r>
        <w:rPr>
          <w:b/>
        </w:rPr>
        <w:t>Contradicted</w:t>
      </w:r>
      <w:r>
        <w:t xml:space="preserve">, or </w:t>
      </w:r>
      <w:r>
        <w:rPr>
          <w:b/>
        </w:rPr>
        <w:t>Not found</w:t>
      </w:r>
      <w:r>
        <w:t>. "Partially supported" exists to name the</w:t>
      </w:r>
    </w:p>
    <w:p>
      <w:r>
        <w:t>most common real-world failure — overstating what a source says, or dropping a qualifier. The</w:t>
      </w:r>
    </w:p>
    <w:p>
      <w:r>
        <w:t>retrieved passage is always displayed, so the researcher judges the judgement.</w:t>
      </w:r>
    </w:p>
    <w:p>
      <w:pPr>
        <w:pStyle w:val="Heading3"/>
      </w:pPr>
      <w:r>
        <w:t>2. Hover in Overleaf</w:t>
      </w:r>
    </w:p>
    <w:p>
      <w:r>
        <w:t xml:space="preserve">The extension turns a citation into something you can read in place: hover the </w:t>
      </w:r>
      <w:r>
        <w:rPr>
          <w:rFonts w:ascii="Consolas" w:hAnsi="Consolas"/>
          <w:sz w:val="19"/>
        </w:rPr>
        <w:t>\cite{}</w:t>
      </w:r>
      <w:r>
        <w:t xml:space="preserve"> and the</w:t>
      </w:r>
    </w:p>
    <w:p>
      <w:r>
        <w:t>card shows the citation, its bibliography entry and its location in the editor. It passes no</w:t>
      </w:r>
    </w:p>
    <w:p>
      <w:r>
        <w:t>judgement on the claim — the extension runs the bibliography audit, not the claim comparison — so</w:t>
      </w:r>
    </w:p>
    <w:p>
      <w:r>
        <w:t xml:space="preserve">the card states </w:t>
      </w:r>
      <w:r>
        <w:rPr>
          <w:b/>
        </w:rPr>
        <w:t>not checked</w:t>
      </w:r>
      <w:r>
        <w:t>, and the passage-with-verdict view belongs to the dashboard's</w:t>
      </w:r>
    </w:p>
    <w:p>
      <w:r>
        <w:t>Verify. A build that did show the retrieved source passage in the card shipped on 18 September 2026</w:t>
      </w:r>
    </w:p>
    <w:p>
      <w:r>
        <w:t>and was disabled the next day, when the extension was made audit-only. The card is built from local</w:t>
      </w:r>
    </w:p>
    <w:p>
      <w:r>
        <w:t>data — no network request and no spinner on hover — because the moment it interrupts the writing</w:t>
      </w:r>
    </w:p>
    <w:p>
      <w:r>
        <w:t>flow, it has failed at the thing it was built for.</w:t>
      </w:r>
    </w:p>
    <w:p>
      <w:pPr>
        <w:pStyle w:val="Heading3"/>
      </w:pPr>
      <w:r>
        <w:t>3. Audit a whole bibliography</w:t>
      </w:r>
    </w:p>
    <w:p>
      <w:r>
        <w:t xml:space="preserve">Paste or upload a reference list (or let the extension read the </w:t>
      </w:r>
      <w:r>
        <w:rPr>
          <w:rFonts w:ascii="Consolas" w:hAnsi="Consolas"/>
          <w:sz w:val="19"/>
        </w:rPr>
        <w:t>.bib</w:t>
      </w:r>
      <w:r>
        <w:t xml:space="preserve"> from Overleaf) and every entry</w:t>
      </w:r>
    </w:p>
    <w:p>
      <w:r>
        <w:t>is checked against real publication records — **OpenAlex first, Crossref as fallback, both</w:t>
      </w:r>
    </w:p>
    <w:p>
      <w:r>
        <w:t>keyless** — and reported in one of five states, with a detail panel per reference showing the</w:t>
      </w:r>
    </w:p>
    <w:p>
      <w:r>
        <w:t>field-by-field checks and every lookup attempt made. This is the feature for the supervisor's</w:t>
      </w:r>
    </w:p>
    <w:p>
      <w:r>
        <w:t>thirty minutes: a risk-ranked list of what needs human eyes, instead of a whole paper.</w:t>
      </w:r>
    </w:p>
    <w:p>
      <w:pPr>
        <w:pStyle w:val="Heading3"/>
      </w:pPr>
      <w:r>
        <w:t xml:space="preserve">4. Cross-check a </w:t>
      </w:r>
      <w:r>
        <w:rPr>
          <w:rFonts w:ascii="Consolas" w:hAnsi="Consolas"/>
          <w:sz w:val="19"/>
        </w:rPr>
        <w:t>.bib</w:t>
      </w:r>
      <w:r>
        <w:t xml:space="preserve"> against the source PDFs</w:t>
      </w:r>
    </w:p>
    <w:p>
      <w:r>
        <w:t>For a bibliography whose sources the researcher already has, the system compares each entry's</w:t>
      </w:r>
    </w:p>
    <w:p>
      <w:r>
        <w:t>title, year, authors, venue and DOI against the PDF — catching wrong years, garbled titles and DOIs</w:t>
      </w:r>
    </w:p>
    <w:p>
      <w:r>
        <w:t>pointing at the wrong paper, with no network calls at all.</w:t>
      </w:r>
    </w:p>
    <w:p>
      <w:pPr>
        <w:pStyle w:val="Heading3"/>
      </w:pPr>
      <w:r>
        <w:t>5. Trust built into the output</w:t>
      </w:r>
    </w:p>
    <w:p>
      <w:r>
        <w:t>Under all four solutions:</w:t>
      </w:r>
    </w:p>
    <w:p>
      <w:pPr>
        <w:pStyle w:val="ListBullet"/>
      </w:pPr>
      <w:r>
        <w:rPr>
          <w:b/>
        </w:rPr>
        <w:t>Evidence, not verdicts</w:t>
      </w:r>
      <w:r>
        <w:t xml:space="preserve"> — every result carries the passage or the record it came from.</w:t>
      </w:r>
    </w:p>
    <w:p>
      <w:pPr>
        <w:pStyle w:val="ListBullet"/>
      </w:pPr>
      <w:r>
        <w:rPr>
          <w:b/>
        </w:rPr>
        <w:t>The failure rule</w:t>
      </w:r>
      <w:r>
        <w:t xml:space="preserve"> — an inconclusive check is reported as inconclusive, never as a negative</w:t>
      </w:r>
    </w:p>
    <w:p>
      <w:r>
        <w:t>finding.</w:t>
      </w:r>
    </w:p>
    <w:p>
      <w:pPr>
        <w:pStyle w:val="ListBullet"/>
      </w:pPr>
      <w:r>
        <w:rPr>
          <w:b/>
        </w:rPr>
        <w:t>A constrained model</w:t>
      </w:r>
      <w:r>
        <w:t xml:space="preserve"> — the AI's only job is to classify the relationship between two passages</w:t>
      </w:r>
    </w:p>
    <w:p>
      <w:r>
        <w:t>the system has already retrieved from real text; it never writes a reference, and if it is</w:t>
      </w:r>
    </w:p>
    <w:p>
      <w:r>
        <w:t>unavailable the result is an explicit failure state, never a guessed verdict.</w:t>
      </w:r>
    </w:p>
    <w:p>
      <w:pPr>
        <w:pStyle w:val="ListBullet"/>
      </w:pPr>
      <w:r>
        <w:rPr>
          <w:b/>
        </w:rPr>
        <w:t>The researcher's own credentials</w:t>
      </w:r>
      <w:r>
        <w:t xml:space="preserve"> — 17 supported providers, keys held only for the lifetime of</w:t>
      </w:r>
    </w:p>
    <w:p>
      <w:r>
        <w:t>the request; the product holds no shared key and stores no key.</w:t>
      </w:r>
    </w:p>
    <w:p>
      <w:r>
        <w:rPr>
          <w:b/>
        </w:rPr>
        <w:t>Built with:</w:t>
      </w:r>
      <w:r>
        <w:t xml:space="preserve"> FastAPI backend, React dashboard, Chrome MV3 extension, and a Python engine</w:t>
      </w:r>
    </w:p>
    <w:p>
      <w:r>
        <w:t>(sentence embeddings with a local FAISS index for retrieval; a provider chain and an identity rule</w:t>
      </w:r>
    </w:p>
    <w:p>
      <w:r>
        <w:t>for the audit). The system runs as a working prototype today, with the end-to-end flow accepted on</w:t>
      </w:r>
    </w:p>
    <w:p>
      <w:r>
        <w:t>the real Overleaf.</w:t>
      </w:r>
    </w:p>
    <w:p/>
    <w:p>
      <w:pPr>
        <w:pStyle w:val="Heading2"/>
      </w:pPr>
      <w:r>
        <w:t>5. Target Market</w:t>
      </w:r>
    </w:p>
    <w:p>
      <w:pPr>
        <w:pStyle w:val="Heading3"/>
      </w:pPr>
      <w:r>
        <w:t>Demand</w:t>
      </w:r>
    </w:p>
    <w:p>
      <w:r>
        <w:rPr>
          <w:b/>
        </w:rPr>
        <w:t>5.7 million</w:t>
      </w:r>
      <w:r>
        <w:t xml:space="preserve"> articles, reviews and conference papers were published in 2024, up from 3.9 million</w:t>
      </w:r>
    </w:p>
    <w:p>
      <w:r>
        <w:t xml:space="preserve">five years earlier — </w:t>
      </w:r>
      <w:r>
        <w:rPr>
          <w:b/>
        </w:rPr>
        <w:t>+46%</w:t>
      </w:r>
      <w:r>
        <w:t>, about 7.9% a year (Dimensions data reported by STM and Research</w:t>
      </w:r>
    </w:p>
    <w:p>
      <w:r>
        <w:t>Consulting, January 2026). Every one of those papers carries citations, and Findings 1–4 say a</w:t>
      </w:r>
    </w:p>
    <w:p>
      <w:r>
        <w:t>measurable fraction of them are wrong and going unchecked.</w:t>
      </w:r>
    </w:p>
    <w:p>
      <w:pPr>
        <w:pStyle w:val="Heading3"/>
      </w:pPr>
      <w:r>
        <w:t>The money, and the honest problem with it</w:t>
      </w:r>
    </w:p>
    <w:p>
      <w:r>
        <w:t>The natural market to quote — reference-management software — is sized **three times apart by three</w:t>
      </w:r>
    </w:p>
    <w:p>
      <w:r>
        <w:t>commercial vendors** for the same year: $371M, $385M and $1,150M for 2024. None of those estimates</w:t>
      </w:r>
    </w:p>
    <w:p>
      <w:r>
        <w:t>is audited, and we cannot defend a point estimate, so we do not.</w:t>
      </w:r>
    </w:p>
    <w:p>
      <w:r>
        <w:t xml:space="preserve">What an auditor can check is Clarivate's </w:t>
      </w:r>
      <w:r>
        <w:rPr>
          <w:b/>
        </w:rPr>
        <w:t>Academia &amp; Government</w:t>
      </w:r>
      <w:r>
        <w:t xml:space="preserve"> segment — the part of the</w:t>
      </w:r>
    </w:p>
    <w:p>
      <w:r>
        <w:t xml:space="preserve">company containing Web of Science and EndNote — at </w:t>
      </w:r>
      <w:r>
        <w:rPr>
          <w:b/>
        </w:rPr>
        <w:t>$1,266.0M in FY2025</w:t>
      </w:r>
      <w:r>
        <w:t>, filed with the SEC on</w:t>
      </w:r>
    </w:p>
    <w:p>
      <w:r>
        <w:t>Form 10-K. For scale, the scholarly publishing market itself is roughly $27B at a 1.3% CAGR</w:t>
      </w:r>
    </w:p>
    <w:p>
      <w:r>
        <w:t>(Outsell) — the corpus grows far faster than the revenue that pays for it.</w:t>
      </w:r>
    </w:p>
    <w:p>
      <w:pPr>
        <w:pStyle w:val="Heading3"/>
      </w:pPr>
      <w:r>
        <w:t>The hole in the price list</w:t>
      </w:r>
    </w:p>
    <w:p>
      <w:r>
        <w:t>What is actually purchasable today, and what each price buys: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Vendor</w:t>
            </w:r>
          </w:p>
        </w:tc>
        <w:tc>
          <w:tcPr>
            <w:tcW w:type="dxa" w:w="2880"/>
          </w:tcPr>
          <w:p>
            <w:r/>
            <w:r>
              <w:t>Price</w:t>
            </w:r>
          </w:p>
        </w:tc>
        <w:tc>
          <w:tcPr>
            <w:tcW w:type="dxa" w:w="2880"/>
          </w:tcPr>
          <w:p>
            <w:r/>
            <w:r>
              <w:t>What it actually checks</w:t>
            </w:r>
          </w:p>
        </w:tc>
      </w:tr>
      <w:tr>
        <w:tc>
          <w:tcPr>
            <w:tcW w:type="dxa" w:w="2880"/>
          </w:tcPr>
          <w:p>
            <w:r/>
            <w:r>
              <w:t>iThenticate (direct)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$125</w:t>
            </w:r>
            <w:r>
              <w:t xml:space="preserve"> / manuscript ≤ 25,000 words</w:t>
            </w:r>
          </w:p>
        </w:tc>
        <w:tc>
          <w:tcPr>
            <w:tcW w:type="dxa" w:w="2880"/>
          </w:tcPr>
          <w:p>
            <w:r/>
            <w:r>
              <w:t>text similarity only</w:t>
            </w:r>
          </w:p>
        </w:tc>
      </w:tr>
      <w:tr>
        <w:tc>
          <w:tcPr>
            <w:tcW w:type="dxa" w:w="2880"/>
          </w:tcPr>
          <w:p>
            <w:r/>
            <w:r>
              <w:t>EditVerse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$175</w:t>
            </w:r>
            <w:r>
              <w:t xml:space="preserve"> / manuscript</w:t>
            </w:r>
          </w:p>
        </w:tc>
        <w:tc>
          <w:tcPr>
            <w:tcW w:type="dxa" w:w="2880"/>
          </w:tcPr>
          <w:p>
            <w:r/>
            <w:r>
              <w:t>reference metadata and existence</w:t>
            </w:r>
          </w:p>
        </w:tc>
      </w:tr>
      <w:tr>
        <w:tc>
          <w:tcPr>
            <w:tcW w:type="dxa" w:w="2880"/>
          </w:tcPr>
          <w:p>
            <w:r/>
            <w:r>
              <w:t>Enago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$18</w:t>
            </w:r>
          </w:p>
        </w:tc>
        <w:tc>
          <w:tcPr>
            <w:tcW w:type="dxa" w:w="2880"/>
          </w:tcPr>
          <w:p>
            <w:r/>
            <w:r>
              <w:t>reference formatting</w:t>
            </w:r>
          </w:p>
        </w:tc>
      </w:tr>
      <w:tr>
        <w:tc>
          <w:tcPr>
            <w:tcW w:type="dxa" w:w="2880"/>
          </w:tcPr>
          <w:p>
            <w:r/>
            <w:r>
              <w:t>Crossref Similarity Check</w:t>
            </w:r>
          </w:p>
        </w:tc>
        <w:tc>
          <w:tcPr>
            <w:tcW w:type="dxa" w:w="2880"/>
          </w:tcPr>
          <w:p>
            <w:r/>
            <w:r>
              <w:t>$0.75 / document</w:t>
            </w:r>
          </w:p>
        </w:tc>
        <w:tc>
          <w:tcPr>
            <w:tcW w:type="dxa" w:w="2880"/>
          </w:tcPr>
          <w:p>
            <w:r/>
            <w:r>
              <w:t>similarity matching</w:t>
            </w:r>
          </w:p>
        </w:tc>
      </w:tr>
      <w:tr>
        <w:tc>
          <w:tcPr>
            <w:tcW w:type="dxa" w:w="2880"/>
          </w:tcPr>
          <w:p>
            <w:r/>
            <w:r>
              <w:t>Harbin Institute of Technology Library</w:t>
            </w:r>
          </w:p>
        </w:tc>
        <w:tc>
          <w:tcPr>
            <w:tcW w:type="dxa" w:w="2880"/>
          </w:tcPr>
          <w:p>
            <w:r/>
            <w:r>
              <w:t>CNY 10 / citation</w:t>
            </w:r>
          </w:p>
        </w:tc>
        <w:tc>
          <w:tcPr>
            <w:tcW w:type="dxa" w:w="2880"/>
          </w:tcPr>
          <w:p>
            <w:r/>
            <w:r>
              <w:t>confirms a paper exists and is indexed</w:t>
            </w:r>
          </w:p>
        </w:tc>
      </w:tr>
    </w:tbl>
    <w:p/>
    <w:p>
      <w:r>
        <w:t xml:space="preserve">Every published price buys </w:t>
      </w:r>
      <w:r>
        <w:rPr>
          <w:b/>
        </w:rPr>
        <w:t>formatting, metadata verification, or text-similarity matching</w:t>
      </w:r>
      <w:r>
        <w:t>. None</w:t>
      </w:r>
    </w:p>
    <w:p>
      <w:r>
        <w:t xml:space="preserve">buys claim-support verification. </w:t>
      </w:r>
      <w:r>
        <w:rPr>
          <w:b/>
        </w:rPr>
        <w:t>The hole in the price list is the product.</w:t>
      </w:r>
    </w:p>
    <w:p>
      <w:pPr>
        <w:pStyle w:val="Heading3"/>
      </w:pPr>
      <w:r>
        <w:t>Willingness to pay is demonstrated, not assumed</w:t>
      </w:r>
    </w:p>
    <w:p>
      <w:r>
        <w:t xml:space="preserve">scite.ai — the closest funded neighbour — reached </w:t>
      </w:r>
      <w:r>
        <w:rPr>
          <w:b/>
        </w:rPr>
        <w:t>~21,000 paying subscribers</w:t>
      </w:r>
      <w:r>
        <w:t xml:space="preserve"> and **$3.6M</w:t>
      </w:r>
    </w:p>
    <w:p>
      <w:r>
        <w:t>annualised subscription revenue** before being acquired by Research Solutions (NASDAQ: RSSS) at</w:t>
      </w:r>
    </w:p>
    <w:p>
      <w:r>
        <w:t xml:space="preserve">roughly </w:t>
      </w:r>
      <w:r>
        <w:rPr>
          <w:b/>
        </w:rPr>
        <w:t>$29M all-in</w:t>
      </w:r>
      <w:r>
        <w:t xml:space="preserve"> (≈$21.1M initial consideration plus a $15.4M earn-out finalised July 2025).</w:t>
      </w:r>
    </w:p>
    <w:p>
      <w:r>
        <w:t>Its consumer pricing is $20/month Basic and $50/month Pro, billed yearly. People and institutions</w:t>
      </w:r>
    </w:p>
    <w:p>
      <w:r>
        <w:t xml:space="preserve">pay for citation intelligence; they currently pay for a </w:t>
      </w:r>
      <w:r>
        <w:rPr>
          <w:i/>
        </w:rPr>
        <w:t>different question</w:t>
      </w:r>
      <w:r>
        <w:t xml:space="preserve"> (Section 6).</w:t>
      </w:r>
    </w:p>
    <w:p>
      <w:pPr>
        <w:pStyle w:val="Heading3"/>
      </w:pPr>
      <w:r>
        <w:t>Segments and route to market</w:t>
      </w:r>
    </w:p>
    <w:p>
      <w:r>
        <w:t xml:space="preserve">1. </w:t>
      </w:r>
      <w:r>
        <w:rPr>
          <w:b/>
        </w:rPr>
        <w:t>Individual researchers</w:t>
      </w:r>
      <w:r>
        <w:t xml:space="preserve"> — free tier for single checks; subscription for batch audit and</w:t>
      </w:r>
    </w:p>
    <w:p>
      <w:r>
        <w:t>unlimited verification (the scite-comparable entry point).</w:t>
      </w:r>
    </w:p>
    <w:p>
      <w:r>
        <w:t xml:space="preserve">2. </w:t>
      </w:r>
      <w:r>
        <w:rPr>
          <w:b/>
        </w:rPr>
        <w:t>Labs and supervisors</w:t>
      </w:r>
      <w:r>
        <w:t xml:space="preserve"> — departmental subscriptions, the batch audit with reports for students</w:t>
      </w:r>
    </w:p>
    <w:p>
      <w:r>
        <w:t>(the PI persona, and the most natural first paid tier).</w:t>
      </w:r>
    </w:p>
    <w:p>
      <w:r>
        <w:t xml:space="preserve">3. </w:t>
      </w:r>
      <w:r>
        <w:rPr>
          <w:b/>
        </w:rPr>
        <w:t>Institutions</w:t>
      </w:r>
      <w:r>
        <w:t xml:space="preserve"> — research-integrity offices and libraries; the audit output is exactly the</w:t>
      </w:r>
    </w:p>
    <w:p>
      <w:r>
        <w:t>evidence they currently assemble by hand.</w:t>
      </w:r>
    </w:p>
    <w:p>
      <w:r>
        <w:t xml:space="preserve">4. </w:t>
      </w:r>
      <w:r>
        <w:rPr>
          <w:b/>
        </w:rPr>
        <w:t>Publishers</w:t>
      </w:r>
      <w:r>
        <w:t xml:space="preserve"> — the </w:t>
      </w:r>
      <w:r>
        <w:rPr>
          <w:i/>
        </w:rPr>
        <w:t>BMJ</w:t>
      </w:r>
      <w:r>
        <w:t xml:space="preserve"> 2023 proposal of citation checks integrated into submission portals is</w:t>
      </w:r>
    </w:p>
    <w:p>
      <w:r>
        <w:t>a publisher-facing product, not a researcher tool; a direction, not a current plan.</w:t>
      </w:r>
    </w:p>
    <w:p/>
    <w:p>
      <w:pPr>
        <w:pStyle w:val="Heading2"/>
      </w:pPr>
      <w:r>
        <w:t>6. Competitors in the current market</w:t>
      </w:r>
    </w:p>
    <w:p>
      <w:pPr>
        <w:pStyle w:val="Heading3"/>
      </w:pPr>
      <w:r>
        <w:t>The four classes of incumbent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Class</w:t>
            </w:r>
          </w:p>
        </w:tc>
        <w:tc>
          <w:tcPr>
            <w:tcW w:type="dxa" w:w="2160"/>
          </w:tcPr>
          <w:p>
            <w:r/>
            <w:r>
              <w:t>Examples</w:t>
            </w:r>
          </w:p>
        </w:tc>
        <w:tc>
          <w:tcPr>
            <w:tcW w:type="dxa" w:w="2160"/>
          </w:tcPr>
          <w:p>
            <w:r/>
            <w:r>
              <w:t>What they actually check</w:t>
            </w:r>
          </w:p>
        </w:tc>
        <w:tc>
          <w:tcPr>
            <w:tcW w:type="dxa" w:w="2160"/>
          </w:tcPr>
          <w:p>
            <w:r/>
            <w:r>
              <w:t>Why the gap survives</w:t>
            </w:r>
          </w:p>
        </w:tc>
      </w:tr>
      <w:tr>
        <w:tc>
          <w:tcPr>
            <w:tcW w:type="dxa" w:w="2160"/>
          </w:tcPr>
          <w:p>
            <w:r/>
            <w:r>
              <w:t>Reference managers</w:t>
            </w:r>
          </w:p>
        </w:tc>
        <w:tc>
          <w:tcPr>
            <w:tcW w:type="dxa" w:w="2160"/>
          </w:tcPr>
          <w:p>
            <w:r/>
            <w:r>
              <w:t>Zotero (14.4M users in 2024, +25% YoY), Mendeley, EndNote</w:t>
            </w:r>
          </w:p>
        </w:tc>
        <w:tc>
          <w:tcPr>
            <w:tcW w:type="dxa" w:w="2160"/>
          </w:tcPr>
          <w:p>
            <w:r/>
            <w:r>
              <w:t>Store and format metadata</w:t>
            </w:r>
          </w:p>
        </w:tc>
        <w:tc>
          <w:tcPr>
            <w:tcW w:type="dxa" w:w="2160"/>
          </w:tcPr>
          <w:p>
            <w:r/>
            <w:r>
              <w:t>They never read the cited paper</w:t>
            </w:r>
          </w:p>
        </w:tc>
      </w:tr>
      <w:tr>
        <w:tc>
          <w:tcPr>
            <w:tcW w:type="dxa" w:w="2160"/>
          </w:tcPr>
          <w:p>
            <w:r/>
            <w:r>
              <w:t>Similarity checkers</w:t>
            </w:r>
          </w:p>
        </w:tc>
        <w:tc>
          <w:tcPr>
            <w:tcW w:type="dxa" w:w="2160"/>
          </w:tcPr>
          <w:p>
            <w:r/>
            <w:r>
              <w:t>Turnitin, iThenticate</w:t>
            </w:r>
          </w:p>
        </w:tc>
        <w:tc>
          <w:tcPr>
            <w:tcW w:type="dxa" w:w="2160"/>
          </w:tcPr>
          <w:p>
            <w:r/>
            <w:r>
              <w:t>Strings of five or more words matching a database</w:t>
            </w:r>
          </w:p>
        </w:tc>
        <w:tc>
          <w:tcPr>
            <w:tcW w:type="dxa" w:w="2160"/>
          </w:tcPr>
          <w:p>
            <w:r/>
            <w:r>
              <w:t>A claim reworded in the author's own voice matches no string — so a mis-cited claim contributes nothing to the score. iThenticate's own guide lists "information or language attributed to the wrong source" among what it does not identify</w:t>
            </w:r>
          </w:p>
        </w:tc>
      </w:tr>
      <w:tr>
        <w:tc>
          <w:tcPr>
            <w:tcW w:type="dxa" w:w="2160"/>
          </w:tcPr>
          <w:p>
            <w:r/>
            <w:r>
              <w:t>Reference checkers</w:t>
            </w:r>
          </w:p>
        </w:tc>
        <w:tc>
          <w:tcPr>
            <w:tcW w:type="dxa" w:w="2160"/>
          </w:tcPr>
          <w:p>
            <w:r/>
            <w:r>
              <w:t>ReciteWorks, Edifix, CiteTrue, Paperpile, SciSpace</w:t>
            </w:r>
          </w:p>
        </w:tc>
        <w:tc>
          <w:tcPr>
            <w:tcW w:type="dxa" w:w="2160"/>
          </w:tcPr>
          <w:p>
            <w:r/>
            <w:r>
              <w:t>Whether the record exists</w:t>
            </w:r>
          </w:p>
        </w:tc>
        <w:tc>
          <w:tcPr>
            <w:tcW w:type="dxa" w:w="2160"/>
          </w:tcPr>
          <w:p>
            <w:r/>
            <w:r>
              <w:t>Asked directly whether it checks that quoted text appears in the cited source, ReciteWorks' own FAQ answers "No, not currently"</w:t>
            </w:r>
          </w:p>
        </w:tc>
      </w:tr>
      <w:tr>
        <w:tc>
          <w:tcPr>
            <w:tcW w:type="dxa" w:w="2160"/>
          </w:tcPr>
          <w:p>
            <w:r/>
            <w:r>
              <w:t>Citation-intent platforms</w:t>
            </w:r>
          </w:p>
        </w:tc>
        <w:tc>
          <w:tcPr>
            <w:tcW w:type="dxa" w:w="2160"/>
          </w:tcPr>
          <w:p>
            <w:r/>
            <w:r>
              <w:t>scite.ai, Semantic Scholar</w:t>
            </w:r>
          </w:p>
        </w:tc>
        <w:tc>
          <w:tcPr>
            <w:tcW w:type="dxa" w:w="2160"/>
          </w:tcPr>
          <w:p>
            <w:r/>
            <w:r>
              <w:t xml:space="preserve">How </w:t>
            </w:r>
            <w:r>
              <w:rPr>
                <w:i/>
              </w:rPr>
              <w:t>other people</w:t>
            </w:r>
            <w:r>
              <w:t xml:space="preserve"> cited a paper</w:t>
            </w:r>
          </w:p>
        </w:tc>
        <w:tc>
          <w:tcPr>
            <w:tcW w:type="dxa" w:w="2160"/>
          </w:tcPr>
          <w:p>
            <w:r/>
            <w:r>
              <w:t>The unit of analysis is the cited paper, not your sentence; Semantic Scholar's intent is purpose, not stance, and only ~12% of citations carried any intent in a live API test</w:t>
            </w:r>
          </w:p>
        </w:tc>
      </w:tr>
    </w:tbl>
    <w:p/>
    <w:p>
      <w:pPr>
        <w:pStyle w:val="Heading3"/>
      </w:pPr>
      <w:r>
        <w:t>The real alternative is the status quo</w:t>
      </w:r>
    </w:p>
    <w:p>
      <w:r>
        <w:t>For most researchers the competitor is not a product: it is Ctrl+F and a downloaded PDF, or asking</w:t>
      </w:r>
    </w:p>
    <w:p>
      <w:r>
        <w:t>a chatbot — which, per Finding 4, is itself a cause of the problem. Both alternatives are the thing</w:t>
      </w:r>
    </w:p>
    <w:p>
      <w:r>
        <w:t>this project replaces.</w:t>
      </w:r>
    </w:p>
    <w:p>
      <w:pPr>
        <w:pStyle w:val="Heading3"/>
      </w:pPr>
      <w:r>
        <w:t>The closest competitor: scite.ai</w:t>
      </w:r>
    </w:p>
    <w:p>
      <w:r>
        <w:t>scite is the one a reviewer names first, and it is worth studying because it proves the category:</w:t>
      </w:r>
    </w:p>
    <w:p>
      <w:r>
        <w:t>founded 2018, acquired by a NASDAQ-listed company in 2023, with 1.6B+ Smart Citations. It labels how</w:t>
      </w:r>
    </w:p>
    <w:p>
      <w:r>
        <w:t>a paper has been cited — supporting, contrasting or mentioning — and its Reference Check accepts a</w:t>
      </w:r>
    </w:p>
    <w:p>
      <w:r>
        <w:t>manuscript and reports, per reference, retractions and editorial notices.</w:t>
      </w:r>
    </w:p>
    <w:p>
      <w:r>
        <w:t>Two things about it matter here:</w:t>
      </w:r>
    </w:p>
    <w:p>
      <w:pPr>
        <w:pStyle w:val="ListBullet"/>
      </w:pPr>
      <w:r>
        <w:rPr>
          <w:b/>
        </w:rPr>
        <w:t>It answers a different question.</w:t>
      </w:r>
      <w:r>
        <w:t xml:space="preserve"> scite tells you reference #12 has been retracted, or how</w:t>
      </w:r>
    </w:p>
    <w:p>
      <w:r>
        <w:t xml:space="preserve">forty papers used it. It cannot tell you that </w:t>
      </w:r>
      <w:r>
        <w:rPr>
          <w:i/>
        </w:rPr>
        <w:t>your sentence about #12 is wrong</w:t>
      </w:r>
      <w:r>
        <w:t xml:space="preserve"> — and to its</w:t>
      </w:r>
    </w:p>
    <w:p>
      <w:r>
        <w:t>credit, it does not claim to.</w:t>
      </w:r>
    </w:p>
    <w:p>
      <w:pPr>
        <w:pStyle w:val="ListBullet"/>
      </w:pPr>
      <w:r>
        <w:rPr>
          <w:b/>
        </w:rPr>
        <w:t>Its hardest classes are weak, by its own measurements.</w:t>
      </w:r>
      <w:r>
        <w:t xml:space="preserve"> Its published F-scores are 96.3 for</w:t>
      </w:r>
    </w:p>
    <w:p>
      <w:r>
        <w:t>"mentioning" but 55.3 for "supporting" and 20.5 for "disputing"; it states it fails to identify</w:t>
      </w:r>
    </w:p>
    <w:p>
      <w:r>
        <w:t xml:space="preserve">about </w:t>
      </w:r>
      <w:r>
        <w:rPr>
          <w:b/>
        </w:rPr>
        <w:t>30%</w:t>
      </w:r>
      <w:r>
        <w:t xml:space="preserve"> of citation statements in PDFs; and an independent 2023 audit of citations to</w:t>
      </w:r>
    </w:p>
    <w:p>
      <w:r>
        <w:t>retracted works found human assessors labelling 17 contrasting citations where scite showed none.</w:t>
      </w:r>
    </w:p>
    <w:p>
      <w:r>
        <w:t>(scite-affiliated authors dispute that audit's method; the dispute is unresolved.) These are</w:t>
      </w:r>
    </w:p>
    <w:p>
      <w:r>
        <w:t>precisely the two classes this project's Verify exists to handle.</w:t>
      </w:r>
    </w:p>
    <w:p>
      <w:pPr>
        <w:pStyle w:val="Heading3"/>
      </w:pPr>
      <w:r>
        <w:t>The column is unoccupied, not empty</w:t>
      </w:r>
    </w:p>
    <w:p>
      <w:r>
        <w:t>Prototypes and small entrants are attempting claim-support checking — RefVerifier (71% end-to-end</w:t>
      </w:r>
    </w:p>
    <w:p>
      <w:r>
        <w:t>accuracy, September 2026), Grounded AI, sci2sci (€1.2M pre-seed), plus RefCheckAI, CiteVahti,</w:t>
      </w:r>
    </w:p>
    <w:p>
      <w:r>
        <w:t>CiteGuard and a university library service. Claiming nobody is trying would be false. Claiming no</w:t>
      </w:r>
    </w:p>
    <w:p>
      <w:r>
        <w:rPr>
          <w:i/>
        </w:rPr>
        <w:t>established</w:t>
      </w:r>
      <w:r>
        <w:t xml:space="preserve"> product owns this is defensible and checkable.</w:t>
      </w:r>
    </w:p>
    <w:p>
      <w:pPr>
        <w:pStyle w:val="Heading3"/>
      </w:pPr>
      <w:r>
        <w:t>ClaimTrace's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Question</w:t>
            </w:r>
          </w:p>
        </w:tc>
        <w:tc>
          <w:tcPr>
            <w:tcW w:type="dxa" w:w="1728"/>
          </w:tcPr>
          <w:p>
            <w:r/>
            <w:r>
              <w:t>Zotero</w:t>
            </w:r>
          </w:p>
        </w:tc>
        <w:tc>
          <w:tcPr>
            <w:tcW w:type="dxa" w:w="1728"/>
          </w:tcPr>
          <w:p>
            <w:r/>
            <w:r>
              <w:t>Turnitin</w:t>
            </w:r>
          </w:p>
        </w:tc>
        <w:tc>
          <w:tcPr>
            <w:tcW w:type="dxa" w:w="1728"/>
          </w:tcPr>
          <w:p>
            <w:r/>
            <w:r>
              <w:t>scite</w:t>
            </w:r>
          </w:p>
        </w:tc>
        <w:tc>
          <w:tcPr>
            <w:tcW w:type="dxa" w:w="1728"/>
          </w:tcPr>
          <w:p>
            <w:r/>
            <w:r>
              <w:t>ClaimTrace</w:t>
            </w:r>
          </w:p>
        </w:tc>
      </w:tr>
      <w:tr>
        <w:tc>
          <w:tcPr>
            <w:tcW w:type="dxa" w:w="1728"/>
          </w:tcPr>
          <w:p>
            <w:r/>
            <w:r>
              <w:t>Does the reference exist?</w:t>
            </w:r>
          </w:p>
        </w:tc>
        <w:tc>
          <w:tcPr>
            <w:tcW w:type="dxa" w:w="1728"/>
          </w:tcPr>
          <w:p>
            <w:r/>
            <w:r>
              <w:t>stores it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(Audit)</w:t>
            </w:r>
          </w:p>
        </w:tc>
      </w:tr>
      <w:tr>
        <w:tc>
          <w:tcPr>
            <w:tcW w:type="dxa" w:w="1728"/>
          </w:tcPr>
          <w:p>
            <w:r/>
            <w:r>
              <w:t>Is its metadata right?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yes (Audit)</w:t>
            </w:r>
          </w:p>
        </w:tc>
      </w:tr>
      <w:tr>
        <w:tc>
          <w:tcPr>
            <w:tcW w:type="dxa" w:w="1728"/>
          </w:tcPr>
          <w:p>
            <w:r/>
            <w:r>
              <w:t>How have others cited it?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no, deliberately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Does YOUR source support YOUR sentence?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yes (Verify)</w:t>
            </w:r>
          </w:p>
        </w:tc>
      </w:tr>
    </w:tbl>
    <w:p/>
    <w:p>
      <w:r>
        <w:t xml:space="preserve">Two layers — </w:t>
      </w:r>
      <w:r>
        <w:rPr>
          <w:b/>
        </w:rPr>
        <w:t>Audit</w:t>
      </w:r>
      <w:r>
        <w:t xml:space="preserve"> the record, </w:t>
      </w:r>
      <w:r>
        <w:rPr>
          <w:b/>
        </w:rPr>
        <w:t>Verify</w:t>
      </w:r>
      <w:r>
        <w:t xml:space="preserve"> the meaning — plus the failure rule that no competitor</w:t>
      </w:r>
    </w:p>
    <w:p>
      <w:r>
        <w:t>documents: a failed lookup stays a failed lookup, and is never converted into a verdict that a</w:t>
      </w:r>
    </w:p>
    <w:p>
      <w:r>
        <w:t>reference does not exist. In one line: **every tool on the market checks the paper; none checks the</w:t>
      </w:r>
    </w:p>
    <w:p>
      <w:r>
        <w:t>sentence.**</w:t>
      </w:r>
    </w:p>
    <w:p/>
    <w:p>
      <w:pPr>
        <w:pStyle w:val="Heading2"/>
      </w:pPr>
      <w:r>
        <w:t>Sources</w:t>
      </w:r>
    </w:p>
    <w:p>
      <w:r>
        <w:t xml:space="preserve">The full source list, with each figure's scope and origin, is in </w:t>
      </w:r>
      <w:r>
        <w:rPr>
          <w:rFonts w:ascii="Consolas" w:hAnsi="Consolas"/>
          <w:sz w:val="19"/>
        </w:rPr>
        <w:t>ClaimTrace-Market-Analysis.md</w:t>
      </w:r>
    </w:p>
    <w:p>
      <w:r>
        <w:t>(§8). Statistical claims above cite: Baethge &amp; Jergas 2025 · Jergas &amp; Baethge 2015 · Baxt et al.</w:t>
      </w:r>
    </w:p>
    <w:p>
      <w:r>
        <w:t xml:space="preserve">1998 · Schroter et al. 2008 · </w:t>
      </w:r>
      <w:r>
        <w:rPr>
          <w:i/>
        </w:rPr>
        <w:t>BMJ</w:t>
      </w:r>
      <w:r>
        <w:t xml:space="preserve"> 2023;383:e076441 · </w:t>
      </w:r>
      <w:r>
        <w:rPr>
          <w:i/>
        </w:rPr>
        <w:t>J Inf Sci</w:t>
      </w:r>
      <w:r>
        <w:t xml:space="preserve"> 2026 · Retraction Watch and</w:t>
      </w:r>
    </w:p>
    <w:p>
      <w:r>
        <w:t xml:space="preserve">Crossref (September 2023) · </w:t>
      </w:r>
      <w:r>
        <w:rPr>
          <w:i/>
        </w:rPr>
        <w:t>Lancet</w:t>
      </w:r>
      <w:r>
        <w:t xml:space="preserve"> 2026 · </w:t>
      </w:r>
      <w:r>
        <w:rPr>
          <w:i/>
        </w:rPr>
        <w:t>JMIR Ment Health</w:t>
      </w:r>
      <w:r>
        <w:t xml:space="preserve"> 2025;12:e80371 · Walters &amp; Wilder</w:t>
      </w:r>
    </w:p>
    <w:p>
      <w:r>
        <w:t>2023 · STM &amp; Research Consulting (January 2026) · Clarivate SEC Form 10-K FY2025 · Outsell via STM</w:t>
      </w:r>
    </w:p>
    <w:p>
      <w:r>
        <w:t>Global Brief 2021 · Corporation for Digital Scholarship Annual Report 2024 · scite.ai and Research</w:t>
      </w:r>
    </w:p>
    <w:p>
      <w:r>
        <w:t>Solutions filings · Nicholson et al. 2021 · Bakker, Theis-Mahon &amp; Brown 2023 · Turnitin and</w:t>
      </w:r>
    </w:p>
    <w:p>
      <w:r>
        <w:t>iThenticate documentation · ReciteWorks FAQ · arXiv 2609.07652.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