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val="1"/>
      </w:pPr>
      <w:r>
        <w:rPr>
          <w:rFonts w:ascii="Arial" w:hAnsi="Arial" w:cs="Arial"/>
          <w:b w:val="0"/>
        </w:rPr>
        <w:t>پروپوزال طراحی معماری پروژه بانکی شفق</w:t>
      </w:r>
    </w:p>
    <w:p>
      <w:pPr>
        <w:jc w:val="right"/>
        <w:bidi w:val="1"/>
      </w:pPr>
      <w:r>
        <w:rPr>
          <w:rFonts w:ascii="Arial" w:hAnsi="Arial" w:cs="Arial"/>
          <w:b/>
        </w:rPr>
        <w:t>مخاطب:</w:t>
      </w:r>
      <w:r>
        <w:rPr>
          <w:rFonts w:ascii="Arial" w:hAnsi="Arial" w:cs="Arial"/>
          <w:b w:val="0"/>
        </w:rPr>
        <w:t xml:space="preserve"> تیم معماری فنی و تیم توسعه</w:t>
      </w:r>
    </w:p>
    <w:p>
      <w:pPr>
        <w:jc w:val="right"/>
        <w:bidi w:val="1"/>
      </w:pPr>
      <w:r>
        <w:rPr>
          <w:rFonts w:ascii="Arial" w:hAnsi="Arial" w:cs="Arial"/>
          <w:b/>
        </w:rPr>
        <w:t>نسخه سند:</w:t>
      </w:r>
      <w:r>
        <w:rPr>
          <w:rFonts w:ascii="Arial" w:hAnsi="Arial" w:cs="Arial"/>
          <w:b w:val="0"/>
        </w:rPr>
        <w:t xml:space="preserve"> ۱٫۰ — پیشنهادی برای بررسی و برآورد</w:t>
      </w:r>
    </w:p>
    <w:p>
      <w:pPr>
        <w:jc w:val="right"/>
        <w:bidi w:val="1"/>
      </w:pPr>
      <w:r>
        <w:rPr>
          <w:rFonts w:ascii="Arial" w:hAnsi="Arial" w:cs="Arial"/>
          <w:b/>
        </w:rPr>
        <w:t>تاریخ:</w:t>
      </w:r>
      <w:r>
        <w:rPr>
          <w:rFonts w:ascii="Arial" w:hAnsi="Arial" w:cs="Arial"/>
          <w:b w:val="0"/>
        </w:rPr>
        <w:t xml:space="preserve"> ۷ اکتبر ۲۰۲۶</w:t>
      </w:r>
    </w:p>
    <w:p>
      <w:pPr>
        <w:jc w:val="right"/>
        <w:bidi w:val="1"/>
      </w:pPr>
      <w:r>
        <w:rPr>
          <w:rFonts w:ascii="Arial" w:hAnsi="Arial" w:cs="Arial"/>
          <w:b/>
        </w:rPr>
        <w:t>موضوع:</w:t>
      </w:r>
      <w:r>
        <w:rPr>
          <w:rFonts w:ascii="Arial" w:hAnsi="Arial" w:cs="Arial"/>
          <w:b w:val="0"/>
        </w:rPr>
        <w:t xml:space="preserve"> Modular Monolith با اسکیماهای مستقل Oracle و تراکنش اتمیک چندماژولی</w:t>
      </w:r>
    </w:p>
    <w:p>
      <w:pPr>
        <w:pStyle w:val="Heading1"/>
        <w:jc w:val="right"/>
        <w:bidi w:val="1"/>
      </w:pPr>
      <w:r>
        <w:rPr>
          <w:rFonts w:ascii="Arial" w:hAnsi="Arial" w:cs="Arial"/>
          <w:b w:val="0"/>
        </w:rPr>
        <w:t>۱. درخواست و هدف</w:t>
      </w:r>
    </w:p>
    <w:p>
      <w:pPr>
        <w:jc w:val="right"/>
        <w:bidi w:val="1"/>
      </w:pPr>
      <w:r>
        <w:rPr>
          <w:rFonts w:ascii="Arial" w:hAnsi="Arial" w:cs="Arial"/>
          <w:b w:val="0"/>
        </w:rPr>
        <w:t>درخواست ما طراحی و تحویل یک زیرساخت توسعه قابل اتکا برای پروژه بانکی شفق است. برنامه با Spring Boot، معماری Modular Monolith و دیتابیس Oracle پیاده‌سازی شود. ماژول‌ها مالک داده و قواعد کسب‌وکار خود باشند و از طریق قرارداد سرویس جاوا با یکدیگر ارتباط بگیرند.</w:t>
      </w:r>
    </w:p>
    <w:p>
      <w:pPr>
        <w:jc w:val="right"/>
        <w:bidi w:val="1"/>
      </w:pPr>
      <w:r>
        <w:rPr>
          <w:rFonts w:ascii="Arial" w:hAnsi="Arial" w:cs="Arial"/>
          <w:b w:val="0"/>
        </w:rPr>
        <w:t>الزام اصلی این است که عملیات مالی شامل تغییر در چند ماژول، با وجود کاربران و اتصال‌های مستقل دیتابیس، اتمیک باشد: تغییرات مرتبط با هم ثبت نهایی شوند یا همگی برگشت بخورند. برای نمونه، افزایش موجودی حساب، ثبت گردش سپرده و ثبت سابقه عملیات در اسکیمای تراکنش، یک واحد تراکنشی باشند.</w:t>
      </w:r>
    </w:p>
    <w:p>
      <w:pPr>
        <w:jc w:val="right"/>
        <w:bidi w:val="1"/>
      </w:pPr>
      <w:r>
        <w:rPr>
          <w:rFonts w:ascii="Arial" w:hAnsi="Arial" w:cs="Arial"/>
          <w:b w:val="0"/>
        </w:rPr>
        <w:t>الگوی پیشنهادی بر پایه استانداردهای JTA/XA است؛ تأیید اجرایی آن منوط به موفقیت نمونه آزمایشی و تست‌های recovery روی Oracle مقصد است.</w:t>
      </w:r>
    </w:p>
    <w:p>
      <w:pPr>
        <w:jc w:val="right"/>
        <w:bidi w:val="1"/>
      </w:pPr>
      <w:r>
        <w:rPr>
          <w:rFonts w:ascii="Arial" w:hAnsi="Arial" w:cs="Arial"/>
          <w:b w:val="0"/>
        </w:rPr>
        <w:t>این سند مشخصات مورد انتظار برای طراحی، پیاده‌سازی، مستندسازی و پذیرش پروژه را تعریف می‌کند. انتخاب‌های اجرایی باید توسط تیم معماری بررسی و با شواهد آزمایش روی Oracle تأیید شوند.</w:t>
      </w:r>
    </w:p>
    <w:p>
      <w:pPr>
        <w:pStyle w:val="Heading1"/>
        <w:jc w:val="right"/>
        <w:bidi w:val="1"/>
      </w:pPr>
      <w:r>
        <w:rPr>
          <w:rFonts w:ascii="Arial" w:hAnsi="Arial" w:cs="Arial"/>
          <w:b w:val="0"/>
        </w:rPr>
        <w:t>۲. تصمیم‌های قطعی و موارد نیازمند بررسی</w:t>
      </w:r>
    </w:p>
    <w:tbl>
      <w:tblPr>
        <w:tblStyle w:val="TableGrid"/>
        <w:tblW w:type="auto" w:w="0"/>
        <w:jc w:val="center"/>
        <w:tblLook w:firstColumn="1" w:firstRow="1" w:lastColumn="0" w:lastRow="0" w:noHBand="0" w:noVBand="1" w:val="04A0"/>
        <w:bidiVisual w:val="1"/>
      </w:tblPr>
      <w:tblGrid>
        <w:gridCol w:w="4946"/>
        <w:gridCol w:w="4946"/>
      </w:tblGrid>
      <w:tr>
        <w:trPr>
          <w:tblHeader/>
        </w:trPr>
        <w:tc>
          <w:tcPr>
            <w:tcW w:type="dxa" w:w="4946"/>
            <w:shd w:fill="E9EFF7"/>
          </w:tcPr>
          <w:p>
            <w:pPr>
              <w:spacing w:after="80"/>
              <w:jc w:val="right"/>
              <w:bidi w:val="1"/>
            </w:pPr>
            <w:r>
              <w:rPr>
                <w:rFonts w:ascii="Arial" w:hAnsi="Arial" w:cs="Arial"/>
                <w:b/>
                <w:sz w:val="18"/>
              </w:rPr>
              <w:t>موضوع</w:t>
            </w:r>
          </w:p>
        </w:tc>
        <w:tc>
          <w:tcPr>
            <w:tcW w:type="dxa" w:w="4946"/>
            <w:shd w:fill="E9EFF7"/>
          </w:tcPr>
          <w:p>
            <w:pPr>
              <w:spacing w:after="80"/>
              <w:jc w:val="right"/>
              <w:bidi w:val="1"/>
            </w:pPr>
            <w:r>
              <w:rPr>
                <w:rFonts w:ascii="Arial" w:hAnsi="Arial" w:cs="Arial"/>
                <w:b/>
                <w:sz w:val="18"/>
              </w:rPr>
              <w:t>وضعیت مورد انتظار</w:t>
            </w:r>
          </w:p>
        </w:tc>
      </w:tr>
      <w:tr>
        <w:tc>
          <w:tcPr>
            <w:tcW w:type="dxa" w:w="4946"/>
          </w:tcPr>
          <w:p>
            <w:pPr>
              <w:spacing w:after="80"/>
              <w:jc w:val="right"/>
              <w:bidi w:val="1"/>
            </w:pPr>
            <w:r>
              <w:rPr>
                <w:rFonts w:ascii="Arial" w:hAnsi="Arial" w:cs="Arial"/>
                <w:b w:val="0"/>
                <w:sz w:val="18"/>
              </w:rPr>
              <w:t>معماری اجرا</w:t>
            </w:r>
          </w:p>
        </w:tc>
        <w:tc>
          <w:tcPr>
            <w:tcW w:type="dxa" w:w="4946"/>
          </w:tcPr>
          <w:p>
            <w:pPr>
              <w:spacing w:after="80"/>
              <w:jc w:val="right"/>
              <w:bidi w:val="1"/>
            </w:pPr>
            <w:r>
              <w:rPr>
                <w:rFonts w:ascii="Arial" w:hAnsi="Arial" w:cs="Arial"/>
                <w:b w:val="0"/>
                <w:sz w:val="18"/>
              </w:rPr>
              <w:t>یک برنامه، یک JVM و یک واحد deployment؛ Modular Monolith</w:t>
            </w:r>
          </w:p>
        </w:tc>
      </w:tr>
      <w:tr>
        <w:tc>
          <w:tcPr>
            <w:tcW w:type="dxa" w:w="4946"/>
          </w:tcPr>
          <w:p>
            <w:pPr>
              <w:spacing w:after="80"/>
              <w:jc w:val="right"/>
              <w:bidi w:val="1"/>
            </w:pPr>
            <w:r>
              <w:rPr>
                <w:rFonts w:ascii="Arial" w:hAnsi="Arial" w:cs="Arial"/>
                <w:b w:val="0"/>
                <w:sz w:val="18"/>
              </w:rPr>
              <w:t>سازمان‌دهی پروژه</w:t>
            </w:r>
          </w:p>
        </w:tc>
        <w:tc>
          <w:tcPr>
            <w:tcW w:type="dxa" w:w="4946"/>
          </w:tcPr>
          <w:p>
            <w:pPr>
              <w:spacing w:after="80"/>
              <w:jc w:val="right"/>
              <w:bidi w:val="1"/>
            </w:pPr>
            <w:r>
              <w:rPr>
                <w:rFonts w:ascii="Arial" w:hAnsi="Arial" w:cs="Arial"/>
                <w:b w:val="0"/>
                <w:sz w:val="18"/>
              </w:rPr>
              <w:t>Maven چندماژولی؛ قرارداد API و پیاده‌سازی جدا</w:t>
            </w:r>
          </w:p>
        </w:tc>
      </w:tr>
      <w:tr>
        <w:tc>
          <w:tcPr>
            <w:tcW w:type="dxa" w:w="4946"/>
          </w:tcPr>
          <w:p>
            <w:pPr>
              <w:spacing w:after="80"/>
              <w:jc w:val="right"/>
              <w:bidi w:val="1"/>
            </w:pPr>
            <w:r>
              <w:rPr>
                <w:rFonts w:ascii="Arial" w:hAnsi="Arial" w:cs="Arial"/>
                <w:b w:val="0"/>
                <w:sz w:val="18"/>
              </w:rPr>
              <w:t>دیتابیس</w:t>
            </w:r>
          </w:p>
        </w:tc>
        <w:tc>
          <w:tcPr>
            <w:tcW w:type="dxa" w:w="4946"/>
          </w:tcPr>
          <w:p>
            <w:pPr>
              <w:spacing w:after="80"/>
              <w:jc w:val="right"/>
              <w:bidi w:val="1"/>
            </w:pPr>
            <w:r>
              <w:rPr>
                <w:rFonts w:ascii="Arial" w:hAnsi="Arial" w:cs="Arial"/>
                <w:b w:val="0"/>
                <w:sz w:val="18"/>
              </w:rPr>
              <w:t>Oracle؛ اسکیما و کاربر اختصاصی برای هر ماژول</w:t>
            </w:r>
          </w:p>
        </w:tc>
      </w:tr>
      <w:tr>
        <w:tc>
          <w:tcPr>
            <w:tcW w:type="dxa" w:w="4946"/>
          </w:tcPr>
          <w:p>
            <w:pPr>
              <w:spacing w:after="80"/>
              <w:jc w:val="right"/>
              <w:bidi w:val="1"/>
            </w:pPr>
            <w:r>
              <w:rPr>
                <w:rFonts w:ascii="Arial" w:hAnsi="Arial" w:cs="Arial"/>
                <w:b w:val="0"/>
                <w:sz w:val="18"/>
              </w:rPr>
              <w:t>هویت اتصال</w:t>
            </w:r>
          </w:p>
        </w:tc>
        <w:tc>
          <w:tcPr>
            <w:tcW w:type="dxa" w:w="4946"/>
          </w:tcPr>
          <w:p>
            <w:pPr>
              <w:spacing w:after="80"/>
              <w:jc w:val="right"/>
              <w:bidi w:val="1"/>
            </w:pPr>
            <w:r>
              <w:rPr>
                <w:rFonts w:ascii="Arial" w:hAnsi="Arial" w:cs="Arial"/>
                <w:b w:val="0"/>
                <w:sz w:val="18"/>
              </w:rPr>
              <w:t>هر ماژول با کاربر خودش؛ کاربر مشترک SHFQ_APP پذیرفته نیست</w:t>
            </w:r>
          </w:p>
        </w:tc>
      </w:tr>
      <w:tr>
        <w:tc>
          <w:tcPr>
            <w:tcW w:type="dxa" w:w="4946"/>
          </w:tcPr>
          <w:p>
            <w:pPr>
              <w:spacing w:after="80"/>
              <w:jc w:val="right"/>
              <w:bidi w:val="1"/>
            </w:pPr>
            <w:r>
              <w:rPr>
                <w:rFonts w:ascii="Arial" w:hAnsi="Arial" w:cs="Arial"/>
                <w:b w:val="0"/>
                <w:sz w:val="18"/>
              </w:rPr>
              <w:t>دسترسی داده</w:t>
            </w:r>
          </w:p>
        </w:tc>
        <w:tc>
          <w:tcPr>
            <w:tcW w:type="dxa" w:w="4946"/>
          </w:tcPr>
          <w:p>
            <w:pPr>
              <w:spacing w:after="80"/>
              <w:jc w:val="right"/>
              <w:bidi w:val="1"/>
            </w:pPr>
            <w:r>
              <w:rPr>
                <w:rFonts w:ascii="Arial" w:hAnsi="Arial" w:cs="Arial"/>
                <w:b w:val="0"/>
                <w:sz w:val="18"/>
              </w:rPr>
              <w:t>بدون دسترسی مستقیم به جدول، Entity یا Repository ماژول دیگر</w:t>
            </w:r>
          </w:p>
        </w:tc>
      </w:tr>
      <w:tr>
        <w:tc>
          <w:tcPr>
            <w:tcW w:type="dxa" w:w="4946"/>
          </w:tcPr>
          <w:p>
            <w:pPr>
              <w:spacing w:after="80"/>
              <w:jc w:val="right"/>
              <w:bidi w:val="1"/>
            </w:pPr>
            <w:r>
              <w:rPr>
                <w:rFonts w:ascii="Arial" w:hAnsi="Arial" w:cs="Arial"/>
                <w:b w:val="0"/>
                <w:sz w:val="18"/>
              </w:rPr>
              <w:t>ارتباط داخلی</w:t>
            </w:r>
          </w:p>
        </w:tc>
        <w:tc>
          <w:tcPr>
            <w:tcW w:type="dxa" w:w="4946"/>
          </w:tcPr>
          <w:p>
            <w:pPr>
              <w:spacing w:after="80"/>
              <w:jc w:val="right"/>
              <w:bidi w:val="1"/>
            </w:pPr>
            <w:r>
              <w:rPr>
                <w:rFonts w:ascii="Arial" w:hAnsi="Arial" w:cs="Arial"/>
                <w:b w:val="0"/>
                <w:sz w:val="18"/>
              </w:rPr>
              <w:t>فراخوانی همگام سرویس جاوا با Dependency Injection</w:t>
            </w:r>
          </w:p>
        </w:tc>
      </w:tr>
      <w:tr>
        <w:tc>
          <w:tcPr>
            <w:tcW w:type="dxa" w:w="4946"/>
          </w:tcPr>
          <w:p>
            <w:pPr>
              <w:spacing w:after="80"/>
              <w:jc w:val="right"/>
              <w:bidi w:val="1"/>
            </w:pPr>
            <w:r>
              <w:rPr>
                <w:rFonts w:ascii="Arial" w:hAnsi="Arial" w:cs="Arial"/>
                <w:b w:val="0"/>
                <w:sz w:val="18"/>
              </w:rPr>
              <w:t>عملیات مالی چندماژولی</w:t>
            </w:r>
          </w:p>
        </w:tc>
        <w:tc>
          <w:tcPr>
            <w:tcW w:type="dxa" w:w="4946"/>
          </w:tcPr>
          <w:p>
            <w:pPr>
              <w:spacing w:after="80"/>
              <w:jc w:val="right"/>
              <w:bidi w:val="1"/>
            </w:pPr>
            <w:r>
              <w:rPr>
                <w:rFonts w:ascii="Arial" w:hAnsi="Arial" w:cs="Arial"/>
                <w:b w:val="0"/>
                <w:sz w:val="18"/>
              </w:rPr>
              <w:t>نیازمند commit/rollback اتمیک بین اتصال‌های مستقل</w:t>
            </w:r>
          </w:p>
        </w:tc>
      </w:tr>
      <w:tr>
        <w:tc>
          <w:tcPr>
            <w:tcW w:type="dxa" w:w="4946"/>
          </w:tcPr>
          <w:p>
            <w:pPr>
              <w:spacing w:after="80"/>
              <w:jc w:val="right"/>
              <w:bidi w:val="1"/>
            </w:pPr>
            <w:r>
              <w:rPr>
                <w:rFonts w:ascii="Arial" w:hAnsi="Arial" w:cs="Arial"/>
                <w:b w:val="0"/>
                <w:sz w:val="18"/>
              </w:rPr>
              <w:t>نام ماژول تراکنش</w:t>
            </w:r>
          </w:p>
        </w:tc>
        <w:tc>
          <w:tcPr>
            <w:tcW w:type="dxa" w:w="4946"/>
          </w:tcPr>
          <w:p>
            <w:pPr>
              <w:spacing w:after="80"/>
              <w:jc w:val="right"/>
              <w:bidi w:val="1"/>
            </w:pPr>
            <w:r>
              <w:rPr>
                <w:rFonts w:ascii="Arial" w:hAnsi="Arial" w:cs="Arial"/>
                <w:b w:val="0"/>
                <w:sz w:val="18"/>
              </w:rPr>
              <w:t>SHFQ_TRX؛ نام اسکیمای آن نیز SHFQ_TRX</w:t>
            </w:r>
          </w:p>
        </w:tc>
      </w:tr>
      <w:tr>
        <w:tc>
          <w:tcPr>
            <w:tcW w:type="dxa" w:w="4946"/>
          </w:tcPr>
          <w:p>
            <w:pPr>
              <w:spacing w:after="80"/>
              <w:jc w:val="right"/>
              <w:bidi w:val="1"/>
            </w:pPr>
            <w:r>
              <w:rPr>
                <w:rFonts w:ascii="Arial" w:hAnsi="Arial" w:cs="Arial"/>
                <w:b w:val="0"/>
                <w:sz w:val="18"/>
              </w:rPr>
              <w:t>مدیریت تراکنش پیشنهادی</w:t>
            </w:r>
          </w:p>
        </w:tc>
        <w:tc>
          <w:tcPr>
            <w:tcW w:type="dxa" w:w="4946"/>
          </w:tcPr>
          <w:p>
            <w:pPr>
              <w:spacing w:after="80"/>
              <w:jc w:val="right"/>
              <w:bidi w:val="1"/>
            </w:pPr>
            <w:r>
              <w:rPr>
                <w:rFonts w:ascii="Arial" w:hAnsi="Arial" w:cs="Arial"/>
                <w:b w:val="0"/>
                <w:sz w:val="18"/>
              </w:rPr>
              <w:t>JTA/XA؛ انتخاب مدیر و نسخه دقیق نیازمند ارزیابی</w:t>
            </w:r>
          </w:p>
        </w:tc>
      </w:tr>
      <w:tr>
        <w:tc>
          <w:tcPr>
            <w:tcW w:type="dxa" w:w="4946"/>
          </w:tcPr>
          <w:p>
            <w:pPr>
              <w:spacing w:after="80"/>
              <w:jc w:val="right"/>
              <w:bidi w:val="1"/>
            </w:pPr>
            <w:r>
              <w:rPr>
                <w:rFonts w:ascii="Arial" w:hAnsi="Arial" w:cs="Arial"/>
                <w:b w:val="0"/>
                <w:sz w:val="18"/>
              </w:rPr>
              <w:t>API بیرونی</w:t>
            </w:r>
          </w:p>
        </w:tc>
        <w:tc>
          <w:tcPr>
            <w:tcW w:type="dxa" w:w="4946"/>
          </w:tcPr>
          <w:p>
            <w:pPr>
              <w:spacing w:after="80"/>
              <w:jc w:val="right"/>
              <w:bidi w:val="1"/>
            </w:pPr>
            <w:r>
              <w:rPr>
                <w:rFonts w:ascii="Arial" w:hAnsi="Arial" w:cs="Arial"/>
                <w:b w:val="0"/>
                <w:sz w:val="18"/>
              </w:rPr>
              <w:t>REST با DTOهای مستقل Request و Response</w:t>
            </w:r>
          </w:p>
        </w:tc>
      </w:tr>
    </w:tbl>
    <w:p/>
    <w:p>
      <w:pPr>
        <w:jc w:val="right"/>
        <w:bidi w:val="1"/>
      </w:pPr>
      <w:r>
        <w:rPr>
          <w:rFonts w:ascii="Arial" w:hAnsi="Arial" w:cs="Arial"/>
          <w:b w:val="0"/>
        </w:rPr>
        <w:t>نسخه Spring Boot، Java، درایور Oracle، Hibernate، مدیر JTA و pool سازگار با XA باید در یک ماتریس سازگاری ثبت و ثابت شوند. هدف استفاده از آخرین نسخه پایدار سازگار است، نه milestone یا RC. نسخه انتخاب‌شده در نمونه اولیه Spring Boot برابر 4.1.1 و Java برابر 21 است؛ این انتخاب جای ارزیابی نهایی تیم را نمی‌گیرد.</w:t>
      </w:r>
    </w:p>
    <w:p>
      <w:pPr>
        <w:pStyle w:val="Heading1"/>
        <w:jc w:val="right"/>
        <w:bidi w:val="1"/>
      </w:pPr>
      <w:r>
        <w:rPr>
          <w:rFonts w:ascii="Arial" w:hAnsi="Arial" w:cs="Arial"/>
          <w:b w:val="0"/>
        </w:rPr>
        <w:t>۳. ماژول‌ها و مالکیت داده</w:t>
      </w:r>
    </w:p>
    <w:tbl>
      <w:tblPr>
        <w:tblStyle w:val="TableGrid"/>
        <w:tblW w:type="auto" w:w="0"/>
        <w:jc w:val="center"/>
        <w:tblLook w:firstColumn="1" w:firstRow="1" w:lastColumn="0" w:lastRow="0" w:noHBand="0" w:noVBand="1" w:val="04A0"/>
        <w:bidiVisual w:val="1"/>
      </w:tblPr>
      <w:tblGrid>
        <w:gridCol w:w="3298"/>
        <w:gridCol w:w="3298"/>
        <w:gridCol w:w="3298"/>
      </w:tblGrid>
      <w:tr>
        <w:trPr>
          <w:tblHeader/>
        </w:trPr>
        <w:tc>
          <w:tcPr>
            <w:tcW w:type="dxa" w:w="3298"/>
            <w:shd w:fill="E9EFF7"/>
          </w:tcPr>
          <w:p>
            <w:pPr>
              <w:spacing w:after="80"/>
              <w:jc w:val="right"/>
              <w:bidi w:val="1"/>
            </w:pPr>
            <w:r>
              <w:rPr>
                <w:rFonts w:ascii="Arial" w:hAnsi="Arial" w:cs="Arial"/>
                <w:b/>
                <w:sz w:val="18"/>
              </w:rPr>
              <w:t>ماژول کسب‌وکاری</w:t>
            </w:r>
          </w:p>
        </w:tc>
        <w:tc>
          <w:tcPr>
            <w:tcW w:type="dxa" w:w="3298"/>
            <w:shd w:fill="E9EFF7"/>
          </w:tcPr>
          <w:p>
            <w:pPr>
              <w:spacing w:after="80"/>
              <w:jc w:val="right"/>
              <w:bidi w:val="1"/>
            </w:pPr>
            <w:r>
              <w:rPr>
                <w:rFonts w:ascii="Arial" w:hAnsi="Arial" w:cs="Arial"/>
                <w:b/>
                <w:sz w:val="18"/>
              </w:rPr>
              <w:t>مسئولیت</w:t>
            </w:r>
          </w:p>
        </w:tc>
        <w:tc>
          <w:tcPr>
            <w:tcW w:type="dxa" w:w="3298"/>
            <w:shd w:fill="E9EFF7"/>
          </w:tcPr>
          <w:p>
            <w:pPr>
              <w:spacing w:after="80"/>
              <w:jc w:val="right"/>
              <w:bidi w:val="1"/>
            </w:pPr>
            <w:r>
              <w:rPr>
                <w:rFonts w:ascii="Arial" w:hAnsi="Arial" w:cs="Arial"/>
                <w:b/>
                <w:sz w:val="18"/>
              </w:rPr>
              <w:t>اسکیمای Oracle / کاربر</w:t>
            </w:r>
          </w:p>
        </w:tc>
      </w:tr>
      <w:tr>
        <w:tc>
          <w:tcPr>
            <w:tcW w:type="dxa" w:w="3298"/>
          </w:tcPr>
          <w:p>
            <w:pPr>
              <w:spacing w:after="80"/>
              <w:jc w:val="right"/>
              <w:bidi w:val="1"/>
            </w:pPr>
            <w:r>
              <w:rPr>
                <w:rFonts w:ascii="Arial" w:hAnsi="Arial" w:cs="Arial"/>
                <w:b w:val="0"/>
                <w:sz w:val="18"/>
              </w:rPr>
              <w:t>base</w:t>
            </w:r>
          </w:p>
        </w:tc>
        <w:tc>
          <w:tcPr>
            <w:tcW w:type="dxa" w:w="3298"/>
          </w:tcPr>
          <w:p>
            <w:pPr>
              <w:spacing w:after="80"/>
              <w:jc w:val="right"/>
              <w:bidi w:val="1"/>
            </w:pPr>
            <w:r>
              <w:rPr>
                <w:rFonts w:ascii="Arial" w:hAnsi="Arial" w:cs="Arial"/>
                <w:b w:val="0"/>
                <w:sz w:val="18"/>
              </w:rPr>
              <w:t>اطلاعات و تعاریف مشترک کسب‌وکاری</w:t>
            </w:r>
          </w:p>
        </w:tc>
        <w:tc>
          <w:tcPr>
            <w:tcW w:type="dxa" w:w="3298"/>
          </w:tcPr>
          <w:p>
            <w:pPr>
              <w:spacing w:after="80"/>
              <w:jc w:val="right"/>
              <w:bidi w:val="1"/>
            </w:pPr>
            <w:r>
              <w:rPr>
                <w:rFonts w:ascii="Arial" w:hAnsi="Arial" w:cs="Arial"/>
                <w:b w:val="0"/>
                <w:sz w:val="18"/>
              </w:rPr>
              <w:t>SHFQ_BASE</w:t>
            </w:r>
          </w:p>
        </w:tc>
      </w:tr>
      <w:tr>
        <w:tc>
          <w:tcPr>
            <w:tcW w:type="dxa" w:w="3298"/>
          </w:tcPr>
          <w:p>
            <w:pPr>
              <w:spacing w:after="80"/>
              <w:jc w:val="right"/>
              <w:bidi w:val="1"/>
            </w:pPr>
            <w:r>
              <w:rPr>
                <w:rFonts w:ascii="Arial" w:hAnsi="Arial" w:cs="Arial"/>
                <w:b w:val="0"/>
                <w:sz w:val="18"/>
              </w:rPr>
              <w:t>cif</w:t>
            </w:r>
          </w:p>
        </w:tc>
        <w:tc>
          <w:tcPr>
            <w:tcW w:type="dxa" w:w="3298"/>
          </w:tcPr>
          <w:p>
            <w:pPr>
              <w:spacing w:after="80"/>
              <w:jc w:val="right"/>
              <w:bidi w:val="1"/>
            </w:pPr>
            <w:r>
              <w:rPr>
                <w:rFonts w:ascii="Arial" w:hAnsi="Arial" w:cs="Arial"/>
                <w:b w:val="0"/>
                <w:sz w:val="18"/>
              </w:rPr>
              <w:t>ثبت و مدیریت اطلاعات مشتری</w:t>
            </w:r>
          </w:p>
        </w:tc>
        <w:tc>
          <w:tcPr>
            <w:tcW w:type="dxa" w:w="3298"/>
          </w:tcPr>
          <w:p>
            <w:pPr>
              <w:spacing w:after="80"/>
              <w:jc w:val="right"/>
              <w:bidi w:val="1"/>
            </w:pPr>
            <w:r>
              <w:rPr>
                <w:rFonts w:ascii="Arial" w:hAnsi="Arial" w:cs="Arial"/>
                <w:b w:val="0"/>
                <w:sz w:val="18"/>
              </w:rPr>
              <w:t>SHFQ_CIF</w:t>
            </w:r>
          </w:p>
        </w:tc>
      </w:tr>
      <w:tr>
        <w:tc>
          <w:tcPr>
            <w:tcW w:type="dxa" w:w="3298"/>
          </w:tcPr>
          <w:p>
            <w:pPr>
              <w:spacing w:after="80"/>
              <w:jc w:val="right"/>
              <w:bidi w:val="1"/>
            </w:pPr>
            <w:r>
              <w:rPr>
                <w:rFonts w:ascii="Arial" w:hAnsi="Arial" w:cs="Arial"/>
                <w:b w:val="0"/>
                <w:sz w:val="18"/>
              </w:rPr>
              <w:t>dpst</w:t>
            </w:r>
          </w:p>
        </w:tc>
        <w:tc>
          <w:tcPr>
            <w:tcW w:type="dxa" w:w="3298"/>
          </w:tcPr>
          <w:p>
            <w:pPr>
              <w:spacing w:after="80"/>
              <w:jc w:val="right"/>
              <w:bidi w:val="1"/>
            </w:pPr>
            <w:r>
              <w:rPr>
                <w:rFonts w:ascii="Arial" w:hAnsi="Arial" w:cs="Arial"/>
                <w:b w:val="0"/>
                <w:sz w:val="18"/>
              </w:rPr>
              <w:t>افتتاح حساب، موجودی، واریز و گردش سپرده</w:t>
            </w:r>
          </w:p>
        </w:tc>
        <w:tc>
          <w:tcPr>
            <w:tcW w:type="dxa" w:w="3298"/>
          </w:tcPr>
          <w:p>
            <w:pPr>
              <w:spacing w:after="80"/>
              <w:jc w:val="right"/>
              <w:bidi w:val="1"/>
            </w:pPr>
            <w:r>
              <w:rPr>
                <w:rFonts w:ascii="Arial" w:hAnsi="Arial" w:cs="Arial"/>
                <w:b w:val="0"/>
                <w:sz w:val="18"/>
              </w:rPr>
              <w:t>SHFQ_DPST</w:t>
            </w:r>
          </w:p>
        </w:tc>
      </w:tr>
      <w:tr>
        <w:tc>
          <w:tcPr>
            <w:tcW w:type="dxa" w:w="3298"/>
          </w:tcPr>
          <w:p>
            <w:pPr>
              <w:spacing w:after="80"/>
              <w:jc w:val="right"/>
              <w:bidi w:val="1"/>
            </w:pPr>
            <w:r>
              <w:rPr>
                <w:rFonts w:ascii="Arial" w:hAnsi="Arial" w:cs="Arial"/>
                <w:b w:val="0"/>
                <w:sz w:val="18"/>
              </w:rPr>
              <w:t>loan</w:t>
            </w:r>
          </w:p>
        </w:tc>
        <w:tc>
          <w:tcPr>
            <w:tcW w:type="dxa" w:w="3298"/>
          </w:tcPr>
          <w:p>
            <w:pPr>
              <w:spacing w:after="80"/>
              <w:jc w:val="right"/>
              <w:bidi w:val="1"/>
            </w:pPr>
            <w:r>
              <w:rPr>
                <w:rFonts w:ascii="Arial" w:hAnsi="Arial" w:cs="Arial"/>
                <w:b w:val="0"/>
                <w:sz w:val="18"/>
              </w:rPr>
              <w:t>تسهیلات، پرداخت و بازپرداخت</w:t>
            </w:r>
          </w:p>
        </w:tc>
        <w:tc>
          <w:tcPr>
            <w:tcW w:type="dxa" w:w="3298"/>
          </w:tcPr>
          <w:p>
            <w:pPr>
              <w:spacing w:after="80"/>
              <w:jc w:val="right"/>
              <w:bidi w:val="1"/>
            </w:pPr>
            <w:r>
              <w:rPr>
                <w:rFonts w:ascii="Arial" w:hAnsi="Arial" w:cs="Arial"/>
                <w:b w:val="0"/>
                <w:sz w:val="18"/>
              </w:rPr>
              <w:t>SHFQ_LOAN</w:t>
            </w:r>
          </w:p>
        </w:tc>
      </w:tr>
      <w:tr>
        <w:tc>
          <w:tcPr>
            <w:tcW w:type="dxa" w:w="3298"/>
          </w:tcPr>
          <w:p>
            <w:pPr>
              <w:spacing w:after="80"/>
              <w:jc w:val="right"/>
              <w:bidi w:val="1"/>
            </w:pPr>
            <w:r>
              <w:rPr>
                <w:rFonts w:ascii="Arial" w:hAnsi="Arial" w:cs="Arial"/>
                <w:b w:val="0"/>
                <w:sz w:val="18"/>
              </w:rPr>
              <w:t>SHFQ_TRX</w:t>
            </w:r>
          </w:p>
        </w:tc>
        <w:tc>
          <w:tcPr>
            <w:tcW w:type="dxa" w:w="3298"/>
          </w:tcPr>
          <w:p>
            <w:pPr>
              <w:spacing w:after="80"/>
              <w:jc w:val="right"/>
              <w:bidi w:val="1"/>
            </w:pPr>
            <w:r>
              <w:rPr>
                <w:rFonts w:ascii="Arial" w:hAnsi="Arial" w:cs="Arial"/>
                <w:b w:val="0"/>
                <w:sz w:val="18"/>
              </w:rPr>
              <w:t>ثبت سابقه عمومی و شناسه عملیات بانکی</w:t>
            </w:r>
          </w:p>
        </w:tc>
        <w:tc>
          <w:tcPr>
            <w:tcW w:type="dxa" w:w="3298"/>
          </w:tcPr>
          <w:p>
            <w:pPr>
              <w:spacing w:after="80"/>
              <w:jc w:val="right"/>
              <w:bidi w:val="1"/>
            </w:pPr>
            <w:r>
              <w:rPr>
                <w:rFonts w:ascii="Arial" w:hAnsi="Arial" w:cs="Arial"/>
                <w:b w:val="0"/>
                <w:sz w:val="18"/>
              </w:rPr>
              <w:t>SHFQ_TRX</w:t>
            </w:r>
          </w:p>
        </w:tc>
      </w:tr>
    </w:tbl>
    <w:p/>
    <w:p>
      <w:pPr>
        <w:jc w:val="right"/>
        <w:bidi w:val="1"/>
      </w:pPr>
      <w:r>
        <w:rPr>
          <w:rFonts w:ascii="Arial" w:hAnsi="Arial" w:cs="Arial"/>
          <w:b w:val="0"/>
        </w:rPr>
        <w:t>هر جدول یک مالک مشخص دارد. جدول سابقه عملیات مشترک، متعلق به SHFQ_TRX است. ماژول‌های سپرده و تسهیلات از API این ماژول استفاده می‌کنند و در جدول آن SQL مستقیم اجرا نمی‌کنند.</w:t>
      </w:r>
    </w:p>
    <w:p>
      <w:pPr>
        <w:jc w:val="right"/>
        <w:bidi w:val="1"/>
      </w:pPr>
      <w:r>
        <w:rPr>
          <w:rFonts w:ascii="Arial" w:hAnsi="Arial" w:cs="Arial"/>
          <w:b w:val="0"/>
        </w:rPr>
        <w:t>اطلاعات مشتری از طریق API مشتری بررسی می‌شود. ماژول سپرده شناسه مشتری را در داده‌های خودش نگه می‌دارد؛ رابطه JPA یا join مستقیم بین اسکیماها تعریف نمی‌شود. قید ارجاع بین ماژول‌ها باید در قرارداد و قواعد کسب‌وکار مدیریت شود. Foreign keyهای داخل یک ماژول مجازند.</w:t>
      </w:r>
    </w:p>
    <w:p>
      <w:pPr>
        <w:jc w:val="right"/>
        <w:bidi w:val="1"/>
      </w:pPr>
      <w:r>
        <w:rPr>
          <w:rFonts w:ascii="Arial" w:hAnsi="Arial" w:cs="Arial"/>
          <w:b w:val="0"/>
        </w:rPr>
        <w:t>ماژول base نباید به محل تجمیع Entityها، Repositoryها یا همه ابزارهای فنی تبدیل شود. ابزارهای فنی مشترک در platform قرار می‌گیرند و منطق کسب‌وکار ماژول‌ها را در خود جای نمی‌دهند.</w:t>
      </w:r>
    </w:p>
    <w:p>
      <w:pPr>
        <w:pStyle w:val="Heading1"/>
        <w:jc w:val="right"/>
        <w:bidi w:val="1"/>
      </w:pPr>
      <w:r>
        <w:rPr>
          <w:rFonts w:ascii="Arial" w:hAnsi="Arial" w:cs="Arial"/>
          <w:b w:val="0"/>
        </w:rPr>
        <w:t>۴. ساختار پیشنهادی پروژه</w:t>
      </w:r>
    </w:p>
    <w:p>
      <w:pPr>
        <w:spacing w:after="0"/>
        <w:jc w:val="left"/>
        <w:bidi w:val="0"/>
      </w:pPr>
      <w:r>
        <w:rPr>
          <w:rFonts w:ascii="Consolas" w:hAnsi="Consolas"/>
          <w:sz w:val="16"/>
        </w:rPr>
        <w:t>shafagh/</w:t>
      </w:r>
    </w:p>
    <w:p>
      <w:pPr>
        <w:spacing w:after="0"/>
        <w:jc w:val="left"/>
        <w:bidi w:val="0"/>
      </w:pPr>
      <w:r>
        <w:rPr>
          <w:rFonts w:ascii="Consolas" w:hAnsi="Consolas"/>
          <w:sz w:val="16"/>
        </w:rPr>
        <w:t>├── pom.xml</w:t>
      </w:r>
    </w:p>
    <w:p>
      <w:pPr>
        <w:spacing w:after="0"/>
        <w:jc w:val="left"/>
        <w:bidi w:val="0"/>
      </w:pPr>
      <w:r>
        <w:rPr>
          <w:rFonts w:ascii="Consolas" w:hAnsi="Consolas"/>
          <w:sz w:val="16"/>
        </w:rPr>
        <w:t>├── mvnw / mvnw.cmd</w:t>
      </w:r>
    </w:p>
    <w:p>
      <w:pPr>
        <w:spacing w:after="0"/>
        <w:jc w:val="left"/>
        <w:bidi w:val="0"/>
      </w:pPr>
      <w:r>
        <w:rPr>
          <w:rFonts w:ascii="Consolas" w:hAnsi="Consolas"/>
          <w:sz w:val="16"/>
        </w:rPr>
        <w:t>├── application/</w:t>
      </w:r>
    </w:p>
    <w:p>
      <w:pPr>
        <w:spacing w:after="0"/>
        <w:jc w:val="left"/>
        <w:bidi w:val="0"/>
      </w:pPr>
      <w:r>
        <w:rPr>
          <w:rFonts w:ascii="Consolas" w:hAnsi="Consolas"/>
          <w:sz w:val="16"/>
        </w:rPr>
        <w:t>│   ├── pom.xml</w:t>
      </w:r>
    </w:p>
    <w:p>
      <w:pPr>
        <w:spacing w:after="0"/>
        <w:jc w:val="left"/>
        <w:bidi w:val="0"/>
      </w:pPr>
      <w:r>
        <w:rPr>
          <w:rFonts w:ascii="Consolas" w:hAnsi="Consolas"/>
          <w:sz w:val="16"/>
        </w:rPr>
        <w:t>│   └── src/main/.../ShafaghApplication.java</w:t>
      </w:r>
    </w:p>
    <w:p>
      <w:pPr>
        <w:spacing w:after="0"/>
        <w:jc w:val="left"/>
        <w:bidi w:val="0"/>
      </w:pPr>
      <w:r>
        <w:rPr>
          <w:rFonts w:ascii="Consolas" w:hAnsi="Consolas"/>
          <w:sz w:val="16"/>
        </w:rPr>
        <w:t>├── platform/</w:t>
      </w:r>
    </w:p>
    <w:p>
      <w:pPr>
        <w:spacing w:after="0"/>
        <w:jc w:val="left"/>
        <w:bidi w:val="0"/>
      </w:pPr>
      <w:r>
        <w:rPr>
          <w:rFonts w:ascii="Consolas" w:hAnsi="Consolas"/>
          <w:sz w:val="16"/>
        </w:rPr>
        <w:t>│   └── persistence/</w:t>
      </w:r>
    </w:p>
    <w:p>
      <w:pPr>
        <w:spacing w:after="0"/>
        <w:jc w:val="left"/>
        <w:bidi w:val="0"/>
      </w:pPr>
      <w:r>
        <w:rPr>
          <w:rFonts w:ascii="Consolas" w:hAnsi="Consolas"/>
          <w:sz w:val="16"/>
        </w:rPr>
        <w:t>├── modules/</w:t>
      </w:r>
    </w:p>
    <w:p>
      <w:pPr>
        <w:spacing w:after="0"/>
        <w:jc w:val="left"/>
        <w:bidi w:val="0"/>
      </w:pPr>
      <w:r>
        <w:rPr>
          <w:rFonts w:ascii="Consolas" w:hAnsi="Consolas"/>
          <w:sz w:val="16"/>
        </w:rPr>
        <w:t>│   ├── base/</w:t>
      </w:r>
    </w:p>
    <w:p>
      <w:pPr>
        <w:spacing w:after="0"/>
        <w:jc w:val="left"/>
        <w:bidi w:val="0"/>
      </w:pPr>
      <w:r>
        <w:rPr>
          <w:rFonts w:ascii="Consolas" w:hAnsi="Consolas"/>
          <w:sz w:val="16"/>
        </w:rPr>
        <w:t>│   │   ├── pom.xml</w:t>
      </w:r>
    </w:p>
    <w:p>
      <w:pPr>
        <w:spacing w:after="0"/>
        <w:jc w:val="left"/>
        <w:bidi w:val="0"/>
      </w:pPr>
      <w:r>
        <w:rPr>
          <w:rFonts w:ascii="Consolas" w:hAnsi="Consolas"/>
          <w:sz w:val="16"/>
        </w:rPr>
        <w:t>│   │   ├── base-api/</w:t>
      </w:r>
    </w:p>
    <w:p>
      <w:pPr>
        <w:spacing w:after="0"/>
        <w:jc w:val="left"/>
        <w:bidi w:val="0"/>
      </w:pPr>
      <w:r>
        <w:rPr>
          <w:rFonts w:ascii="Consolas" w:hAnsi="Consolas"/>
          <w:sz w:val="16"/>
        </w:rPr>
        <w:t>│   │   └── base-impl/</w:t>
      </w:r>
    </w:p>
    <w:p>
      <w:pPr>
        <w:spacing w:after="0"/>
        <w:jc w:val="left"/>
        <w:bidi w:val="0"/>
      </w:pPr>
      <w:r>
        <w:rPr>
          <w:rFonts w:ascii="Consolas" w:hAnsi="Consolas"/>
          <w:sz w:val="16"/>
        </w:rPr>
        <w:t>│   ├── cif/</w:t>
      </w:r>
    </w:p>
    <w:p>
      <w:pPr>
        <w:spacing w:after="0"/>
        <w:jc w:val="left"/>
        <w:bidi w:val="0"/>
      </w:pPr>
      <w:r>
        <w:rPr>
          <w:rFonts w:ascii="Consolas" w:hAnsi="Consolas"/>
          <w:sz w:val="16"/>
        </w:rPr>
        <w:t>│   │   ├── pom.xml</w:t>
      </w:r>
    </w:p>
    <w:p>
      <w:pPr>
        <w:spacing w:after="0"/>
        <w:jc w:val="left"/>
        <w:bidi w:val="0"/>
      </w:pPr>
      <w:r>
        <w:rPr>
          <w:rFonts w:ascii="Consolas" w:hAnsi="Consolas"/>
          <w:sz w:val="16"/>
        </w:rPr>
        <w:t>│   │   ├── cif-api/</w:t>
      </w:r>
    </w:p>
    <w:p>
      <w:pPr>
        <w:spacing w:after="0"/>
        <w:jc w:val="left"/>
        <w:bidi w:val="0"/>
      </w:pPr>
      <w:r>
        <w:rPr>
          <w:rFonts w:ascii="Consolas" w:hAnsi="Consolas"/>
          <w:sz w:val="16"/>
        </w:rPr>
        <w:t>│   │   └── cif-impl/</w:t>
      </w:r>
    </w:p>
    <w:p>
      <w:pPr>
        <w:spacing w:after="0"/>
        <w:jc w:val="left"/>
        <w:bidi w:val="0"/>
      </w:pPr>
      <w:r>
        <w:rPr>
          <w:rFonts w:ascii="Consolas" w:hAnsi="Consolas"/>
          <w:sz w:val="16"/>
        </w:rPr>
        <w:t>│   ├── dpst/</w:t>
      </w:r>
    </w:p>
    <w:p>
      <w:pPr>
        <w:spacing w:after="0"/>
        <w:jc w:val="left"/>
        <w:bidi w:val="0"/>
      </w:pPr>
      <w:r>
        <w:rPr>
          <w:rFonts w:ascii="Consolas" w:hAnsi="Consolas"/>
          <w:sz w:val="16"/>
        </w:rPr>
        <w:t>│   │   ├── pom.xml</w:t>
      </w:r>
    </w:p>
    <w:p>
      <w:pPr>
        <w:spacing w:after="0"/>
        <w:jc w:val="left"/>
        <w:bidi w:val="0"/>
      </w:pPr>
      <w:r>
        <w:rPr>
          <w:rFonts w:ascii="Consolas" w:hAnsi="Consolas"/>
          <w:sz w:val="16"/>
        </w:rPr>
        <w:t>│   │   ├── dpst-api/</w:t>
      </w:r>
    </w:p>
    <w:p>
      <w:pPr>
        <w:spacing w:after="0"/>
        <w:jc w:val="left"/>
        <w:bidi w:val="0"/>
      </w:pPr>
      <w:r>
        <w:rPr>
          <w:rFonts w:ascii="Consolas" w:hAnsi="Consolas"/>
          <w:sz w:val="16"/>
        </w:rPr>
        <w:t>│   │   └── dpst-impl/</w:t>
      </w:r>
    </w:p>
    <w:p>
      <w:pPr>
        <w:spacing w:after="0"/>
        <w:jc w:val="left"/>
        <w:bidi w:val="0"/>
      </w:pPr>
      <w:r>
        <w:rPr>
          <w:rFonts w:ascii="Consolas" w:hAnsi="Consolas"/>
          <w:sz w:val="16"/>
        </w:rPr>
        <w:t>│   ├── loan/</w:t>
      </w:r>
    </w:p>
    <w:p>
      <w:pPr>
        <w:spacing w:after="0"/>
        <w:jc w:val="left"/>
        <w:bidi w:val="0"/>
      </w:pPr>
      <w:r>
        <w:rPr>
          <w:rFonts w:ascii="Consolas" w:hAnsi="Consolas"/>
          <w:sz w:val="16"/>
        </w:rPr>
        <w:t>│   │   ├── pom.xml</w:t>
      </w:r>
    </w:p>
    <w:p>
      <w:pPr>
        <w:spacing w:after="0"/>
        <w:jc w:val="left"/>
        <w:bidi w:val="0"/>
      </w:pPr>
      <w:r>
        <w:rPr>
          <w:rFonts w:ascii="Consolas" w:hAnsi="Consolas"/>
          <w:sz w:val="16"/>
        </w:rPr>
        <w:t>│   │   ├── loan-api/</w:t>
      </w:r>
    </w:p>
    <w:p>
      <w:pPr>
        <w:spacing w:after="0"/>
        <w:jc w:val="left"/>
        <w:bidi w:val="0"/>
      </w:pPr>
      <w:r>
        <w:rPr>
          <w:rFonts w:ascii="Consolas" w:hAnsi="Consolas"/>
          <w:sz w:val="16"/>
        </w:rPr>
        <w:t>│   │   └── loan-impl/</w:t>
      </w:r>
    </w:p>
    <w:p>
      <w:pPr>
        <w:spacing w:after="0"/>
        <w:jc w:val="left"/>
        <w:bidi w:val="0"/>
      </w:pPr>
      <w:r>
        <w:rPr>
          <w:rFonts w:ascii="Consolas" w:hAnsi="Consolas"/>
          <w:sz w:val="16"/>
        </w:rPr>
        <w:t>│   └── SHFQ_TRX/</w:t>
      </w:r>
    </w:p>
    <w:p>
      <w:pPr>
        <w:spacing w:after="0"/>
        <w:jc w:val="left"/>
        <w:bidi w:val="0"/>
      </w:pPr>
      <w:r>
        <w:rPr>
          <w:rFonts w:ascii="Consolas" w:hAnsi="Consolas"/>
          <w:sz w:val="16"/>
        </w:rPr>
        <w:t>│       ├── pom.xml</w:t>
      </w:r>
    </w:p>
    <w:p>
      <w:pPr>
        <w:spacing w:after="0"/>
        <w:jc w:val="left"/>
        <w:bidi w:val="0"/>
      </w:pPr>
      <w:r>
        <w:rPr>
          <w:rFonts w:ascii="Consolas" w:hAnsi="Consolas"/>
          <w:sz w:val="16"/>
        </w:rPr>
        <w:t>│       ├── trx-api/</w:t>
      </w:r>
    </w:p>
    <w:p>
      <w:pPr>
        <w:spacing w:after="0"/>
        <w:jc w:val="left"/>
        <w:bidi w:val="0"/>
      </w:pPr>
      <w:r>
        <w:rPr>
          <w:rFonts w:ascii="Consolas" w:hAnsi="Consolas"/>
          <w:sz w:val="16"/>
        </w:rPr>
        <w:t>│       └── trx-impl/</w:t>
      </w:r>
    </w:p>
    <w:p>
      <w:pPr>
        <w:spacing w:after="0"/>
        <w:jc w:val="left"/>
        <w:bidi w:val="0"/>
      </w:pPr>
      <w:r>
        <w:rPr>
          <w:rFonts w:ascii="Consolas" w:hAnsi="Consolas"/>
          <w:sz w:val="16"/>
        </w:rPr>
        <w:t>├── database/</w:t>
      </w:r>
    </w:p>
    <w:p>
      <w:pPr>
        <w:spacing w:after="0"/>
        <w:jc w:val="left"/>
        <w:bidi w:val="0"/>
      </w:pPr>
      <w:r>
        <w:rPr>
          <w:rFonts w:ascii="Consolas" w:hAnsi="Consolas"/>
          <w:sz w:val="16"/>
        </w:rPr>
        <w:t>├── docs/</w:t>
      </w:r>
    </w:p>
    <w:p>
      <w:pPr>
        <w:spacing w:after="0"/>
        <w:jc w:val="left"/>
        <w:bidi w:val="0"/>
      </w:pPr>
      <w:r>
        <w:rPr>
          <w:rFonts w:ascii="Consolas" w:hAnsi="Consolas"/>
          <w:sz w:val="16"/>
        </w:rPr>
        <w:t>└── .env.example</w:t>
      </w:r>
    </w:p>
    <w:p>
      <w:pPr>
        <w:jc w:val="right"/>
        <w:bidi w:val="1"/>
      </w:pPr>
      <w:r>
        <w:rPr>
          <w:rFonts w:ascii="Arial" w:hAnsi="Arial" w:cs="Arial"/>
          <w:b w:val="0"/>
        </w:rPr>
        <w:t>هر پوشه کسب‌وکاری یک aggregator Maven دارد. پروژه‌های api و impl دارای artifact و JAR مستقل‌اند. فقط application فایل اجرایی Spring Boot تولید می‌کند و پیاده‌سازی ماژول‌ها را کنار هم قرار می‌دهد. اشتراک ریشه package مانند com.shafagh به معنی یکی‌بودن ماژول‌ها نیست.</w:t>
      </w:r>
    </w:p>
    <w:p>
      <w:pPr>
        <w:jc w:val="right"/>
        <w:bidi w:val="1"/>
      </w:pPr>
      <w:r>
        <w:rPr>
          <w:rFonts w:ascii="Arial" w:hAnsi="Arial" w:cs="Arial"/>
          <w:b w:val="0"/>
        </w:rPr>
        <w:t>ساختار داخلی نمونه برای سپرده:</w:t>
      </w:r>
    </w:p>
    <w:p>
      <w:pPr>
        <w:spacing w:after="0"/>
        <w:jc w:val="left"/>
        <w:bidi w:val="0"/>
      </w:pPr>
      <w:r>
        <w:rPr>
          <w:rFonts w:ascii="Consolas" w:hAnsi="Consolas"/>
          <w:sz w:val="16"/>
        </w:rPr>
        <w:t>com.shafagh.dpst.api</w:t>
      </w:r>
    </w:p>
    <w:p>
      <w:pPr>
        <w:spacing w:after="0"/>
        <w:jc w:val="left"/>
        <w:bidi w:val="0"/>
      </w:pPr>
      <w:r>
        <w:rPr>
          <w:rFonts w:ascii="Consolas" w:hAnsi="Consolas"/>
          <w:sz w:val="16"/>
        </w:rPr>
        <w:t>├── DepositApi</w:t>
      </w:r>
    </w:p>
    <w:p>
      <w:pPr>
        <w:spacing w:after="0"/>
        <w:jc w:val="left"/>
        <w:bidi w:val="0"/>
      </w:pPr>
      <w:r>
        <w:rPr>
          <w:rFonts w:ascii="Consolas" w:hAnsi="Consolas"/>
          <w:sz w:val="16"/>
        </w:rPr>
        <w:t>└── dto</w:t>
      </w:r>
    </w:p>
    <w:p>
      <w:pPr>
        <w:spacing w:after="0"/>
        <w:jc w:val="left"/>
        <w:bidi w:val="0"/>
      </w:pPr>
      <w:r>
        <w:rPr>
          <w:rFonts w:ascii="Consolas" w:hAnsi="Consolas"/>
          <w:sz w:val="16"/>
        </w:rPr>
        <w:t xml:space="preserve">    ├── command</w:t>
      </w:r>
    </w:p>
    <w:p>
      <w:pPr>
        <w:spacing w:after="0"/>
        <w:jc w:val="left"/>
        <w:bidi w:val="0"/>
      </w:pPr>
      <w:r>
        <w:rPr>
          <w:rFonts w:ascii="Consolas" w:hAnsi="Consolas"/>
          <w:sz w:val="16"/>
        </w:rPr>
        <w:t xml:space="preserve">    └── result</w:t>
      </w:r>
    </w:p>
    <w:p>
      <w:pPr>
        <w:spacing w:after="0"/>
        <w:jc w:val="left"/>
        <w:bidi w:val="0"/>
      </w:pPr>
      <w:r>
        <w:rPr>
          <w:rFonts w:ascii="Consolas" w:hAnsi="Consolas"/>
          <w:sz w:val="16"/>
        </w:rPr>
      </w:r>
    </w:p>
    <w:p>
      <w:pPr>
        <w:spacing w:after="0"/>
        <w:jc w:val="left"/>
        <w:bidi w:val="0"/>
      </w:pPr>
      <w:r>
        <w:rPr>
          <w:rFonts w:ascii="Consolas" w:hAnsi="Consolas"/>
          <w:sz w:val="16"/>
        </w:rPr>
        <w:t>com.shafagh.dpst.internal</w:t>
      </w:r>
    </w:p>
    <w:p>
      <w:pPr>
        <w:spacing w:after="0"/>
        <w:jc w:val="left"/>
        <w:bidi w:val="0"/>
      </w:pPr>
      <w:r>
        <w:rPr>
          <w:rFonts w:ascii="Consolas" w:hAnsi="Consolas"/>
          <w:sz w:val="16"/>
        </w:rPr>
        <w:t>├── controller</w:t>
      </w:r>
    </w:p>
    <w:p>
      <w:pPr>
        <w:spacing w:after="0"/>
        <w:jc w:val="left"/>
        <w:bidi w:val="0"/>
      </w:pPr>
      <w:r>
        <w:rPr>
          <w:rFonts w:ascii="Consolas" w:hAnsi="Consolas"/>
          <w:sz w:val="16"/>
        </w:rPr>
        <w:t>├── dto</w:t>
      </w:r>
    </w:p>
    <w:p>
      <w:pPr>
        <w:spacing w:after="0"/>
        <w:jc w:val="left"/>
        <w:bidi w:val="0"/>
      </w:pPr>
      <w:r>
        <w:rPr>
          <w:rFonts w:ascii="Consolas" w:hAnsi="Consolas"/>
          <w:sz w:val="16"/>
        </w:rPr>
        <w:t>│   ├── request</w:t>
      </w:r>
    </w:p>
    <w:p>
      <w:pPr>
        <w:spacing w:after="0"/>
        <w:jc w:val="left"/>
        <w:bidi w:val="0"/>
      </w:pPr>
      <w:r>
        <w:rPr>
          <w:rFonts w:ascii="Consolas" w:hAnsi="Consolas"/>
          <w:sz w:val="16"/>
        </w:rPr>
        <w:t>│   └── response</w:t>
      </w:r>
    </w:p>
    <w:p>
      <w:pPr>
        <w:spacing w:after="0"/>
        <w:jc w:val="left"/>
        <w:bidi w:val="0"/>
      </w:pPr>
      <w:r>
        <w:rPr>
          <w:rFonts w:ascii="Consolas" w:hAnsi="Consolas"/>
          <w:sz w:val="16"/>
        </w:rPr>
        <w:t>├── service</w:t>
      </w:r>
    </w:p>
    <w:p>
      <w:pPr>
        <w:spacing w:after="0"/>
        <w:jc w:val="left"/>
        <w:bidi w:val="0"/>
      </w:pPr>
      <w:r>
        <w:rPr>
          <w:rFonts w:ascii="Consolas" w:hAnsi="Consolas"/>
          <w:sz w:val="16"/>
        </w:rPr>
        <w:t>├── entity</w:t>
      </w:r>
    </w:p>
    <w:p>
      <w:pPr>
        <w:spacing w:after="0"/>
        <w:jc w:val="left"/>
        <w:bidi w:val="0"/>
      </w:pPr>
      <w:r>
        <w:rPr>
          <w:rFonts w:ascii="Consolas" w:hAnsi="Consolas"/>
          <w:sz w:val="16"/>
        </w:rPr>
        <w:t>├── repository</w:t>
      </w:r>
    </w:p>
    <w:p>
      <w:pPr>
        <w:spacing w:after="0"/>
        <w:jc w:val="left"/>
        <w:bidi w:val="0"/>
      </w:pPr>
      <w:r>
        <w:rPr>
          <w:rFonts w:ascii="Consolas" w:hAnsi="Consolas"/>
          <w:sz w:val="16"/>
        </w:rPr>
        <w:t>├── mapper</w:t>
      </w:r>
    </w:p>
    <w:p>
      <w:pPr>
        <w:spacing w:after="0"/>
        <w:jc w:val="left"/>
        <w:bidi w:val="0"/>
      </w:pPr>
      <w:r>
        <w:rPr>
          <w:rFonts w:ascii="Consolas" w:hAnsi="Consolas"/>
          <w:sz w:val="16"/>
        </w:rPr>
        <w:t>└── config</w:t>
      </w:r>
    </w:p>
    <w:p>
      <w:pPr>
        <w:jc w:val="right"/>
        <w:bidi w:val="1"/>
      </w:pPr>
      <w:r>
        <w:rPr>
          <w:rFonts w:ascii="Arial" w:hAnsi="Arial" w:cs="Arial"/>
          <w:b w:val="0"/>
        </w:rPr>
        <w:t>قراردادهای عمومی فقط interface سرویس، DTO و خطاهای قراردادی لازم را در معرض استفاده قرار دهند. Entity، Repository، Connection، EntityManager و مدل HTTP نباید از مرز ماژول عبور کنند. قراردادها تا حد امکان مستقل از Hibernate و جزئیات persistence باشند.</w:t>
      </w:r>
    </w:p>
    <w:p>
      <w:pPr>
        <w:jc w:val="right"/>
        <w:bidi w:val="1"/>
      </w:pPr>
      <w:r>
        <w:rPr>
          <w:rFonts w:ascii="Arial" w:hAnsi="Arial" w:cs="Arial"/>
          <w:b w:val="0"/>
        </w:rPr>
        <w:t>درخواست و پاسخ HTTP از DTOهای فراخوانی بین ماژول‌ها تفکیک شوند. interface برای مرز ماژول الزامی است؛ ایجاد interface برای تمام سرویس‌های داخلی ضرورت ندارد.</w:t>
      </w:r>
    </w:p>
    <w:p>
      <w:pPr>
        <w:pStyle w:val="Heading1"/>
        <w:jc w:val="right"/>
        <w:bidi w:val="1"/>
      </w:pPr>
      <w:r>
        <w:rPr>
          <w:rFonts w:ascii="Arial" w:hAnsi="Arial" w:cs="Arial"/>
          <w:b w:val="0"/>
        </w:rPr>
        <w:t>۵. ارتباط و جهت وابستگی‌ها</w:t>
      </w:r>
    </w:p>
    <w:p>
      <w:pPr>
        <w:jc w:val="right"/>
        <w:bidi w:val="1"/>
      </w:pPr>
      <w:r>
        <w:rPr>
          <w:rFonts w:ascii="Arial" w:hAnsi="Arial" w:cs="Arial"/>
          <w:b w:val="0"/>
        </w:rPr>
        <w:t>فراخوانی بین ماژول‌ها مستقیم و داخل برنامه است. برای این ارتباط به HTTP داخلی، message broker یا سرویس جدا نیاز نیست.</w:t>
      </w:r>
    </w:p>
    <w:p>
      <w:pPr>
        <w:jc w:val="right"/>
        <w:bidi w:val="1"/>
      </w:pPr>
      <w:r>
        <w:rPr>
          <w:rFonts w:ascii="Arial" w:hAnsi="Arial" w:cs="Arial"/>
          <w:b w:val="0"/>
        </w:rPr>
        <w:t>نمونه وابستگی‌های مجاز:</w:t>
      </w:r>
    </w:p>
    <w:p>
      <w:pPr>
        <w:spacing w:after="0"/>
        <w:jc w:val="left"/>
        <w:bidi w:val="0"/>
      </w:pPr>
      <w:r>
        <w:rPr>
          <w:rFonts w:ascii="Consolas" w:hAnsi="Consolas"/>
          <w:sz w:val="16"/>
        </w:rPr>
        <w:t>cif-impl  → base-api</w:t>
      </w:r>
    </w:p>
    <w:p>
      <w:pPr>
        <w:spacing w:after="0"/>
        <w:jc w:val="left"/>
        <w:bidi w:val="0"/>
      </w:pPr>
      <w:r>
        <w:rPr>
          <w:rFonts w:ascii="Consolas" w:hAnsi="Consolas"/>
          <w:sz w:val="16"/>
        </w:rPr>
        <w:t xml:space="preserve"> dpst-impl → cif-api, base-api, trx-api</w:t>
      </w:r>
    </w:p>
    <w:p>
      <w:pPr>
        <w:spacing w:after="0"/>
        <w:jc w:val="left"/>
        <w:bidi w:val="0"/>
      </w:pPr>
      <w:r>
        <w:rPr>
          <w:rFonts w:ascii="Consolas" w:hAnsi="Consolas"/>
          <w:sz w:val="16"/>
        </w:rPr>
        <w:t>loan-impl → cif-api, dpst-api, base-api, trx-api</w:t>
      </w:r>
    </w:p>
    <w:p>
      <w:pPr>
        <w:spacing w:after="0"/>
        <w:jc w:val="left"/>
        <w:bidi w:val="0"/>
      </w:pPr>
      <w:r>
        <w:rPr>
          <w:rFonts w:ascii="Consolas" w:hAnsi="Consolas"/>
          <w:sz w:val="16"/>
        </w:rPr>
        <w:t>application → تمام implها</w:t>
      </w:r>
    </w:p>
    <w:p>
      <w:pPr>
        <w:jc w:val="right"/>
        <w:bidi w:val="1"/>
      </w:pPr>
      <w:r>
        <w:rPr>
          <w:rFonts w:ascii="Arial" w:hAnsi="Arial" w:cs="Arial"/>
          <w:b w:val="0"/>
        </w:rPr>
        <w:t>این وابستگی‌ها فقط در صورت نیاز واقعی ایجاد شوند. وابستگی impl یک ماژول به impl ماژول دیگر مجاز نیست. SHFQ_TRX برای ثبت سابقه عمومی به پیاده‌سازی سپرده یا تسهیلات وابسته نمی‌شود؛ بنابراین چرخه ایجاد نمی‌شود.</w:t>
      </w:r>
    </w:p>
    <w:p>
      <w:pPr>
        <w:jc w:val="right"/>
        <w:bidi w:val="1"/>
      </w:pPr>
      <w:r>
        <w:rPr>
          <w:rFonts w:ascii="Arial" w:hAnsi="Arial" w:cs="Arial"/>
          <w:b w:val="0"/>
        </w:rPr>
        <w:t>مرزها با وابستگی Maven و تست معماری، مانند ArchUnit، کنترل شوند. استفاده احتمالی از Spring Modulith باید با ساختار api/impl و قابلیت موردنیاز ارزیابی شود؛ الزام به ابزار خاصی نداریم.</w:t>
      </w:r>
    </w:p>
    <w:p>
      <w:pPr>
        <w:pStyle w:val="Heading1"/>
        <w:jc w:val="right"/>
        <w:bidi w:val="1"/>
      </w:pPr>
      <w:r>
        <w:rPr>
          <w:rFonts w:ascii="Arial" w:hAnsi="Arial" w:cs="Arial"/>
          <w:b w:val="0"/>
        </w:rPr>
        <w:t>۶. تنظیمات Oracle و Hibernate</w:t>
      </w:r>
    </w:p>
    <w:p>
      <w:pPr>
        <w:jc w:val="right"/>
        <w:bidi w:val="1"/>
      </w:pPr>
      <w:r>
        <w:rPr>
          <w:rFonts w:ascii="Arial" w:hAnsi="Arial" w:cs="Arial"/>
          <w:b w:val="0"/>
        </w:rPr>
        <w:t>مشخصات محیط آزمایشی اعلام‌شده:</w:t>
      </w:r>
    </w:p>
    <w:tbl>
      <w:tblPr>
        <w:tblStyle w:val="TableGrid"/>
        <w:tblW w:type="auto" w:w="0"/>
        <w:jc w:val="center"/>
        <w:tblLook w:firstColumn="1" w:firstRow="1" w:lastColumn="0" w:lastRow="0" w:noHBand="0" w:noVBand="1" w:val="04A0"/>
        <w:bidiVisual w:val="1"/>
      </w:tblPr>
      <w:tblGrid>
        <w:gridCol w:w="4946"/>
        <w:gridCol w:w="4946"/>
      </w:tblGrid>
      <w:tr>
        <w:trPr>
          <w:tblHeader/>
        </w:trPr>
        <w:tc>
          <w:tcPr>
            <w:tcW w:type="dxa" w:w="4946"/>
            <w:shd w:fill="E9EFF7"/>
          </w:tcPr>
          <w:p>
            <w:pPr>
              <w:spacing w:after="80"/>
              <w:jc w:val="right"/>
              <w:bidi w:val="1"/>
            </w:pPr>
            <w:r>
              <w:rPr>
                <w:rFonts w:ascii="Arial" w:hAnsi="Arial" w:cs="Arial"/>
                <w:b/>
                <w:sz w:val="18"/>
              </w:rPr>
              <w:t>تنظیم</w:t>
            </w:r>
          </w:p>
        </w:tc>
        <w:tc>
          <w:tcPr>
            <w:tcW w:type="dxa" w:w="4946"/>
            <w:shd w:fill="E9EFF7"/>
          </w:tcPr>
          <w:p>
            <w:pPr>
              <w:spacing w:after="80"/>
              <w:jc w:val="right"/>
              <w:bidi w:val="1"/>
            </w:pPr>
            <w:r>
              <w:rPr>
                <w:rFonts w:ascii="Arial" w:hAnsi="Arial" w:cs="Arial"/>
                <w:b/>
                <w:sz w:val="18"/>
              </w:rPr>
              <w:t>مقدار</w:t>
            </w:r>
          </w:p>
        </w:tc>
      </w:tr>
      <w:tr>
        <w:tc>
          <w:tcPr>
            <w:tcW w:type="dxa" w:w="4946"/>
          </w:tcPr>
          <w:p>
            <w:pPr>
              <w:spacing w:after="80"/>
              <w:jc w:val="right"/>
              <w:bidi w:val="1"/>
            </w:pPr>
            <w:r>
              <w:rPr>
                <w:rFonts w:ascii="Arial" w:hAnsi="Arial" w:cs="Arial"/>
                <w:b w:val="0"/>
                <w:sz w:val="18"/>
              </w:rPr>
              <w:t>میزبان</w:t>
            </w:r>
          </w:p>
        </w:tc>
        <w:tc>
          <w:tcPr>
            <w:tcW w:type="dxa" w:w="4946"/>
          </w:tcPr>
          <w:p>
            <w:pPr>
              <w:spacing w:after="80"/>
              <w:jc w:val="right"/>
              <w:bidi w:val="1"/>
            </w:pPr>
            <w:r>
              <w:rPr>
                <w:rFonts w:ascii="Arial" w:hAnsi="Arial" w:cs="Arial"/>
                <w:b w:val="0"/>
                <w:sz w:val="18"/>
              </w:rPr>
              <w:t>172.31.65.19</w:t>
            </w:r>
          </w:p>
        </w:tc>
      </w:tr>
      <w:tr>
        <w:tc>
          <w:tcPr>
            <w:tcW w:type="dxa" w:w="4946"/>
          </w:tcPr>
          <w:p>
            <w:pPr>
              <w:spacing w:after="80"/>
              <w:jc w:val="right"/>
              <w:bidi w:val="1"/>
            </w:pPr>
            <w:r>
              <w:rPr>
                <w:rFonts w:ascii="Arial" w:hAnsi="Arial" w:cs="Arial"/>
                <w:b w:val="0"/>
                <w:sz w:val="18"/>
              </w:rPr>
              <w:t>پورت</w:t>
            </w:r>
          </w:p>
        </w:tc>
        <w:tc>
          <w:tcPr>
            <w:tcW w:type="dxa" w:w="4946"/>
          </w:tcPr>
          <w:p>
            <w:pPr>
              <w:spacing w:after="80"/>
              <w:jc w:val="right"/>
              <w:bidi w:val="1"/>
            </w:pPr>
            <w:r>
              <w:rPr>
                <w:rFonts w:ascii="Arial" w:hAnsi="Arial" w:cs="Arial"/>
                <w:b w:val="0"/>
                <w:sz w:val="18"/>
              </w:rPr>
              <w:t>1521</w:t>
            </w:r>
          </w:p>
        </w:tc>
      </w:tr>
      <w:tr>
        <w:tc>
          <w:tcPr>
            <w:tcW w:type="dxa" w:w="4946"/>
          </w:tcPr>
          <w:p>
            <w:pPr>
              <w:spacing w:after="80"/>
              <w:jc w:val="right"/>
              <w:bidi w:val="1"/>
            </w:pPr>
            <w:r>
              <w:rPr>
                <w:rFonts w:ascii="Arial" w:hAnsi="Arial" w:cs="Arial"/>
                <w:b w:val="0"/>
                <w:sz w:val="18"/>
              </w:rPr>
              <w:t>SID</w:t>
            </w:r>
          </w:p>
        </w:tc>
        <w:tc>
          <w:tcPr>
            <w:tcW w:type="dxa" w:w="4946"/>
          </w:tcPr>
          <w:p>
            <w:pPr>
              <w:spacing w:after="80"/>
              <w:jc w:val="right"/>
              <w:bidi w:val="1"/>
            </w:pPr>
            <w:r>
              <w:rPr>
                <w:rFonts w:ascii="Arial" w:hAnsi="Arial" w:cs="Arial"/>
                <w:b w:val="0"/>
                <w:sz w:val="18"/>
              </w:rPr>
              <w:t>centraldb</w:t>
            </w:r>
          </w:p>
        </w:tc>
      </w:tr>
      <w:tr>
        <w:tc>
          <w:tcPr>
            <w:tcW w:type="dxa" w:w="4946"/>
          </w:tcPr>
          <w:p>
            <w:pPr>
              <w:spacing w:after="80"/>
              <w:jc w:val="right"/>
              <w:bidi w:val="1"/>
            </w:pPr>
            <w:r>
              <w:rPr>
                <w:rFonts w:ascii="Arial" w:hAnsi="Arial" w:cs="Arial"/>
                <w:b w:val="0"/>
                <w:sz w:val="18"/>
              </w:rPr>
              <w:t>قالب اتصال</w:t>
            </w:r>
          </w:p>
        </w:tc>
        <w:tc>
          <w:tcPr>
            <w:tcW w:type="dxa" w:w="4946"/>
          </w:tcPr>
          <w:p>
            <w:pPr>
              <w:spacing w:after="80"/>
              <w:jc w:val="right"/>
              <w:bidi w:val="1"/>
            </w:pPr>
            <w:r>
              <w:rPr>
                <w:rFonts w:ascii="Arial" w:hAnsi="Arial" w:cs="Arial"/>
                <w:b w:val="0"/>
                <w:sz w:val="18"/>
              </w:rPr>
              <w:t>jdbc:oracle:thin:@172.31.65.19:1521:centraldb</w:t>
            </w:r>
          </w:p>
        </w:tc>
      </w:tr>
      <w:tr>
        <w:tc>
          <w:tcPr>
            <w:tcW w:type="dxa" w:w="4946"/>
          </w:tcPr>
          <w:p>
            <w:pPr>
              <w:spacing w:after="80"/>
              <w:jc w:val="right"/>
              <w:bidi w:val="1"/>
            </w:pPr>
            <w:r>
              <w:rPr>
                <w:rFonts w:ascii="Arial" w:hAnsi="Arial" w:cs="Arial"/>
                <w:b w:val="0"/>
                <w:sz w:val="18"/>
              </w:rPr>
              <w:t>کاربر هر اتصال</w:t>
            </w:r>
          </w:p>
        </w:tc>
        <w:tc>
          <w:tcPr>
            <w:tcW w:type="dxa" w:w="4946"/>
          </w:tcPr>
          <w:p>
            <w:pPr>
              <w:spacing w:after="80"/>
              <w:jc w:val="right"/>
              <w:bidi w:val="1"/>
            </w:pPr>
            <w:r>
              <w:rPr>
                <w:rFonts w:ascii="Arial" w:hAnsi="Arial" w:cs="Arial"/>
                <w:b w:val="0"/>
                <w:sz w:val="18"/>
              </w:rPr>
              <w:t>نام اسکیمای همان ماژول</w:t>
            </w:r>
          </w:p>
        </w:tc>
      </w:tr>
      <w:tr>
        <w:tc>
          <w:tcPr>
            <w:tcW w:type="dxa" w:w="4946"/>
          </w:tcPr>
          <w:p>
            <w:pPr>
              <w:spacing w:after="80"/>
              <w:jc w:val="right"/>
              <w:bidi w:val="1"/>
            </w:pPr>
            <w:r>
              <w:rPr>
                <w:rFonts w:ascii="Arial" w:hAnsi="Arial" w:cs="Arial"/>
                <w:b w:val="0"/>
                <w:sz w:val="18"/>
              </w:rPr>
              <w:t>رمز در محیط آزمایشی فعلی</w:t>
            </w:r>
          </w:p>
        </w:tc>
        <w:tc>
          <w:tcPr>
            <w:tcW w:type="dxa" w:w="4946"/>
          </w:tcPr>
          <w:p>
            <w:pPr>
              <w:spacing w:after="80"/>
              <w:jc w:val="right"/>
              <w:bidi w:val="1"/>
            </w:pPr>
            <w:r>
              <w:rPr>
                <w:rFonts w:ascii="Arial" w:hAnsi="Arial" w:cs="Arial"/>
                <w:b w:val="0"/>
                <w:sz w:val="18"/>
              </w:rPr>
              <w:t>برابر نام کاربری همان اسکیما</w:t>
            </w:r>
          </w:p>
        </w:tc>
      </w:tr>
    </w:tbl>
    <w:p/>
    <w:p>
      <w:pPr>
        <w:jc w:val="right"/>
        <w:bidi w:val="1"/>
      </w:pPr>
      <w:r>
        <w:rPr>
          <w:rFonts w:ascii="Arial" w:hAnsi="Arial" w:cs="Arial"/>
          <w:b w:val="0"/>
        </w:rPr>
        <w:t>تیم باید با DBA بررسی کند که SID به container موردنظر متصل می‌شود و کاربران در همان مقصد وجود دارند. یکسان‌بودن نام دیتابیس یا موفقیت اتصال از طریق سرویس دیگری، به‌تنهایی این موضوع را تأیید نمی‌کند. hostname قبلی نباید در تنظیمات پیش‌فرض اتصال باقی بماند.</w:t>
      </w:r>
    </w:p>
    <w:p>
      <w:pPr>
        <w:jc w:val="right"/>
        <w:bidi w:val="1"/>
      </w:pPr>
      <w:r>
        <w:rPr>
          <w:rFonts w:ascii="Arial" w:hAnsi="Arial" w:cs="Arial"/>
          <w:b w:val="0"/>
        </w:rPr>
        <w:t>برای هر ماژول فعال، XA DataSource و pool اختصاصی، EntityManagerFactory اختصاصی و اسکن محدود Entity و Repositoryهای همان ماژول تعریف شود. مدیر تراکنش JTA مشترک است. Entityها باید به اسکیمای مالک خود نگاشت شوند؛ این تنظیم می‌تواند در EntityManagerFactory همان ماژول اعمال شود.</w:t>
      </w:r>
    </w:p>
    <w:p>
      <w:pPr>
        <w:jc w:val="right"/>
        <w:bidi w:val="1"/>
      </w:pPr>
      <w:r>
        <w:rPr>
          <w:rFonts w:ascii="Arial" w:hAnsi="Arial" w:cs="Arial"/>
          <w:b w:val="0"/>
        </w:rPr>
        <w:t>تنظیمات اتصال هر ماژول در منابع همان ماژول نگهداری شود. تنظیمات مشترک Hibernate/JTA در platform یا application قرار گیرد. تنظیمات قابل override و مسیر بارگذاری تنظیمات محلی باید واضح، مستند و قابل تست باشند. رمز در لاگ چاپ نشود و مشخصات محیط تولید از secret/config management دریافت شود؛ قاعده برابری رمز و نام کاربر فقط مربوط به محیط آزمایشی اعلام‌شده است.</w:t>
      </w:r>
    </w:p>
    <w:p>
      <w:pPr>
        <w:jc w:val="right"/>
        <w:bidi w:val="1"/>
      </w:pPr>
      <w:r>
        <w:rPr>
          <w:rFonts w:ascii="Arial" w:hAnsi="Arial" w:cs="Arial"/>
          <w:b w:val="0"/>
        </w:rPr>
        <w:t>Migrationها به تفکیک اسکیما نگهداری و با هویت مجاز همان اسکیما اجرا شوند. برنامه در Oracle از schema validation استفاده کند و با ddl-auto=update تغییر خودکار ساختار ندهد. مجوز ساخت یا تغییر جدول، جزو پیش‌نیازهای migration است و با مجوز اجرای روزمره برنامه تفکیک شود.</w:t>
      </w:r>
    </w:p>
    <w:p>
      <w:pPr>
        <w:pStyle w:val="Heading1"/>
        <w:jc w:val="right"/>
        <w:bidi w:val="1"/>
      </w:pPr>
      <w:r>
        <w:rPr>
          <w:rFonts w:ascii="Arial" w:hAnsi="Arial" w:cs="Arial"/>
          <w:b w:val="0"/>
        </w:rPr>
        <w:t>۷. طراحی اتمیک بودن با JTA/XA</w:t>
      </w:r>
    </w:p>
    <w:p>
      <w:pPr>
        <w:jc w:val="right"/>
        <w:bidi w:val="1"/>
      </w:pPr>
      <w:r>
        <w:rPr>
          <w:rFonts w:ascii="Arial" w:hAnsi="Arial" w:cs="Arial"/>
          <w:b w:val="0"/>
        </w:rPr>
        <w:t>با چند اتصال مستقل و کاربران متفاوت، یک تراکنش محلی JDBC یا چند TransactionManager محلی، commit همه منابع را هماهنگ نمی‌کند. پیشنهاد این است که منابع XA تحت یک مدیر JTA، از پروتکل Two-Phase Commit استفاده کنند.</w:t>
      </w:r>
    </w:p>
    <w:p>
      <w:pPr>
        <w:jc w:val="right"/>
        <w:bidi w:val="1"/>
      </w:pPr>
      <w:r>
        <w:rPr>
          <w:rFonts w:ascii="Arial" w:hAnsi="Arial" w:cs="Arial"/>
          <w:b w:val="0"/>
        </w:rPr>
        <w:t>گزینه‌هایی مانند Atomikos یا Narayana قابل ارزیابی‌اند. تیم موظف است سازگاری نسخه‌ها، پشتیبانی Oracle XA، امکانات recovery، شرایط استفاده و الزامات عملیاتی را بررسی و نتیجه انتخاب را مستند کند. صرف اضافه‌کردن @Transactional کافی نیست.</w:t>
      </w:r>
    </w:p>
    <w:p>
      <w:pPr>
        <w:jc w:val="right"/>
        <w:bidi w:val="1"/>
      </w:pPr>
      <w:r>
        <w:rPr>
          <w:rFonts w:ascii="Arial" w:hAnsi="Arial" w:cs="Arial"/>
          <w:b w:val="0"/>
        </w:rPr>
        <w:t>قواعد اجرایی:</w:t>
      </w:r>
    </w:p>
    <w:p>
      <w:pPr>
        <w:jc w:val="right"/>
        <w:bidi w:val="1"/>
      </w:pPr>
      <w:r>
        <w:rPr>
          <w:rFonts w:ascii="Arial" w:hAnsi="Arial" w:cs="Arial"/>
          <w:b w:val="0"/>
        </w:rPr>
        <w:t>• سرویس هماهنگ‌کننده، مالک فرایند کسب‌وکار و مرز تراکنش سراسری باشد؛ برای واریز در dpst و برای پرداخت تسهیلات در loan.</w:t>
      </w:r>
    </w:p>
    <w:p>
      <w:pPr>
        <w:jc w:val="right"/>
        <w:bidi w:val="1"/>
      </w:pPr>
      <w:r>
        <w:rPr>
          <w:rFonts w:ascii="Arial" w:hAnsi="Arial" w:cs="Arial"/>
          <w:b w:val="0"/>
        </w:rPr>
        <w:t>• سرویس‌های مشارکت‌کننده از همان مدیر JTA استفاده کنند. REQUIRED برای پیوستن به تراکنش موجود و MANDATORY برای عملیاتی که بدون تراکنش مجاز نیست، به‌صورت آگاهانه انتخاب شوند.</w:t>
      </w:r>
    </w:p>
    <w:p>
      <w:pPr>
        <w:jc w:val="right"/>
        <w:bidi w:val="1"/>
      </w:pPr>
      <w:r>
        <w:rPr>
          <w:rFonts w:ascii="Arial" w:hAnsi="Arial" w:cs="Arial"/>
          <w:b w:val="0"/>
        </w:rPr>
        <w:t>• مراحل مالی اتمیک به thread یا @Async منتقل نشوند و از REQUIRES_NEW استفاده نکنند.</w:t>
      </w:r>
    </w:p>
    <w:p>
      <w:pPr>
        <w:jc w:val="right"/>
        <w:bidi w:val="1"/>
      </w:pPr>
      <w:r>
        <w:rPr>
          <w:rFonts w:ascii="Arial" w:hAnsi="Arial" w:cs="Arial"/>
          <w:b w:val="0"/>
        </w:rPr>
        <w:t>• Connection بین ماژول‌ها پاس داده نشود؛ مدیر تراکنش، اتصال‌های مستقل را enlist کند.</w:t>
      </w:r>
    </w:p>
    <w:p>
      <w:pPr>
        <w:jc w:val="right"/>
        <w:bidi w:val="1"/>
      </w:pPr>
      <w:r>
        <w:rPr>
          <w:rFonts w:ascii="Arial" w:hAnsi="Arial" w:cs="Arial"/>
          <w:b w:val="0"/>
        </w:rPr>
        <w:t>• قواعد rollback برای خطاهای کسب‌وکاری و فنی، از جمله checked exceptionهای لازم، مشخص و آزمایش شوند.</w:t>
      </w:r>
    </w:p>
    <w:p>
      <w:pPr>
        <w:jc w:val="right"/>
        <w:bidi w:val="1"/>
      </w:pPr>
      <w:r>
        <w:rPr>
          <w:rFonts w:ascii="Arial" w:hAnsi="Arial" w:cs="Arial"/>
          <w:b w:val="0"/>
        </w:rPr>
        <w:t>• پاسخ موفق فقط پس از تکمیل موفق commit به درخواست‌کننده داده شود. نتیجه نامشخص commit به‌عنوان شکست قطعی یا موفقیت قطعی گزارش نشود و مسیر استعلام/بازیابی داشته باشد.</w:t>
      </w:r>
    </w:p>
    <w:p>
      <w:pPr>
        <w:jc w:val="right"/>
        <w:bidi w:val="1"/>
      </w:pPr>
      <w:r>
        <w:rPr>
          <w:rFonts w:ascii="Arial" w:hAnsi="Arial" w:cs="Arial"/>
          <w:b w:val="0"/>
        </w:rPr>
        <w:t>• تضمین این طراحی محدود به منابع تراکنشی مشارکت‌کننده است؛ فراخوانی سرویس پرداخت بیرونی خودبه‌خود تحت XA اتمیک نمی‌شود.</w:t>
      </w:r>
    </w:p>
    <w:p>
      <w:pPr>
        <w:jc w:val="right"/>
        <w:bidi w:val="1"/>
      </w:pPr>
      <w:r>
        <w:rPr>
          <w:rFonts w:ascii="Arial" w:hAnsi="Arial" w:cs="Arial"/>
          <w:b w:val="0"/>
        </w:rPr>
        <w:t>ماژول SHFQ_TRX، مدیر تراکنش JTA نیست. اولی ماژول کسب‌وکاری ثبت عملیات است؛ دومی زیرساخت فنی هماهنگی commit، rollback و recovery.</w:t>
      </w:r>
    </w:p>
    <w:p>
      <w:pPr>
        <w:pStyle w:val="Heading1"/>
        <w:jc w:val="right"/>
        <w:bidi w:val="1"/>
      </w:pPr>
      <w:r>
        <w:rPr>
          <w:rFonts w:ascii="Arial" w:hAnsi="Arial" w:cs="Arial"/>
          <w:b w:val="0"/>
        </w:rPr>
        <w:t>۸. نمونه حداقلی مورد انتظار</w:t>
      </w:r>
    </w:p>
    <w:p>
      <w:pPr>
        <w:pStyle w:val="Heading2"/>
        <w:jc w:val="right"/>
        <w:bidi w:val="1"/>
      </w:pPr>
      <w:r>
        <w:rPr>
          <w:rFonts w:ascii="Arial" w:hAnsi="Arial" w:cs="Arial"/>
          <w:b w:val="0"/>
        </w:rPr>
        <w:t>مدل داده</w:t>
      </w:r>
    </w:p>
    <w:tbl>
      <w:tblPr>
        <w:tblStyle w:val="TableGrid"/>
        <w:tblW w:type="auto" w:w="0"/>
        <w:jc w:val="center"/>
        <w:tblLook w:firstColumn="1" w:firstRow="1" w:lastColumn="0" w:lastRow="0" w:noHBand="0" w:noVBand="1" w:val="04A0"/>
        <w:bidiVisual w:val="1"/>
      </w:tblPr>
      <w:tblGrid>
        <w:gridCol w:w="3298"/>
        <w:gridCol w:w="3298"/>
        <w:gridCol w:w="3298"/>
      </w:tblGrid>
      <w:tr>
        <w:trPr>
          <w:tblHeader/>
        </w:trPr>
        <w:tc>
          <w:tcPr>
            <w:tcW w:type="dxa" w:w="3298"/>
            <w:shd w:fill="E9EFF7"/>
          </w:tcPr>
          <w:p>
            <w:pPr>
              <w:spacing w:after="80"/>
              <w:jc w:val="right"/>
              <w:bidi w:val="1"/>
            </w:pPr>
            <w:r>
              <w:rPr>
                <w:rFonts w:ascii="Arial" w:hAnsi="Arial" w:cs="Arial"/>
                <w:b/>
                <w:sz w:val="18"/>
              </w:rPr>
              <w:t>ماژول</w:t>
            </w:r>
          </w:p>
        </w:tc>
        <w:tc>
          <w:tcPr>
            <w:tcW w:type="dxa" w:w="3298"/>
            <w:shd w:fill="E9EFF7"/>
          </w:tcPr>
          <w:p>
            <w:pPr>
              <w:spacing w:after="80"/>
              <w:jc w:val="right"/>
              <w:bidi w:val="1"/>
            </w:pPr>
            <w:r>
              <w:rPr>
                <w:rFonts w:ascii="Arial" w:hAnsi="Arial" w:cs="Arial"/>
                <w:b/>
                <w:sz w:val="18"/>
              </w:rPr>
              <w:t>مدل نمونه</w:t>
            </w:r>
          </w:p>
        </w:tc>
        <w:tc>
          <w:tcPr>
            <w:tcW w:type="dxa" w:w="3298"/>
            <w:shd w:fill="E9EFF7"/>
          </w:tcPr>
          <w:p>
            <w:pPr>
              <w:spacing w:after="80"/>
              <w:jc w:val="right"/>
              <w:bidi w:val="1"/>
            </w:pPr>
            <w:r>
              <w:rPr>
                <w:rFonts w:ascii="Arial" w:hAnsi="Arial" w:cs="Arial"/>
                <w:b/>
                <w:sz w:val="18"/>
              </w:rPr>
              <w:t>فیلدهای حداقلی</w:t>
            </w:r>
          </w:p>
        </w:tc>
      </w:tr>
      <w:tr>
        <w:tc>
          <w:tcPr>
            <w:tcW w:type="dxa" w:w="3298"/>
          </w:tcPr>
          <w:p>
            <w:pPr>
              <w:spacing w:after="80"/>
              <w:jc w:val="right"/>
              <w:bidi w:val="1"/>
            </w:pPr>
            <w:r>
              <w:rPr>
                <w:rFonts w:ascii="Arial" w:hAnsi="Arial" w:cs="Arial"/>
                <w:b w:val="0"/>
                <w:sz w:val="18"/>
              </w:rPr>
              <w:t>cif</w:t>
            </w:r>
          </w:p>
        </w:tc>
        <w:tc>
          <w:tcPr>
            <w:tcW w:type="dxa" w:w="3298"/>
          </w:tcPr>
          <w:p>
            <w:pPr>
              <w:spacing w:after="80"/>
              <w:jc w:val="right"/>
              <w:bidi w:val="1"/>
            </w:pPr>
            <w:r>
              <w:rPr>
                <w:rFonts w:ascii="Arial" w:hAnsi="Arial" w:cs="Arial"/>
                <w:b w:val="0"/>
                <w:sz w:val="18"/>
              </w:rPr>
              <w:t>Customer</w:t>
            </w:r>
          </w:p>
        </w:tc>
        <w:tc>
          <w:tcPr>
            <w:tcW w:type="dxa" w:w="3298"/>
          </w:tcPr>
          <w:p>
            <w:pPr>
              <w:spacing w:after="80"/>
              <w:jc w:val="right"/>
              <w:bidi w:val="1"/>
            </w:pPr>
            <w:r>
              <w:rPr>
                <w:rFonts w:ascii="Arial" w:hAnsi="Arial" w:cs="Arial"/>
                <w:b w:val="0"/>
                <w:sz w:val="18"/>
              </w:rPr>
              <w:t>id، name</w:t>
            </w:r>
          </w:p>
        </w:tc>
      </w:tr>
      <w:tr>
        <w:tc>
          <w:tcPr>
            <w:tcW w:type="dxa" w:w="3298"/>
          </w:tcPr>
          <w:p>
            <w:pPr>
              <w:spacing w:after="80"/>
              <w:jc w:val="right"/>
              <w:bidi w:val="1"/>
            </w:pPr>
            <w:r>
              <w:rPr>
                <w:rFonts w:ascii="Arial" w:hAnsi="Arial" w:cs="Arial"/>
                <w:b w:val="0"/>
                <w:sz w:val="18"/>
              </w:rPr>
              <w:t>dpst</w:t>
            </w:r>
          </w:p>
        </w:tc>
        <w:tc>
          <w:tcPr>
            <w:tcW w:type="dxa" w:w="3298"/>
          </w:tcPr>
          <w:p>
            <w:pPr>
              <w:spacing w:after="80"/>
              <w:jc w:val="right"/>
              <w:bidi w:val="1"/>
            </w:pPr>
            <w:r>
              <w:rPr>
                <w:rFonts w:ascii="Arial" w:hAnsi="Arial" w:cs="Arial"/>
                <w:b w:val="0"/>
                <w:sz w:val="18"/>
              </w:rPr>
              <w:t>DepositAccount</w:t>
            </w:r>
          </w:p>
        </w:tc>
        <w:tc>
          <w:tcPr>
            <w:tcW w:type="dxa" w:w="3298"/>
          </w:tcPr>
          <w:p>
            <w:pPr>
              <w:spacing w:after="80"/>
              <w:jc w:val="right"/>
              <w:bidi w:val="1"/>
            </w:pPr>
            <w:r>
              <w:rPr>
                <w:rFonts w:ascii="Arial" w:hAnsi="Arial" w:cs="Arial"/>
                <w:b w:val="0"/>
                <w:sz w:val="18"/>
              </w:rPr>
              <w:t>id، customerId، balance، version</w:t>
            </w:r>
          </w:p>
        </w:tc>
      </w:tr>
      <w:tr>
        <w:tc>
          <w:tcPr>
            <w:tcW w:type="dxa" w:w="3298"/>
          </w:tcPr>
          <w:p>
            <w:pPr>
              <w:spacing w:after="80"/>
              <w:jc w:val="right"/>
              <w:bidi w:val="1"/>
            </w:pPr>
            <w:r>
              <w:rPr>
                <w:rFonts w:ascii="Arial" w:hAnsi="Arial" w:cs="Arial"/>
                <w:b w:val="0"/>
                <w:sz w:val="18"/>
              </w:rPr>
              <w:t>dpst</w:t>
            </w:r>
          </w:p>
        </w:tc>
        <w:tc>
          <w:tcPr>
            <w:tcW w:type="dxa" w:w="3298"/>
          </w:tcPr>
          <w:p>
            <w:pPr>
              <w:spacing w:after="80"/>
              <w:jc w:val="right"/>
              <w:bidi w:val="1"/>
            </w:pPr>
            <w:r>
              <w:rPr>
                <w:rFonts w:ascii="Arial" w:hAnsi="Arial" w:cs="Arial"/>
                <w:b w:val="0"/>
                <w:sz w:val="18"/>
              </w:rPr>
              <w:t>DepositPosting</w:t>
            </w:r>
          </w:p>
        </w:tc>
        <w:tc>
          <w:tcPr>
            <w:tcW w:type="dxa" w:w="3298"/>
          </w:tcPr>
          <w:p>
            <w:pPr>
              <w:spacing w:after="80"/>
              <w:jc w:val="right"/>
              <w:bidi w:val="1"/>
            </w:pPr>
            <w:r>
              <w:rPr>
                <w:rFonts w:ascii="Arial" w:hAnsi="Arial" w:cs="Arial"/>
                <w:b w:val="0"/>
                <w:sz w:val="18"/>
              </w:rPr>
              <w:t>operationId، accountId، amount</w:t>
            </w:r>
          </w:p>
        </w:tc>
      </w:tr>
      <w:tr>
        <w:tc>
          <w:tcPr>
            <w:tcW w:type="dxa" w:w="3298"/>
          </w:tcPr>
          <w:p>
            <w:pPr>
              <w:spacing w:after="80"/>
              <w:jc w:val="right"/>
              <w:bidi w:val="1"/>
            </w:pPr>
            <w:r>
              <w:rPr>
                <w:rFonts w:ascii="Arial" w:hAnsi="Arial" w:cs="Arial"/>
                <w:b w:val="0"/>
                <w:sz w:val="18"/>
              </w:rPr>
              <w:t>SHFQ_TRX</w:t>
            </w:r>
          </w:p>
        </w:tc>
        <w:tc>
          <w:tcPr>
            <w:tcW w:type="dxa" w:w="3298"/>
          </w:tcPr>
          <w:p>
            <w:pPr>
              <w:spacing w:after="80"/>
              <w:jc w:val="right"/>
              <w:bidi w:val="1"/>
            </w:pPr>
            <w:r>
              <w:rPr>
                <w:rFonts w:ascii="Arial" w:hAnsi="Arial" w:cs="Arial"/>
                <w:b w:val="0"/>
                <w:sz w:val="18"/>
              </w:rPr>
              <w:t>BankTransaction</w:t>
            </w:r>
          </w:p>
        </w:tc>
        <w:tc>
          <w:tcPr>
            <w:tcW w:type="dxa" w:w="3298"/>
          </w:tcPr>
          <w:p>
            <w:pPr>
              <w:spacing w:after="80"/>
              <w:jc w:val="right"/>
              <w:bidi w:val="1"/>
            </w:pPr>
            <w:r>
              <w:rPr>
                <w:rFonts w:ascii="Arial" w:hAnsi="Arial" w:cs="Arial"/>
                <w:b w:val="0"/>
                <w:sz w:val="18"/>
              </w:rPr>
              <w:t>operationId، accountId، amount، operationType</w:t>
            </w:r>
          </w:p>
        </w:tc>
      </w:tr>
    </w:tbl>
    <w:p/>
    <w:p>
      <w:pPr>
        <w:jc w:val="right"/>
        <w:bidi w:val="1"/>
      </w:pPr>
      <w:r>
        <w:rPr>
          <w:rFonts w:ascii="Arial" w:hAnsi="Arial" w:cs="Arial"/>
          <w:b w:val="0"/>
        </w:rPr>
        <w:t>نوع مبلغ BigDecimal و دقت/scale آن با قواعد واحد پول مشخص شود. برای نمونه، واحد پول صریحاً ثابت و مستند باشد؛ توسعه چندارزی خارج از دامنه نمونه حداقلی است. شناسه‌ها UUID یا روش مصوب دیگری با قید یکتایی باشند. شناسه ماژول دیگر یک مقدار ساده است و رابطه بین Entityهای دو ماژول ایجاد نمی‌کند.</w:t>
      </w:r>
    </w:p>
    <w:p>
      <w:pPr>
        <w:pStyle w:val="Heading2"/>
        <w:jc w:val="right"/>
        <w:bidi w:val="1"/>
      </w:pPr>
      <w:r>
        <w:rPr>
          <w:rFonts w:ascii="Arial" w:hAnsi="Arial" w:cs="Arial"/>
          <w:b w:val="0"/>
        </w:rPr>
        <w:t>فرایند نمونه</w:t>
      </w:r>
    </w:p>
    <w:p>
      <w:pPr>
        <w:jc w:val="right"/>
        <w:bidi w:val="1"/>
      </w:pPr>
      <w:r>
        <w:rPr>
          <w:rFonts w:ascii="Arial" w:hAnsi="Arial" w:cs="Arial"/>
          <w:b w:val="0"/>
        </w:rPr>
        <w:t>۱. مشتری ثبت و شناسه او دریافت شود.</w:t>
      </w:r>
    </w:p>
    <w:p>
      <w:pPr>
        <w:jc w:val="right"/>
        <w:bidi w:val="1"/>
      </w:pPr>
      <w:r>
        <w:rPr>
          <w:rFonts w:ascii="Arial" w:hAnsi="Arial" w:cs="Arial"/>
          <w:b w:val="0"/>
        </w:rPr>
        <w:t>۲. سپرده با فراخوانی CustomerApi، وجود مشتری را بررسی و حساب او را در اسکیمای خود ایجاد کند.</w:t>
      </w:r>
    </w:p>
    <w:p>
      <w:pPr>
        <w:jc w:val="right"/>
        <w:bidi w:val="1"/>
      </w:pPr>
      <w:r>
        <w:rPr>
          <w:rFonts w:ascii="Arial" w:hAnsi="Arial" w:cs="Arial"/>
          <w:b w:val="0"/>
        </w:rPr>
        <w:t>۳. درخواست واریز با شناسه یکتای عملیات دریافت شود.</w:t>
      </w:r>
    </w:p>
    <w:p>
      <w:pPr>
        <w:jc w:val="right"/>
        <w:bidi w:val="1"/>
      </w:pPr>
      <w:r>
        <w:rPr>
          <w:rFonts w:ascii="Arial" w:hAnsi="Arial" w:cs="Arial"/>
          <w:b w:val="0"/>
        </w:rPr>
        <w:t>۴. سرویس واریز تراکنش JTA را آغاز کند، حساب را با سیاست هم‌زمانی مصوب قفل کند و مشتری را از طریق API بررسی کند.</w:t>
      </w:r>
    </w:p>
    <w:p>
      <w:pPr>
        <w:jc w:val="right"/>
        <w:bidi w:val="1"/>
      </w:pPr>
      <w:r>
        <w:rPr>
          <w:rFonts w:ascii="Arial" w:hAnsi="Arial" w:cs="Arial"/>
          <w:b w:val="0"/>
        </w:rPr>
        <w:t>۵. موجودی و گردش سپرده ثبت شوند.</w:t>
      </w:r>
    </w:p>
    <w:p>
      <w:pPr>
        <w:jc w:val="right"/>
        <w:bidi w:val="1"/>
      </w:pPr>
      <w:r>
        <w:rPr>
          <w:rFonts w:ascii="Arial" w:hAnsi="Arial" w:cs="Arial"/>
          <w:b w:val="0"/>
        </w:rPr>
        <w:t>۶. TransactionApi سابقه عمومی عملیات را در SHFQ_TRX ثبت کند.</w:t>
      </w:r>
    </w:p>
    <w:p>
      <w:pPr>
        <w:jc w:val="right"/>
        <w:bidi w:val="1"/>
      </w:pPr>
      <w:r>
        <w:rPr>
          <w:rFonts w:ascii="Arial" w:hAnsi="Arial" w:cs="Arial"/>
          <w:b w:val="0"/>
        </w:rPr>
        <w:t>۷. تمام تغییرات مرتبط با یک نتیجه commit یا rollback تکمیل شوند.</w:t>
      </w:r>
    </w:p>
    <w:p>
      <w:pPr>
        <w:spacing w:after="0"/>
        <w:jc w:val="left"/>
        <w:bidi w:val="0"/>
      </w:pPr>
      <w:r>
        <w:rPr>
          <w:rFonts w:ascii="Consolas" w:hAnsi="Consolas"/>
          <w:sz w:val="16"/>
        </w:rPr>
        <w:t>HTTP request</w:t>
      </w:r>
    </w:p>
    <w:p>
      <w:pPr>
        <w:spacing w:after="0"/>
        <w:jc w:val="left"/>
        <w:bidi w:val="0"/>
      </w:pPr>
      <w:r>
        <w:rPr>
          <w:rFonts w:ascii="Consolas" w:hAnsi="Consolas"/>
          <w:sz w:val="16"/>
        </w:rPr>
        <w:t xml:space="preserve">    → DepositController</w:t>
      </w:r>
    </w:p>
    <w:p>
      <w:pPr>
        <w:spacing w:after="0"/>
        <w:jc w:val="left"/>
        <w:bidi w:val="0"/>
      </w:pPr>
      <w:r>
        <w:rPr>
          <w:rFonts w:ascii="Consolas" w:hAnsi="Consolas"/>
          <w:sz w:val="16"/>
        </w:rPr>
        <w:t xml:space="preserve">    → DepositService [global JTA transaction]</w:t>
      </w:r>
    </w:p>
    <w:p>
      <w:pPr>
        <w:spacing w:after="0"/>
        <w:jc w:val="left"/>
        <w:bidi w:val="0"/>
      </w:pPr>
      <w:r>
        <w:rPr>
          <w:rFonts w:ascii="Consolas" w:hAnsi="Consolas"/>
          <w:sz w:val="16"/>
        </w:rPr>
        <w:t xml:space="preserve">        → CustomerApi: read customer</w:t>
      </w:r>
    </w:p>
    <w:p>
      <w:pPr>
        <w:spacing w:after="0"/>
        <w:jc w:val="left"/>
        <w:bidi w:val="0"/>
      </w:pPr>
      <w:r>
        <w:rPr>
          <w:rFonts w:ascii="Consolas" w:hAnsi="Consolas"/>
          <w:sz w:val="16"/>
        </w:rPr>
        <w:t xml:space="preserve">        → dpst: update account and insert posting</w:t>
      </w:r>
    </w:p>
    <w:p>
      <w:pPr>
        <w:spacing w:after="0"/>
        <w:jc w:val="left"/>
        <w:bidi w:val="0"/>
      </w:pPr>
      <w:r>
        <w:rPr>
          <w:rFonts w:ascii="Consolas" w:hAnsi="Consolas"/>
          <w:sz w:val="16"/>
        </w:rPr>
        <w:t xml:space="preserve">        → TransactionApi: insert operation in SHFQ_TRX</w:t>
      </w:r>
    </w:p>
    <w:p>
      <w:pPr>
        <w:spacing w:after="0"/>
        <w:jc w:val="left"/>
        <w:bidi w:val="0"/>
      </w:pPr>
      <w:r>
        <w:rPr>
          <w:rFonts w:ascii="Consolas" w:hAnsi="Consolas"/>
          <w:sz w:val="16"/>
        </w:rPr>
        <w:t xml:space="preserve">    → response after commit</w:t>
      </w:r>
    </w:p>
    <w:p>
      <w:pPr>
        <w:jc w:val="right"/>
        <w:bidi w:val="1"/>
      </w:pPr>
      <w:r>
        <w:rPr>
          <w:rFonts w:ascii="Arial" w:hAnsi="Arial" w:cs="Arial"/>
          <w:b w:val="0"/>
        </w:rPr>
        <w:t>ثبت مشتری و افتتاح حساب در این مثال، عملیات قبلی و جداگانه‌اند؛ شکست واریز آن‌ها را حذف نمی‌کند. در واریز، مشتری فقط خوانده می‌شود؛ تغییرات مالی در سپرده و SHFQ_TRX انجام می‌شوند. برای اثبات اتمیک بودن سه منبع نوشتنی، نمونه جداگانه پرداخت تسهیلات یا fixture آزمایشی مناسب تعریف شود.</w:t>
      </w:r>
    </w:p>
    <w:p>
      <w:pPr>
        <w:jc w:val="right"/>
        <w:bidi w:val="1"/>
      </w:pPr>
      <w:r>
        <w:rPr>
          <w:rFonts w:ascii="Arial" w:hAnsi="Arial" w:cs="Arial"/>
          <w:b w:val="0"/>
        </w:rPr>
        <w:t>Request و Response مستقل برای ثبت مشتری، افتتاح حساب و واریز ارائه شوند. خطای کسب‌وکاری، خطای اعتبارسنجی، تعارض شناسه عملیات و خطای فنی قرارداد پاسخ مشخص داشته باشند. خطای داخلی دیتابیس و stack trace در پاسخ عمومی منتشر نشود.</w:t>
      </w:r>
    </w:p>
    <w:p>
      <w:pPr>
        <w:pStyle w:val="Heading1"/>
        <w:jc w:val="right"/>
        <w:bidi w:val="1"/>
      </w:pPr>
      <w:r>
        <w:rPr>
          <w:rFonts w:ascii="Arial" w:hAnsi="Arial" w:cs="Arial"/>
          <w:b w:val="0"/>
        </w:rPr>
        <w:t>۹. ثبت عملیات و جلوگیری از اجرای تکراری</w:t>
      </w:r>
    </w:p>
    <w:p>
      <w:pPr>
        <w:jc w:val="right"/>
        <w:bidi w:val="1"/>
      </w:pPr>
      <w:r>
        <w:rPr>
          <w:rFonts w:ascii="Arial" w:hAnsi="Arial" w:cs="Arial"/>
          <w:b w:val="0"/>
        </w:rPr>
        <w:t>شناسه operationId در ثبت عمومی و گردش حساب دارای قید یکتایی باشد. retry با همان شناسه و داده یکسان نباید مبلغ را دوباره جابه‌جا کند؛ درخواست تکراری باید نتیجه ثبت‌شده عملیات اصلی را برگرداند؛ این نتیجه با موجودی فعلی حساب یکی فرض نشود. استفاده از همان شناسه با داده متفاوت باید رد شود. این رفتار هم در فراخوانی ترتیبی و هم درخواست‌های هم‌زمان آزمایش شود.</w:t>
      </w:r>
    </w:p>
    <w:p>
      <w:pPr>
        <w:jc w:val="right"/>
        <w:bidi w:val="1"/>
      </w:pPr>
      <w:r>
        <w:rPr>
          <w:rFonts w:ascii="Arial" w:hAnsi="Arial" w:cs="Arial"/>
          <w:b w:val="0"/>
        </w:rPr>
        <w:t>سابقه عملیات موفق که داخل تراکنش مالی ثبت می‌شود، در صورت rollback باقی نمی‌ماند. اگر ثبت تلاش ناموفق لازم باشد، مدل و تراکنش جداگانه آن باید صریح طراحی شود و نباید باعث ثبت مالی جزئی شود. سابقه مالی ثبت‌شده با حذف یا بازنویسی اصلاح نشود؛ در توسعه واقعی، عملیات برگشت با ارجاع به عملیات اصلی تعریف شود.</w:t>
      </w:r>
    </w:p>
    <w:p>
      <w:pPr>
        <w:jc w:val="right"/>
        <w:bidi w:val="1"/>
      </w:pPr>
      <w:r>
        <w:rPr>
          <w:rFonts w:ascii="Arial" w:hAnsi="Arial" w:cs="Arial"/>
          <w:b w:val="0"/>
        </w:rPr>
        <w:t>سابقه عمومی BankTransaction جای دفتر حسابداری دوطرفه، مغایرت‌گیری یا سامانه ضدتقلب نیست. اگر این قابلیت‌ها لازم باشند، دامنه و مدل جداگانه آن‌ها باید تصویب شود.</w:t>
      </w:r>
    </w:p>
    <w:p>
      <w:pPr>
        <w:pStyle w:val="Heading1"/>
        <w:jc w:val="right"/>
        <w:bidi w:val="1"/>
      </w:pPr>
      <w:r>
        <w:rPr>
          <w:rFonts w:ascii="Arial" w:hAnsi="Arial" w:cs="Arial"/>
          <w:b w:val="0"/>
        </w:rPr>
        <w:t>۱۰. الزامات recovery و بهره‌برداری</w:t>
      </w:r>
    </w:p>
    <w:p>
      <w:pPr>
        <w:jc w:val="right"/>
        <w:bidi w:val="1"/>
      </w:pPr>
      <w:r>
        <w:rPr>
          <w:rFonts w:ascii="Arial" w:hAnsi="Arial" w:cs="Arial"/>
          <w:b w:val="0"/>
        </w:rPr>
        <w:t>لاگ مدیر تراکنش روی storage پایدار باشد. شناسه مدیر تراکنش و هویت منابع XA در restart ثابت بمانند و بین instanceهای مستقل تکراری نباشند. پاک‌کردن لاگ یا تغییر نام منابع هنگام وجود تراکنش pending ممنوع باشد و رویه تغییر/مهاجرت تعریف شود.</w:t>
      </w:r>
    </w:p>
    <w:p>
      <w:pPr>
        <w:jc w:val="right"/>
        <w:bidi w:val="1"/>
      </w:pPr>
      <w:r>
        <w:rPr>
          <w:rFonts w:ascii="Arial" w:hAnsi="Arial" w:cs="Arial"/>
          <w:b w:val="0"/>
        </w:rPr>
        <w:t>وجود وضعیت موقت in-doubt هنگام خرابی با طراحی XA قابل رخ‌دادن است؛ اتمیک بودن به معنی نبود این وضعیت موقت نیست. پس از ثبت پایدار تصمیم commit، recovery باید همان commit را تکمیل کند؛ نباید به‌جای آن rollback انتظار داشت. پیش از تصمیم نهایی، منابع طبق پروتکل و تصمیم معتبر مدیر به نتیجه هماهنگ برسند.</w:t>
      </w:r>
    </w:p>
    <w:p>
      <w:pPr>
        <w:jc w:val="right"/>
        <w:bidi w:val="1"/>
      </w:pPr>
      <w:r>
        <w:rPr>
          <w:rFonts w:ascii="Arial" w:hAnsi="Arial" w:cs="Arial"/>
          <w:b w:val="0"/>
        </w:rPr>
        <w:t>مجوزهای فنی Oracle برای XA و recovery با DBA و نسخه دقیق دیتابیس بررسی شوند. این مجوزها نباید به دسترسی عمومی روی جدول‌های کسب‌وکار ماژول‌های دیگر تبدیل شوند. روش کشف و رسیدگی به تراکنش in-doubt و شرایط اقدام دستی DBA مستند شود.</w:t>
      </w:r>
    </w:p>
    <w:p>
      <w:pPr>
        <w:jc w:val="right"/>
        <w:bidi w:val="1"/>
      </w:pPr>
      <w:r>
        <w:rPr>
          <w:rFonts w:ascii="Arial" w:hAnsi="Arial" w:cs="Arial"/>
          <w:b w:val="0"/>
        </w:rPr>
        <w:t>timeout اتصال، timeout تراکنش، ظرفیت pool و رفتار shutdown مشخص باشند. افزایش pool جای رفع خطای ورود یا شبکه را نمی‌گیرد. لاگ‌ها شناسه عملیات، نام ماژول و خطای اصلی را برای پیگیری نگه دارند و رمز را نمایش ندهند.</w:t>
      </w:r>
    </w:p>
    <w:p>
      <w:pPr>
        <w:jc w:val="right"/>
        <w:bidi w:val="1"/>
      </w:pPr>
      <w:r>
        <w:rPr>
          <w:rFonts w:ascii="Arial" w:hAnsi="Arial" w:cs="Arial"/>
          <w:b w:val="0"/>
        </w:rPr>
        <w:t>در مرحله نمونه، یک instance کافی است. اجرای چند instance به طراحی جداگانه شناسه‌ها، storage recovery و رفتار درخواست هم‌زمان نیاز دارد و نباید بدون اعتبارسنجی فعال شود.</w:t>
      </w:r>
    </w:p>
    <w:p>
      <w:pPr>
        <w:pStyle w:val="Heading1"/>
        <w:jc w:val="right"/>
        <w:bidi w:val="1"/>
      </w:pPr>
      <w:r>
        <w:rPr>
          <w:rFonts w:ascii="Arial" w:hAnsi="Arial" w:cs="Arial"/>
          <w:b w:val="0"/>
        </w:rPr>
        <w:t>۱۱. معیارهای پذیرش</w:t>
      </w:r>
    </w:p>
    <w:tbl>
      <w:tblPr>
        <w:tblStyle w:val="TableGrid"/>
        <w:tblW w:type="auto" w:w="0"/>
        <w:jc w:val="center"/>
        <w:tblLook w:firstColumn="1" w:firstRow="1" w:lastColumn="0" w:lastRow="0" w:noHBand="0" w:noVBand="1" w:val="04A0"/>
        <w:bidiVisual w:val="1"/>
      </w:tblPr>
      <w:tblGrid>
        <w:gridCol w:w="3298"/>
        <w:gridCol w:w="3298"/>
        <w:gridCol w:w="3298"/>
      </w:tblGrid>
      <w:tr>
        <w:trPr>
          <w:tblHeader/>
        </w:trPr>
        <w:tc>
          <w:tcPr>
            <w:tcW w:type="dxa" w:w="3298"/>
            <w:shd w:fill="E9EFF7"/>
          </w:tcPr>
          <w:p>
            <w:pPr>
              <w:spacing w:after="80"/>
              <w:jc w:val="right"/>
              <w:bidi w:val="1"/>
            </w:pPr>
            <w:r>
              <w:rPr>
                <w:rFonts w:ascii="Arial" w:hAnsi="Arial" w:cs="Arial"/>
                <w:b/>
                <w:sz w:val="18"/>
              </w:rPr>
              <w:t>شناسه</w:t>
            </w:r>
          </w:p>
        </w:tc>
        <w:tc>
          <w:tcPr>
            <w:tcW w:type="dxa" w:w="3298"/>
            <w:shd w:fill="E9EFF7"/>
          </w:tcPr>
          <w:p>
            <w:pPr>
              <w:spacing w:after="80"/>
              <w:jc w:val="right"/>
              <w:bidi w:val="1"/>
            </w:pPr>
            <w:r>
              <w:rPr>
                <w:rFonts w:ascii="Arial" w:hAnsi="Arial" w:cs="Arial"/>
                <w:b/>
                <w:sz w:val="18"/>
              </w:rPr>
              <w:t>آزمون</w:t>
            </w:r>
          </w:p>
        </w:tc>
        <w:tc>
          <w:tcPr>
            <w:tcW w:type="dxa" w:w="3298"/>
            <w:shd w:fill="E9EFF7"/>
          </w:tcPr>
          <w:p>
            <w:pPr>
              <w:spacing w:after="80"/>
              <w:jc w:val="right"/>
              <w:bidi w:val="1"/>
            </w:pPr>
            <w:r>
              <w:rPr>
                <w:rFonts w:ascii="Arial" w:hAnsi="Arial" w:cs="Arial"/>
                <w:b/>
                <w:sz w:val="18"/>
              </w:rPr>
              <w:t>نتیجه لازم</w:t>
            </w:r>
          </w:p>
        </w:tc>
      </w:tr>
      <w:tr>
        <w:tc>
          <w:tcPr>
            <w:tcW w:type="dxa" w:w="3298"/>
          </w:tcPr>
          <w:p>
            <w:pPr>
              <w:spacing w:after="80"/>
              <w:jc w:val="right"/>
              <w:bidi w:val="1"/>
            </w:pPr>
            <w:r>
              <w:rPr>
                <w:rFonts w:ascii="Arial" w:hAnsi="Arial" w:cs="Arial"/>
                <w:b w:val="0"/>
                <w:sz w:val="18"/>
              </w:rPr>
              <w:t>A01</w:t>
            </w:r>
          </w:p>
        </w:tc>
        <w:tc>
          <w:tcPr>
            <w:tcW w:type="dxa" w:w="3298"/>
          </w:tcPr>
          <w:p>
            <w:pPr>
              <w:spacing w:after="80"/>
              <w:jc w:val="right"/>
              <w:bidi w:val="1"/>
            </w:pPr>
            <w:r>
              <w:rPr>
                <w:rFonts w:ascii="Arial" w:hAnsi="Arial" w:cs="Arial"/>
                <w:b w:val="0"/>
                <w:sz w:val="18"/>
              </w:rPr>
              <w:t>clone جدید و build از ریشه با Maven Wrapper</w:t>
            </w:r>
          </w:p>
        </w:tc>
        <w:tc>
          <w:tcPr>
            <w:tcW w:type="dxa" w:w="3298"/>
          </w:tcPr>
          <w:p>
            <w:pPr>
              <w:spacing w:after="80"/>
              <w:jc w:val="right"/>
              <w:bidi w:val="1"/>
            </w:pPr>
            <w:r>
              <w:rPr>
                <w:rFonts w:ascii="Arial" w:hAnsi="Arial" w:cs="Arial"/>
                <w:b w:val="0"/>
                <w:sz w:val="18"/>
              </w:rPr>
              <w:t>تمام ماژول‌ها بدون وابستگی به cache یا تنظیمات شخصی build شوند</w:t>
            </w:r>
          </w:p>
        </w:tc>
      </w:tr>
      <w:tr>
        <w:tc>
          <w:tcPr>
            <w:tcW w:type="dxa" w:w="3298"/>
          </w:tcPr>
          <w:p>
            <w:pPr>
              <w:spacing w:after="80"/>
              <w:jc w:val="right"/>
              <w:bidi w:val="1"/>
            </w:pPr>
            <w:r>
              <w:rPr>
                <w:rFonts w:ascii="Arial" w:hAnsi="Arial" w:cs="Arial"/>
                <w:b w:val="0"/>
                <w:sz w:val="18"/>
              </w:rPr>
              <w:t>A02</w:t>
            </w:r>
          </w:p>
        </w:tc>
        <w:tc>
          <w:tcPr>
            <w:tcW w:type="dxa" w:w="3298"/>
          </w:tcPr>
          <w:p>
            <w:pPr>
              <w:spacing w:after="80"/>
              <w:jc w:val="right"/>
              <w:bidi w:val="1"/>
            </w:pPr>
            <w:r>
              <w:rPr>
                <w:rFonts w:ascii="Arial" w:hAnsi="Arial" w:cs="Arial"/>
                <w:b w:val="0"/>
                <w:sz w:val="18"/>
              </w:rPr>
              <w:t>import ریشه پروژه در IntelliJ</w:t>
            </w:r>
          </w:p>
        </w:tc>
        <w:tc>
          <w:tcPr>
            <w:tcW w:type="dxa" w:w="3298"/>
          </w:tcPr>
          <w:p>
            <w:pPr>
              <w:spacing w:after="80"/>
              <w:jc w:val="right"/>
              <w:bidi w:val="1"/>
            </w:pPr>
            <w:r>
              <w:rPr>
                <w:rFonts w:ascii="Arial" w:hAnsi="Arial" w:cs="Arial"/>
                <w:b w:val="0"/>
                <w:sz w:val="18"/>
              </w:rPr>
              <w:t>ماژول‌ها و وابستگی trx-api در dpst-impl شناسایی شوند</w:t>
            </w:r>
          </w:p>
        </w:tc>
      </w:tr>
      <w:tr>
        <w:tc>
          <w:tcPr>
            <w:tcW w:type="dxa" w:w="3298"/>
          </w:tcPr>
          <w:p>
            <w:pPr>
              <w:spacing w:after="80"/>
              <w:jc w:val="right"/>
              <w:bidi w:val="1"/>
            </w:pPr>
            <w:r>
              <w:rPr>
                <w:rFonts w:ascii="Arial" w:hAnsi="Arial" w:cs="Arial"/>
                <w:b w:val="0"/>
                <w:sz w:val="18"/>
              </w:rPr>
              <w:t>A03</w:t>
            </w:r>
          </w:p>
        </w:tc>
        <w:tc>
          <w:tcPr>
            <w:tcW w:type="dxa" w:w="3298"/>
          </w:tcPr>
          <w:p>
            <w:pPr>
              <w:spacing w:after="80"/>
              <w:jc w:val="right"/>
              <w:bidi w:val="1"/>
            </w:pPr>
            <w:r>
              <w:rPr>
                <w:rFonts w:ascii="Arial" w:hAnsi="Arial" w:cs="Arial"/>
                <w:b w:val="0"/>
                <w:sz w:val="18"/>
              </w:rPr>
              <w:t>تست معماری</w:t>
            </w:r>
          </w:p>
        </w:tc>
        <w:tc>
          <w:tcPr>
            <w:tcW w:type="dxa" w:w="3298"/>
          </w:tcPr>
          <w:p>
            <w:pPr>
              <w:spacing w:after="80"/>
              <w:jc w:val="right"/>
              <w:bidi w:val="1"/>
            </w:pPr>
            <w:r>
              <w:rPr>
                <w:rFonts w:ascii="Arial" w:hAnsi="Arial" w:cs="Arial"/>
                <w:b w:val="0"/>
                <w:sz w:val="18"/>
              </w:rPr>
              <w:t>دسترسی impl به impl ماژول دیگر و وابستگی حلقوی وجود نداشته باشد</w:t>
            </w:r>
          </w:p>
        </w:tc>
      </w:tr>
      <w:tr>
        <w:tc>
          <w:tcPr>
            <w:tcW w:type="dxa" w:w="3298"/>
          </w:tcPr>
          <w:p>
            <w:pPr>
              <w:spacing w:after="80"/>
              <w:jc w:val="right"/>
              <w:bidi w:val="1"/>
            </w:pPr>
            <w:r>
              <w:rPr>
                <w:rFonts w:ascii="Arial" w:hAnsi="Arial" w:cs="Arial"/>
                <w:b w:val="0"/>
                <w:sz w:val="18"/>
              </w:rPr>
              <w:t>A04</w:t>
            </w:r>
          </w:p>
        </w:tc>
        <w:tc>
          <w:tcPr>
            <w:tcW w:type="dxa" w:w="3298"/>
          </w:tcPr>
          <w:p>
            <w:pPr>
              <w:spacing w:after="80"/>
              <w:jc w:val="right"/>
              <w:bidi w:val="1"/>
            </w:pPr>
            <w:r>
              <w:rPr>
                <w:rFonts w:ascii="Arial" w:hAnsi="Arial" w:cs="Arial"/>
                <w:b w:val="0"/>
                <w:sz w:val="18"/>
              </w:rPr>
              <w:t>اتصال مستقل Oracle</w:t>
            </w:r>
          </w:p>
        </w:tc>
        <w:tc>
          <w:tcPr>
            <w:tcW w:type="dxa" w:w="3298"/>
          </w:tcPr>
          <w:p>
            <w:pPr>
              <w:spacing w:after="80"/>
              <w:jc w:val="right"/>
              <w:bidi w:val="1"/>
            </w:pPr>
            <w:r>
              <w:rPr>
                <w:rFonts w:ascii="Arial" w:hAnsi="Arial" w:cs="Arial"/>
                <w:b w:val="0"/>
                <w:sz w:val="18"/>
              </w:rPr>
              <w:t>هر ماژول با کاربر و اسکیمای خودش در مقصد صحیح وارد شود</w:t>
            </w:r>
          </w:p>
        </w:tc>
      </w:tr>
      <w:tr>
        <w:tc>
          <w:tcPr>
            <w:tcW w:type="dxa" w:w="3298"/>
          </w:tcPr>
          <w:p>
            <w:pPr>
              <w:spacing w:after="80"/>
              <w:jc w:val="right"/>
              <w:bidi w:val="1"/>
            </w:pPr>
            <w:r>
              <w:rPr>
                <w:rFonts w:ascii="Arial" w:hAnsi="Arial" w:cs="Arial"/>
                <w:b w:val="0"/>
                <w:sz w:val="18"/>
              </w:rPr>
              <w:t>A05</w:t>
            </w:r>
          </w:p>
        </w:tc>
        <w:tc>
          <w:tcPr>
            <w:tcW w:type="dxa" w:w="3298"/>
          </w:tcPr>
          <w:p>
            <w:pPr>
              <w:spacing w:after="80"/>
              <w:jc w:val="right"/>
              <w:bidi w:val="1"/>
            </w:pPr>
            <w:r>
              <w:rPr>
                <w:rFonts w:ascii="Arial" w:hAnsi="Arial" w:cs="Arial"/>
                <w:b w:val="0"/>
                <w:sz w:val="18"/>
              </w:rPr>
              <w:t>کنترل مجوز</w:t>
            </w:r>
          </w:p>
        </w:tc>
        <w:tc>
          <w:tcPr>
            <w:tcW w:type="dxa" w:w="3298"/>
          </w:tcPr>
          <w:p>
            <w:pPr>
              <w:spacing w:after="80"/>
              <w:jc w:val="right"/>
              <w:bidi w:val="1"/>
            </w:pPr>
            <w:r>
              <w:rPr>
                <w:rFonts w:ascii="Arial" w:hAnsi="Arial" w:cs="Arial"/>
                <w:b w:val="0"/>
                <w:sz w:val="18"/>
              </w:rPr>
              <w:t>کاربر ماژول به جدول کسب‌وکار ماژول دیگر دسترسی نداشته باشد</w:t>
            </w:r>
          </w:p>
        </w:tc>
      </w:tr>
      <w:tr>
        <w:tc>
          <w:tcPr>
            <w:tcW w:type="dxa" w:w="3298"/>
          </w:tcPr>
          <w:p>
            <w:pPr>
              <w:spacing w:after="80"/>
              <w:jc w:val="right"/>
              <w:bidi w:val="1"/>
            </w:pPr>
            <w:r>
              <w:rPr>
                <w:rFonts w:ascii="Arial" w:hAnsi="Arial" w:cs="Arial"/>
                <w:b w:val="0"/>
                <w:sz w:val="18"/>
              </w:rPr>
              <w:t>A06</w:t>
            </w:r>
          </w:p>
        </w:tc>
        <w:tc>
          <w:tcPr>
            <w:tcW w:type="dxa" w:w="3298"/>
          </w:tcPr>
          <w:p>
            <w:pPr>
              <w:spacing w:after="80"/>
              <w:jc w:val="right"/>
              <w:bidi w:val="1"/>
            </w:pPr>
            <w:r>
              <w:rPr>
                <w:rFonts w:ascii="Arial" w:hAnsi="Arial" w:cs="Arial"/>
                <w:b w:val="0"/>
                <w:sz w:val="18"/>
              </w:rPr>
              <w:t>واریز موفق</w:t>
            </w:r>
          </w:p>
        </w:tc>
        <w:tc>
          <w:tcPr>
            <w:tcW w:type="dxa" w:w="3298"/>
          </w:tcPr>
          <w:p>
            <w:pPr>
              <w:spacing w:after="80"/>
              <w:jc w:val="right"/>
              <w:bidi w:val="1"/>
            </w:pPr>
            <w:r>
              <w:rPr>
                <w:rFonts w:ascii="Arial" w:hAnsi="Arial" w:cs="Arial"/>
                <w:b w:val="0"/>
                <w:sz w:val="18"/>
              </w:rPr>
              <w:t>موجودی، گردش و سابقه عملیات با هم ثبت شوند</w:t>
            </w:r>
          </w:p>
        </w:tc>
      </w:tr>
      <w:tr>
        <w:tc>
          <w:tcPr>
            <w:tcW w:type="dxa" w:w="3298"/>
          </w:tcPr>
          <w:p>
            <w:pPr>
              <w:spacing w:after="80"/>
              <w:jc w:val="right"/>
              <w:bidi w:val="1"/>
            </w:pPr>
            <w:r>
              <w:rPr>
                <w:rFonts w:ascii="Arial" w:hAnsi="Arial" w:cs="Arial"/>
                <w:b w:val="0"/>
                <w:sz w:val="18"/>
              </w:rPr>
              <w:t>A07</w:t>
            </w:r>
          </w:p>
        </w:tc>
        <w:tc>
          <w:tcPr>
            <w:tcW w:type="dxa" w:w="3298"/>
          </w:tcPr>
          <w:p>
            <w:pPr>
              <w:spacing w:after="80"/>
              <w:jc w:val="right"/>
              <w:bidi w:val="1"/>
            </w:pPr>
            <w:r>
              <w:rPr>
                <w:rFonts w:ascii="Arial" w:hAnsi="Arial" w:cs="Arial"/>
                <w:b w:val="0"/>
                <w:sz w:val="18"/>
              </w:rPr>
              <w:t>خطای واقعی در ثبت مرحله آخر</w:t>
            </w:r>
          </w:p>
        </w:tc>
        <w:tc>
          <w:tcPr>
            <w:tcW w:type="dxa" w:w="3298"/>
          </w:tcPr>
          <w:p>
            <w:pPr>
              <w:spacing w:after="80"/>
              <w:jc w:val="right"/>
              <w:bidi w:val="1"/>
            </w:pPr>
            <w:r>
              <w:rPr>
                <w:rFonts w:ascii="Arial" w:hAnsi="Arial" w:cs="Arial"/>
                <w:b w:val="0"/>
                <w:sz w:val="18"/>
              </w:rPr>
              <w:t>موجودی و گردش قبلی rollback شوند و ثبت جزئی باقی نماند</w:t>
            </w:r>
          </w:p>
        </w:tc>
      </w:tr>
      <w:tr>
        <w:tc>
          <w:tcPr>
            <w:tcW w:type="dxa" w:w="3298"/>
          </w:tcPr>
          <w:p>
            <w:pPr>
              <w:spacing w:after="80"/>
              <w:jc w:val="right"/>
              <w:bidi w:val="1"/>
            </w:pPr>
            <w:r>
              <w:rPr>
                <w:rFonts w:ascii="Arial" w:hAnsi="Arial" w:cs="Arial"/>
                <w:b w:val="0"/>
                <w:sz w:val="18"/>
              </w:rPr>
              <w:t>A08</w:t>
            </w:r>
          </w:p>
        </w:tc>
        <w:tc>
          <w:tcPr>
            <w:tcW w:type="dxa" w:w="3298"/>
          </w:tcPr>
          <w:p>
            <w:pPr>
              <w:spacing w:after="80"/>
              <w:jc w:val="right"/>
              <w:bidi w:val="1"/>
            </w:pPr>
            <w:r>
              <w:rPr>
                <w:rFonts w:ascii="Arial" w:hAnsi="Arial" w:cs="Arial"/>
                <w:b w:val="0"/>
                <w:sz w:val="18"/>
              </w:rPr>
              <w:t>اتمیک بودن سه منبع نوشتنی</w:t>
            </w:r>
          </w:p>
        </w:tc>
        <w:tc>
          <w:tcPr>
            <w:tcW w:type="dxa" w:w="3298"/>
          </w:tcPr>
          <w:p>
            <w:pPr>
              <w:spacing w:after="80"/>
              <w:jc w:val="right"/>
              <w:bidi w:val="1"/>
            </w:pPr>
            <w:r>
              <w:rPr>
                <w:rFonts w:ascii="Arial" w:hAnsi="Arial" w:cs="Arial"/>
                <w:b w:val="0"/>
                <w:sz w:val="18"/>
              </w:rPr>
              <w:t>commit و rollback بین loan، dpst و SHFQ_TRX روی Oracle آزمایش شوند</w:t>
            </w:r>
          </w:p>
        </w:tc>
      </w:tr>
      <w:tr>
        <w:tc>
          <w:tcPr>
            <w:tcW w:type="dxa" w:w="3298"/>
          </w:tcPr>
          <w:p>
            <w:pPr>
              <w:spacing w:after="80"/>
              <w:jc w:val="right"/>
              <w:bidi w:val="1"/>
            </w:pPr>
            <w:r>
              <w:rPr>
                <w:rFonts w:ascii="Arial" w:hAnsi="Arial" w:cs="Arial"/>
                <w:b w:val="0"/>
                <w:sz w:val="18"/>
              </w:rPr>
              <w:t>A09</w:t>
            </w:r>
          </w:p>
        </w:tc>
        <w:tc>
          <w:tcPr>
            <w:tcW w:type="dxa" w:w="3298"/>
          </w:tcPr>
          <w:p>
            <w:pPr>
              <w:spacing w:after="80"/>
              <w:jc w:val="right"/>
              <w:bidi w:val="1"/>
            </w:pPr>
            <w:r>
              <w:rPr>
                <w:rFonts w:ascii="Arial" w:hAnsi="Arial" w:cs="Arial"/>
                <w:b w:val="0"/>
                <w:sz w:val="18"/>
              </w:rPr>
              <w:t>retry و درخواست تکراری هم‌زمان</w:t>
            </w:r>
          </w:p>
        </w:tc>
        <w:tc>
          <w:tcPr>
            <w:tcW w:type="dxa" w:w="3298"/>
          </w:tcPr>
          <w:p>
            <w:pPr>
              <w:spacing w:after="80"/>
              <w:jc w:val="right"/>
              <w:bidi w:val="1"/>
            </w:pPr>
            <w:r>
              <w:rPr>
                <w:rFonts w:ascii="Arial" w:hAnsi="Arial" w:cs="Arial"/>
                <w:b w:val="0"/>
                <w:sz w:val="18"/>
              </w:rPr>
              <w:t>یک اثر مالی؛ داده متفاوت با همان operationId رد شود</w:t>
            </w:r>
          </w:p>
        </w:tc>
      </w:tr>
      <w:tr>
        <w:tc>
          <w:tcPr>
            <w:tcW w:type="dxa" w:w="3298"/>
          </w:tcPr>
          <w:p>
            <w:pPr>
              <w:spacing w:after="80"/>
              <w:jc w:val="right"/>
              <w:bidi w:val="1"/>
            </w:pPr>
            <w:r>
              <w:rPr>
                <w:rFonts w:ascii="Arial" w:hAnsi="Arial" w:cs="Arial"/>
                <w:b w:val="0"/>
                <w:sz w:val="18"/>
              </w:rPr>
              <w:t>A10</w:t>
            </w:r>
          </w:p>
        </w:tc>
        <w:tc>
          <w:tcPr>
            <w:tcW w:type="dxa" w:w="3298"/>
          </w:tcPr>
          <w:p>
            <w:pPr>
              <w:spacing w:after="80"/>
              <w:jc w:val="right"/>
              <w:bidi w:val="1"/>
            </w:pPr>
            <w:r>
              <w:rPr>
                <w:rFonts w:ascii="Arial" w:hAnsi="Arial" w:cs="Arial"/>
                <w:b w:val="0"/>
                <w:sz w:val="18"/>
              </w:rPr>
              <w:t>تغییرات هم‌زمان یک حساب</w:t>
            </w:r>
          </w:p>
        </w:tc>
        <w:tc>
          <w:tcPr>
            <w:tcW w:type="dxa" w:w="3298"/>
          </w:tcPr>
          <w:p>
            <w:pPr>
              <w:spacing w:after="80"/>
              <w:jc w:val="right"/>
              <w:bidi w:val="1"/>
            </w:pPr>
            <w:r>
              <w:rPr>
                <w:rFonts w:ascii="Arial" w:hAnsi="Arial" w:cs="Arial"/>
                <w:b w:val="0"/>
                <w:sz w:val="18"/>
              </w:rPr>
              <w:t>lost update یا موجودی ناسازگار ایجاد نشود؛ سیاست قفل مشخص باشد</w:t>
            </w:r>
          </w:p>
        </w:tc>
      </w:tr>
      <w:tr>
        <w:tc>
          <w:tcPr>
            <w:tcW w:type="dxa" w:w="3298"/>
          </w:tcPr>
          <w:p>
            <w:pPr>
              <w:spacing w:after="80"/>
              <w:jc w:val="right"/>
              <w:bidi w:val="1"/>
            </w:pPr>
            <w:r>
              <w:rPr>
                <w:rFonts w:ascii="Arial" w:hAnsi="Arial" w:cs="Arial"/>
                <w:b w:val="0"/>
                <w:sz w:val="18"/>
              </w:rPr>
              <w:t>A11</w:t>
            </w:r>
          </w:p>
        </w:tc>
        <w:tc>
          <w:tcPr>
            <w:tcW w:type="dxa" w:w="3298"/>
          </w:tcPr>
          <w:p>
            <w:pPr>
              <w:spacing w:after="80"/>
              <w:jc w:val="right"/>
              <w:bidi w:val="1"/>
            </w:pPr>
            <w:r>
              <w:rPr>
                <w:rFonts w:ascii="Arial" w:hAnsi="Arial" w:cs="Arial"/>
                <w:b w:val="0"/>
                <w:sz w:val="18"/>
              </w:rPr>
              <w:t>قطع برنامه هنگام prepare/commit</w:t>
            </w:r>
          </w:p>
        </w:tc>
        <w:tc>
          <w:tcPr>
            <w:tcW w:type="dxa" w:w="3298"/>
          </w:tcPr>
          <w:p>
            <w:pPr>
              <w:spacing w:after="80"/>
              <w:jc w:val="right"/>
              <w:bidi w:val="1"/>
            </w:pPr>
            <w:r>
              <w:rPr>
                <w:rFonts w:ascii="Arial" w:hAnsi="Arial" w:cs="Arial"/>
                <w:b w:val="0"/>
                <w:sz w:val="18"/>
              </w:rPr>
              <w:t>با restart و همان لاگ، نتیجه نهایی سازگار بازیابی و مستند شود</w:t>
            </w:r>
          </w:p>
        </w:tc>
      </w:tr>
      <w:tr>
        <w:tc>
          <w:tcPr>
            <w:tcW w:type="dxa" w:w="3298"/>
          </w:tcPr>
          <w:p>
            <w:pPr>
              <w:spacing w:after="80"/>
              <w:jc w:val="right"/>
              <w:bidi w:val="1"/>
            </w:pPr>
            <w:r>
              <w:rPr>
                <w:rFonts w:ascii="Arial" w:hAnsi="Arial" w:cs="Arial"/>
                <w:b w:val="0"/>
                <w:sz w:val="18"/>
              </w:rPr>
              <w:t>A12</w:t>
            </w:r>
          </w:p>
        </w:tc>
        <w:tc>
          <w:tcPr>
            <w:tcW w:type="dxa" w:w="3298"/>
          </w:tcPr>
          <w:p>
            <w:pPr>
              <w:spacing w:after="80"/>
              <w:jc w:val="right"/>
              <w:bidi w:val="1"/>
            </w:pPr>
            <w:r>
              <w:rPr>
                <w:rFonts w:ascii="Arial" w:hAnsi="Arial" w:cs="Arial"/>
                <w:b w:val="0"/>
                <w:sz w:val="18"/>
              </w:rPr>
              <w:t>قطع شبکه یا پاسخ نامشخص</w:t>
            </w:r>
          </w:p>
        </w:tc>
        <w:tc>
          <w:tcPr>
            <w:tcW w:type="dxa" w:w="3298"/>
          </w:tcPr>
          <w:p>
            <w:pPr>
              <w:spacing w:after="80"/>
              <w:jc w:val="right"/>
              <w:bidi w:val="1"/>
            </w:pPr>
            <w:r>
              <w:rPr>
                <w:rFonts w:ascii="Arial" w:hAnsi="Arial" w:cs="Arial"/>
                <w:b w:val="0"/>
                <w:sz w:val="18"/>
              </w:rPr>
              <w:t>نتیجه عملیات قابل پیگیری باشد و retry اثر مالی تکراری ندهد</w:t>
            </w:r>
          </w:p>
        </w:tc>
      </w:tr>
      <w:tr>
        <w:tc>
          <w:tcPr>
            <w:tcW w:type="dxa" w:w="3298"/>
          </w:tcPr>
          <w:p>
            <w:pPr>
              <w:spacing w:after="80"/>
              <w:jc w:val="right"/>
              <w:bidi w:val="1"/>
            </w:pPr>
            <w:r>
              <w:rPr>
                <w:rFonts w:ascii="Arial" w:hAnsi="Arial" w:cs="Arial"/>
                <w:b w:val="0"/>
                <w:sz w:val="18"/>
              </w:rPr>
              <w:t>A13</w:t>
            </w:r>
          </w:p>
        </w:tc>
        <w:tc>
          <w:tcPr>
            <w:tcW w:type="dxa" w:w="3298"/>
          </w:tcPr>
          <w:p>
            <w:pPr>
              <w:spacing w:after="80"/>
              <w:jc w:val="right"/>
              <w:bidi w:val="1"/>
            </w:pPr>
            <w:r>
              <w:rPr>
                <w:rFonts w:ascii="Arial" w:hAnsi="Arial" w:cs="Arial"/>
                <w:b w:val="0"/>
                <w:sz w:val="18"/>
              </w:rPr>
              <w:t>migration و validation</w:t>
            </w:r>
          </w:p>
        </w:tc>
        <w:tc>
          <w:tcPr>
            <w:tcW w:type="dxa" w:w="3298"/>
          </w:tcPr>
          <w:p>
            <w:pPr>
              <w:spacing w:after="80"/>
              <w:jc w:val="right"/>
              <w:bidi w:val="1"/>
            </w:pPr>
            <w:r>
              <w:rPr>
                <w:rFonts w:ascii="Arial" w:hAnsi="Arial" w:cs="Arial"/>
                <w:b w:val="0"/>
                <w:sz w:val="18"/>
              </w:rPr>
              <w:t>ساخت جدول‌ها تکرارپذیر باشد و startup بدون تغییر ناخواسته schema انجام شود</w:t>
            </w:r>
          </w:p>
        </w:tc>
      </w:tr>
      <w:tr>
        <w:tc>
          <w:tcPr>
            <w:tcW w:type="dxa" w:w="3298"/>
          </w:tcPr>
          <w:p>
            <w:pPr>
              <w:spacing w:after="80"/>
              <w:jc w:val="right"/>
              <w:bidi w:val="1"/>
            </w:pPr>
            <w:r>
              <w:rPr>
                <w:rFonts w:ascii="Arial" w:hAnsi="Arial" w:cs="Arial"/>
                <w:b w:val="0"/>
                <w:sz w:val="18"/>
              </w:rPr>
              <w:t>A14</w:t>
            </w:r>
          </w:p>
        </w:tc>
        <w:tc>
          <w:tcPr>
            <w:tcW w:type="dxa" w:w="3298"/>
          </w:tcPr>
          <w:p>
            <w:pPr>
              <w:spacing w:after="80"/>
              <w:jc w:val="right"/>
              <w:bidi w:val="1"/>
            </w:pPr>
            <w:r>
              <w:rPr>
                <w:rFonts w:ascii="Arial" w:hAnsi="Arial" w:cs="Arial"/>
                <w:b w:val="0"/>
                <w:sz w:val="18"/>
              </w:rPr>
              <w:t>مسیر HTTP</w:t>
            </w:r>
          </w:p>
        </w:tc>
        <w:tc>
          <w:tcPr>
            <w:tcW w:type="dxa" w:w="3298"/>
          </w:tcPr>
          <w:p>
            <w:pPr>
              <w:spacing w:after="80"/>
              <w:jc w:val="right"/>
              <w:bidi w:val="1"/>
            </w:pPr>
            <w:r>
              <w:rPr>
                <w:rFonts w:ascii="Arial" w:hAnsi="Arial" w:cs="Arial"/>
                <w:b w:val="0"/>
                <w:sz w:val="18"/>
              </w:rPr>
              <w:t>ثبت مشتری، افتتاح حساب و واریز با DTO و پاسخ قراردادی اجرا شوند</w:t>
            </w:r>
          </w:p>
        </w:tc>
      </w:tr>
    </w:tbl>
    <w:p/>
    <w:p>
      <w:pPr>
        <w:jc w:val="right"/>
        <w:bidi w:val="1"/>
      </w:pPr>
      <w:r>
        <w:rPr>
          <w:rFonts w:ascii="Arial" w:hAnsi="Arial" w:cs="Arial"/>
          <w:b w:val="0"/>
        </w:rPr>
        <w:t>تست‌های H2 یا mock برای توسعه و CI مفیدند، اما تأیید XA، مجوزها و recovery روی Oracle را جایگزین نمی‌کنند. نتیجه تست‌ها باید passed، failed، skipped و unrun را جدا گزارش کند. برای آزمون crash، نقطه قطع، داده پیش و پس از اجرا و وضعیت pending ثبت شود؛ صرف خاموش و روشن‌کردن برنامه کافی نیست.</w:t>
      </w:r>
    </w:p>
    <w:p>
      <w:pPr>
        <w:pStyle w:val="Heading1"/>
        <w:jc w:val="right"/>
        <w:bidi w:val="1"/>
      </w:pPr>
      <w:r>
        <w:rPr>
          <w:rFonts w:ascii="Arial" w:hAnsi="Arial" w:cs="Arial"/>
          <w:b w:val="0"/>
        </w:rPr>
        <w:t>۱۲. خروجی‌های مورد انتظار از تیم معماری و توسعه</w:t>
      </w:r>
    </w:p>
    <w:p>
      <w:pPr>
        <w:jc w:val="right"/>
        <w:bidi w:val="1"/>
      </w:pPr>
      <w:r>
        <w:rPr>
          <w:rFonts w:ascii="Arial" w:hAnsi="Arial" w:cs="Arial"/>
          <w:b w:val="0"/>
        </w:rPr>
        <w:t>• سند معماری و تصمیم‌های ثبت‌شده، شامل دلیل انتخاب JTA/XA و مدیر تراکنش.</w:t>
      </w:r>
    </w:p>
    <w:p>
      <w:pPr>
        <w:jc w:val="right"/>
        <w:bidi w:val="1"/>
      </w:pPr>
      <w:r>
        <w:rPr>
          <w:rFonts w:ascii="Arial" w:hAnsi="Arial" w:cs="Arial"/>
          <w:b w:val="0"/>
        </w:rPr>
        <w:t>• مخزن Maven چندماژولی با ساختار مصوب، نسخه‌های ثابت و Maven Wrapper.</w:t>
      </w:r>
    </w:p>
    <w:p>
      <w:pPr>
        <w:jc w:val="right"/>
        <w:bidi w:val="1"/>
      </w:pPr>
      <w:r>
        <w:rPr>
          <w:rFonts w:ascii="Arial" w:hAnsi="Arial" w:cs="Arial"/>
          <w:b w:val="0"/>
        </w:rPr>
        <w:t>• قرارداد API هر ماژول، قواعد وابستگی و تست معماری.</w:t>
      </w:r>
    </w:p>
    <w:p>
      <w:pPr>
        <w:jc w:val="right"/>
        <w:bidi w:val="1"/>
      </w:pPr>
      <w:r>
        <w:rPr>
          <w:rFonts w:ascii="Arial" w:hAnsi="Arial" w:cs="Arial"/>
          <w:b w:val="0"/>
        </w:rPr>
        <w:t>• نمونه مشتری، حساب، واریز و آزمون اتمیک بودن چنداسکیمایی.</w:t>
      </w:r>
    </w:p>
    <w:p>
      <w:pPr>
        <w:jc w:val="right"/>
        <w:bidi w:val="1"/>
      </w:pPr>
      <w:r>
        <w:rPr>
          <w:rFonts w:ascii="Arial" w:hAnsi="Arial" w:cs="Arial"/>
          <w:b w:val="0"/>
        </w:rPr>
        <w:t>• تنظیمات مجزای هر ماژول، نمونه تنظیمات محلی و راهنمای اجرای Windows/IntelliJ.</w:t>
      </w:r>
    </w:p>
    <w:p>
      <w:pPr>
        <w:jc w:val="right"/>
        <w:bidi w:val="1"/>
      </w:pPr>
      <w:r>
        <w:rPr>
          <w:rFonts w:ascii="Arial" w:hAnsi="Arial" w:cs="Arial"/>
          <w:b w:val="0"/>
        </w:rPr>
        <w:t>• DDL یا migration هر اسکیما و فهرست مجوزهای لازم برای بررسی DBA.</w:t>
      </w:r>
    </w:p>
    <w:p>
      <w:pPr>
        <w:jc w:val="right"/>
        <w:bidi w:val="1"/>
      </w:pPr>
      <w:r>
        <w:rPr>
          <w:rFonts w:ascii="Arial" w:hAnsi="Arial" w:cs="Arial"/>
          <w:b w:val="0"/>
        </w:rPr>
        <w:t>• تست‌های خودکار و گزارش تست Oracle، به‌ویژه rollback و recovery.</w:t>
      </w:r>
    </w:p>
    <w:p>
      <w:pPr>
        <w:jc w:val="right"/>
        <w:bidi w:val="1"/>
      </w:pPr>
      <w:r>
        <w:rPr>
          <w:rFonts w:ascii="Arial" w:hAnsi="Arial" w:cs="Arial"/>
          <w:b w:val="0"/>
        </w:rPr>
        <w:t>• دستورالعمل راه‌اندازی، shutdown، recovery و رسیدگی به خطاهای ورود/شبکه.</w:t>
      </w:r>
    </w:p>
    <w:p>
      <w:pPr>
        <w:jc w:val="right"/>
        <w:bidi w:val="1"/>
      </w:pPr>
      <w:r>
        <w:rPr>
          <w:rFonts w:ascii="Arial" w:hAnsi="Arial" w:cs="Arial"/>
          <w:b w:val="0"/>
        </w:rPr>
        <w:t>• برآورد زمان، مسئولیت‌ها، وابستگی‌های خارجی و نقاط تصمیم پیش از شروع توسعه کامل.</w:t>
      </w:r>
    </w:p>
    <w:p>
      <w:pPr>
        <w:pStyle w:val="Heading1"/>
        <w:jc w:val="right"/>
        <w:bidi w:val="1"/>
      </w:pPr>
      <w:r>
        <w:rPr>
          <w:rFonts w:ascii="Arial" w:hAnsi="Arial" w:cs="Arial"/>
          <w:b w:val="0"/>
        </w:rPr>
        <w:t>۱۳. اجرای مرحله‌ای و حدود دامنه</w:t>
      </w:r>
    </w:p>
    <w:tbl>
      <w:tblPr>
        <w:tblStyle w:val="TableGrid"/>
        <w:tblW w:type="auto" w:w="0"/>
        <w:jc w:val="center"/>
        <w:tblLook w:firstColumn="1" w:firstRow="1" w:lastColumn="0" w:lastRow="0" w:noHBand="0" w:noVBand="1" w:val="04A0"/>
        <w:bidiVisual w:val="1"/>
      </w:tblPr>
      <w:tblGrid>
        <w:gridCol w:w="4946"/>
        <w:gridCol w:w="4946"/>
      </w:tblGrid>
      <w:tr>
        <w:trPr>
          <w:tblHeader/>
        </w:trPr>
        <w:tc>
          <w:tcPr>
            <w:tcW w:type="dxa" w:w="4946"/>
            <w:shd w:fill="E9EFF7"/>
          </w:tcPr>
          <w:p>
            <w:pPr>
              <w:spacing w:after="80"/>
              <w:jc w:val="right"/>
              <w:bidi w:val="1"/>
            </w:pPr>
            <w:r>
              <w:rPr>
                <w:rFonts w:ascii="Arial" w:hAnsi="Arial" w:cs="Arial"/>
                <w:b/>
                <w:sz w:val="18"/>
              </w:rPr>
              <w:t>مرحله</w:t>
            </w:r>
          </w:p>
        </w:tc>
        <w:tc>
          <w:tcPr>
            <w:tcW w:type="dxa" w:w="4946"/>
            <w:shd w:fill="E9EFF7"/>
          </w:tcPr>
          <w:p>
            <w:pPr>
              <w:spacing w:after="80"/>
              <w:jc w:val="right"/>
              <w:bidi w:val="1"/>
            </w:pPr>
            <w:r>
              <w:rPr>
                <w:rFonts w:ascii="Arial" w:hAnsi="Arial" w:cs="Arial"/>
                <w:b/>
                <w:sz w:val="18"/>
              </w:rPr>
              <w:t>خروجی و شرط عبور</w:t>
            </w:r>
          </w:p>
        </w:tc>
      </w:tr>
      <w:tr>
        <w:tc>
          <w:tcPr>
            <w:tcW w:type="dxa" w:w="4946"/>
          </w:tcPr>
          <w:p>
            <w:pPr>
              <w:spacing w:after="80"/>
              <w:jc w:val="right"/>
              <w:bidi w:val="1"/>
            </w:pPr>
            <w:r>
              <w:rPr>
                <w:rFonts w:ascii="Arial" w:hAnsi="Arial" w:cs="Arial"/>
                <w:b w:val="0"/>
                <w:sz w:val="18"/>
              </w:rPr>
              <w:t>۱. بررسی پیش‌نیاز</w:t>
            </w:r>
          </w:p>
        </w:tc>
        <w:tc>
          <w:tcPr>
            <w:tcW w:type="dxa" w:w="4946"/>
          </w:tcPr>
          <w:p>
            <w:pPr>
              <w:spacing w:after="80"/>
              <w:jc w:val="right"/>
              <w:bidi w:val="1"/>
            </w:pPr>
            <w:r>
              <w:rPr>
                <w:rFonts w:ascii="Arial" w:hAnsi="Arial" w:cs="Arial"/>
                <w:b w:val="0"/>
                <w:sz w:val="18"/>
              </w:rPr>
              <w:t>نسخه Oracle/PDB، listener، کاربران، شبکه و ماتریس نسخه‌ها تأیید شوند</w:t>
            </w:r>
          </w:p>
        </w:tc>
      </w:tr>
      <w:tr>
        <w:tc>
          <w:tcPr>
            <w:tcW w:type="dxa" w:w="4946"/>
          </w:tcPr>
          <w:p>
            <w:pPr>
              <w:spacing w:after="80"/>
              <w:jc w:val="right"/>
              <w:bidi w:val="1"/>
            </w:pPr>
            <w:r>
              <w:rPr>
                <w:rFonts w:ascii="Arial" w:hAnsi="Arial" w:cs="Arial"/>
                <w:b w:val="0"/>
                <w:sz w:val="18"/>
              </w:rPr>
              <w:t>۲. اثبات امکان‌پذیری XA</w:t>
            </w:r>
          </w:p>
        </w:tc>
        <w:tc>
          <w:tcPr>
            <w:tcW w:type="dxa" w:w="4946"/>
          </w:tcPr>
          <w:p>
            <w:pPr>
              <w:spacing w:after="80"/>
              <w:jc w:val="right"/>
              <w:bidi w:val="1"/>
            </w:pPr>
            <w:r>
              <w:rPr>
                <w:rFonts w:ascii="Arial" w:hAnsi="Arial" w:cs="Arial"/>
                <w:b w:val="0"/>
                <w:sz w:val="18"/>
              </w:rPr>
              <w:t>commit، خطای مرحله آخر و recovery روی Oracle با کاربران مستقل آزمایش شوند</w:t>
            </w:r>
          </w:p>
        </w:tc>
      </w:tr>
      <w:tr>
        <w:tc>
          <w:tcPr>
            <w:tcW w:type="dxa" w:w="4946"/>
          </w:tcPr>
          <w:p>
            <w:pPr>
              <w:spacing w:after="80"/>
              <w:jc w:val="right"/>
              <w:bidi w:val="1"/>
            </w:pPr>
            <w:r>
              <w:rPr>
                <w:rFonts w:ascii="Arial" w:hAnsi="Arial" w:cs="Arial"/>
                <w:b w:val="0"/>
                <w:sz w:val="18"/>
              </w:rPr>
              <w:t>۳. ساخت اسکلت</w:t>
            </w:r>
          </w:p>
        </w:tc>
        <w:tc>
          <w:tcPr>
            <w:tcW w:type="dxa" w:w="4946"/>
          </w:tcPr>
          <w:p>
            <w:pPr>
              <w:spacing w:after="80"/>
              <w:jc w:val="right"/>
              <w:bidi w:val="1"/>
            </w:pPr>
            <w:r>
              <w:rPr>
                <w:rFonts w:ascii="Arial" w:hAnsi="Arial" w:cs="Arial"/>
                <w:b w:val="0"/>
                <w:sz w:val="18"/>
              </w:rPr>
              <w:t>ماژول‌ها، قراردادها، persistence و نمونه حداقلی تحویل شوند</w:t>
            </w:r>
          </w:p>
        </w:tc>
      </w:tr>
      <w:tr>
        <w:tc>
          <w:tcPr>
            <w:tcW w:type="dxa" w:w="4946"/>
          </w:tcPr>
          <w:p>
            <w:pPr>
              <w:spacing w:after="80"/>
              <w:jc w:val="right"/>
              <w:bidi w:val="1"/>
            </w:pPr>
            <w:r>
              <w:rPr>
                <w:rFonts w:ascii="Arial" w:hAnsi="Arial" w:cs="Arial"/>
                <w:b w:val="0"/>
                <w:sz w:val="18"/>
              </w:rPr>
              <w:t>۴. پذیرش و مستندسازی</w:t>
            </w:r>
          </w:p>
        </w:tc>
        <w:tc>
          <w:tcPr>
            <w:tcW w:type="dxa" w:w="4946"/>
          </w:tcPr>
          <w:p>
            <w:pPr>
              <w:spacing w:after="80"/>
              <w:jc w:val="right"/>
              <w:bidi w:val="1"/>
            </w:pPr>
            <w:r>
              <w:rPr>
                <w:rFonts w:ascii="Arial" w:hAnsi="Arial" w:cs="Arial"/>
                <w:b w:val="0"/>
                <w:sz w:val="18"/>
              </w:rPr>
              <w:t>معیارهای مصوب پاس و محدودیت‌ها ثبت شوند</w:t>
            </w:r>
          </w:p>
        </w:tc>
      </w:tr>
    </w:tbl>
    <w:p/>
    <w:p>
      <w:pPr>
        <w:jc w:val="right"/>
        <w:bidi w:val="1"/>
      </w:pPr>
      <w:r>
        <w:rPr>
          <w:rFonts w:ascii="Arial" w:hAnsi="Arial" w:cs="Arial"/>
          <w:b w:val="0"/>
        </w:rPr>
        <w:t>شروع توسعه گسترده قابلیت‌های بانکی پس از تأیید مرحله اثبات XA انجام شود. مدت و هزینه مراحل توسط تیم مسئول برآورد شود؛ این سند زمان قطعی تعیین نمی‌کند.</w:t>
      </w:r>
    </w:p>
    <w:p>
      <w:pPr>
        <w:jc w:val="right"/>
        <w:bidi w:val="1"/>
      </w:pPr>
      <w:r>
        <w:rPr>
          <w:rFonts w:ascii="Arial" w:hAnsi="Arial" w:cs="Arial"/>
          <w:b w:val="0"/>
        </w:rPr>
        <w:t>دامنه فعلی، اسکلت معماری و نمونه آموزشی معتبر است. پیاده‌سازی کامل تسهیلات، حسابداری دوطرفه، اتصال به شبکه پرداخت، احراز هویت سازمانی، چندارزی، چند instance و الزامات کامل محصول بانکی، نیازمند دامنه و طراحی جدا هستند. کنترل ورود و دسترسی برای انتشار محیط عملیاتی باید پیش از آن تعریف شود.</w:t>
      </w:r>
    </w:p>
    <w:p>
      <w:pPr>
        <w:pStyle w:val="Heading1"/>
        <w:jc w:val="right"/>
        <w:bidi w:val="1"/>
      </w:pPr>
      <w:r>
        <w:rPr>
          <w:rFonts w:ascii="Arial" w:hAnsi="Arial" w:cs="Arial"/>
          <w:b w:val="0"/>
        </w:rPr>
        <w:t>۱۴. وضعیت فعلی و درخواست تصمیم</w:t>
      </w:r>
    </w:p>
    <w:p>
      <w:pPr>
        <w:jc w:val="right"/>
        <w:bidi w:val="1"/>
      </w:pPr>
      <w:r>
        <w:rPr>
          <w:rFonts w:ascii="Arial" w:hAnsi="Arial" w:cs="Arial"/>
          <w:b w:val="0"/>
        </w:rPr>
        <w:t>نمونه اولیه شامل ساختار ماژولی و تست‌های محلی تهیه شده است. build و تست‌های محلی، از جمله مسیر HTTP و rollback، بررسی شده‌اند؛ اما ورود موفق به Oracle معرفی‌شده، اتمیک بودن Oracle و recovery پس از crash هنوز تأیید نشده‌اند. بنابراین نمونه اولیه به معنی پذیرش محیط بانکی عملیاتی نیست.</w:t>
      </w:r>
    </w:p>
    <w:p>
      <w:pPr>
        <w:jc w:val="right"/>
        <w:bidi w:val="1"/>
      </w:pPr>
      <w:r>
        <w:rPr>
          <w:rFonts w:ascii="Arial" w:hAnsi="Arial" w:cs="Arial"/>
          <w:b w:val="0"/>
        </w:rPr>
        <w:t>از تیم معماری درخواست می‌شود این سند را بررسی کند، معماری و قراردادهای پیشنهادی را نهایی سازد، مدیر JTA و نسخه‌های سازگار را انتخاب کند، پیش‌نیازهای DBA و شبکه را مشخص کند و برای تحویل با معیارهای پذیرش فوق برنامه و برآورد ارائه دهد. هر تغییر در محدودیت کاربران مستقل یا اتمیک بودن باید پیش از اجرا با درخواست‌کننده توافق شود.</w:t>
      </w:r>
    </w:p>
    <w:sectPr w:rsidR="00FC693F" w:rsidRPr="0006063C" w:rsidSect="00034616">
      <w:footerReference w:type="default" r:id="rId9"/>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sz w:val="18"/>
      </w:rPr>
      <w:t xml:space="preserve">شفق | پروپوزال معماری | نسخه ۱٫۰ | صفحه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4" w:lineRule="auto"/>
      <w:outlineLvl w:val="0"/>
    </w:pPr>
    <w:rPr>
      <w:rFonts w:asciiTheme="majorHAnsi" w:eastAsiaTheme="majorEastAsia" w:hAnsiTheme="majorHAnsi" w:cstheme="majorBidi" w:ascii="Arial" w:hAnsi="Arial" w:cs="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Theme="majorHAnsi" w:eastAsiaTheme="majorEastAsia" w:hAnsiTheme="majorHAnsi" w:cstheme="majorBidi" w:ascii="Arial" w:hAnsi="Arial" w:cs="Arial"/>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64" w:lineRule="auto"/>
      <w:contextualSpacing/>
    </w:pPr>
    <w:rPr>
      <w:rFonts w:asciiTheme="majorHAnsi" w:eastAsiaTheme="majorEastAsia" w:hAnsiTheme="majorHAnsi" w:cstheme="majorBidi" w:ascii="Arial" w:hAnsi="Arial" w:cs="Arial"/>
      <w:color w:val="17365D"/>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پروپوزال معماری پروژه بانکی شفق</dc:title>
  <dc:subject>Modular Monolith / Oracle multi-schema / JTA-XA</dc:subject>
  <dc:creator>Shafagh</dc:creator>
  <cp:keywords/>
  <dc:description>generated by python-docx</dc:description>
  <cp:lastModifiedBy/>
  <cp:revision>1</cp:revision>
  <dcterms:created xsi:type="dcterms:W3CDTF">2013-12-23T23:15:00Z</dcterms:created>
  <dcterms:modified xsi:type="dcterms:W3CDTF">2013-12-23T23:15:00Z</dcterms:modified>
  <cp:category/>
  <dc:language>fa-IR</dc:language>
</cp:coreProperties>
</file>