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《CROSS-ATTENTIONAL AUDIO-VISUAL FUSION FOR</w:t>
      </w:r>
      <w:r>
        <w:rPr>
          <w:rFonts w:hint="eastAsia"/>
          <w:lang w:val="en-US" w:eastAsia="zh-CN"/>
        </w:rPr>
        <w:t xml:space="preserve"> </w:t>
      </w:r>
      <w:r>
        <w:rPr>
          <w:rFonts w:hint="eastAsia"/>
          <w:lang w:eastAsia="zh-CN"/>
        </w:rPr>
        <w:t>WEAKLY-SUPERVISED ACTION LOCALIZATION》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r>
        <w:rPr>
          <w:rFonts w:hint="default" w:ascii="Arial" w:hAnsi="Arial" w:cs="Arial"/>
          <w:spacing w:val="15"/>
          <w:sz w:val="19"/>
          <w:szCs w:val="19"/>
        </w:rPr>
        <w:t>弱监督动作定位的交叉注意视听融合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其他只依赖视觉特征来进行动作定位，我们提出依靠视听特征进行弱监督动作定位</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提出多阶段注意力交叉机制来协助视听融合</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lang w:val="en-US" w:eastAsia="zh-CN"/>
        </w:rPr>
      </w:pPr>
      <w:r>
        <w:rPr>
          <w:rFonts w:hint="eastAsia" w:ascii="Arial" w:hAnsi="Arial" w:cs="Arial"/>
          <w:spacing w:val="15"/>
          <w:sz w:val="19"/>
          <w:szCs w:val="19"/>
          <w:lang w:val="en-US" w:eastAsia="zh-CN"/>
        </w:rPr>
        <w:t>提出Open-max分类器将背景作为Open-set,来建模背景与前景帧</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lang w:val="en-US" w:eastAsia="zh-CN"/>
        </w:rPr>
      </w:pPr>
      <w:r>
        <w:rPr>
          <w:rFonts w:hint="eastAsia" w:ascii="Arial" w:hAnsi="Arial" w:cs="Arial"/>
          <w:spacing w:val="15"/>
          <w:sz w:val="19"/>
          <w:szCs w:val="19"/>
          <w:lang w:val="en-US" w:eastAsia="zh-CN"/>
        </w:rPr>
        <w:t>提出一致性损失，来增强动作类预测的时间连续性与精准动作定位</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Arial" w:hAnsi="Arial" w:cs="Arial"/>
          <w:spacing w:val="15"/>
          <w:sz w:val="19"/>
          <w:szCs w:val="19"/>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Arial" w:hAnsi="Arial" w:cs="Arial"/>
          <w:spacing w:val="15"/>
          <w:sz w:val="19"/>
          <w:szCs w:val="19"/>
          <w:lang w:val="en-US" w:eastAsia="zh-CN"/>
        </w:rPr>
      </w:pPr>
      <w:r>
        <w:rPr>
          <w:rFonts w:hint="eastAsia" w:ascii="Arial" w:hAnsi="Arial" w:cs="Arial"/>
          <w:spacing w:val="15"/>
          <w:sz w:val="19"/>
          <w:szCs w:val="19"/>
          <w:lang w:val="en-US" w:eastAsia="zh-CN"/>
        </w:rPr>
        <w:t>Introduction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Arial" w:hAnsi="Arial" w:cs="Arial"/>
          <w:spacing w:val="15"/>
          <w:sz w:val="19"/>
          <w:szCs w:val="19"/>
          <w:lang w:val="en-US" w:eastAsia="zh-CN"/>
        </w:rPr>
      </w:pPr>
      <w:r>
        <w:rPr>
          <w:rFonts w:hint="default" w:ascii="Arial" w:hAnsi="Arial" w:cs="Arial"/>
          <w:spacing w:val="15"/>
          <w:sz w:val="19"/>
          <w:szCs w:val="19"/>
          <w:lang w:val="en-US" w:eastAsia="zh-CN"/>
        </w:rPr>
        <w:t xml:space="preserve"> (Tian et al., 2018; Lin et al., 2019; Xuan et al., 2020)</w:t>
      </w:r>
      <w:r>
        <w:rPr>
          <w:rFonts w:hint="eastAsia" w:ascii="Arial" w:hAnsi="Arial" w:cs="Arial"/>
          <w:spacing w:val="15"/>
          <w:sz w:val="19"/>
          <w:szCs w:val="19"/>
          <w:lang w:val="en-US" w:eastAsia="zh-CN"/>
        </w:rPr>
        <w:t>提出视听融合，事件具有强音频提示动作---&gt;我们提出的是一个基于具有弱音频信息，或者缺乏音频信息的事件模型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5"/>
          <w:sz w:val="19"/>
          <w:szCs w:val="19"/>
          <w:lang w:val="en-US" w:eastAsia="zh-CN"/>
        </w:rPr>
      </w:pPr>
      <w:r>
        <w:rPr>
          <w:rFonts w:hint="default" w:ascii="Arial" w:hAnsi="Arial" w:cs="Arial"/>
          <w:spacing w:val="15"/>
          <w:sz w:val="19"/>
          <w:szCs w:val="19"/>
        </w:rPr>
        <w:t>以一种既能利用互补性质，又能保持特定形态信息的方式融合音频和视频数据是一项关键</w:t>
      </w:r>
      <w:r>
        <w:rPr>
          <w:rFonts w:hint="eastAsia" w:ascii="Arial" w:hAnsi="Arial" w:cs="Arial"/>
          <w:spacing w:val="15"/>
          <w:sz w:val="19"/>
          <w:szCs w:val="19"/>
          <w:lang w:val="en-US" w:eastAsia="zh-CN"/>
        </w:rPr>
        <w:t>挑战</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提出多阶段注意交叉机制：</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在多个阶段逐步学习每个模态的特征，在每个阶段只有通过交叉注意才允许模态间相互作用，在最后阶段视听融合（视觉感知的听觉特征，听觉感知的视觉特征）视频每个片段获得一个audio-visual 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eastAsia="zh-CN"/>
        </w:rPr>
      </w:pPr>
      <w:r>
        <w:rPr>
          <w:rFonts w:hint="default" w:ascii="Arial" w:hAnsi="Arial" w:cs="Arial"/>
          <w:spacing w:val="15"/>
          <w:sz w:val="19"/>
          <w:szCs w:val="19"/>
        </w:rPr>
        <w:t>从动作/事件中分离背景是时间定位中的常见问题</w:t>
      </w:r>
      <w:r>
        <w:rPr>
          <w:rFonts w:hint="eastAsia" w:ascii="Arial" w:hAnsi="Arial" w:cs="Arial"/>
          <w:spacing w:val="15"/>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前景可靠性估计与分类，通过open-max分类器与时间连续性损失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对于每个视频片段，open-max预测背景和动作分数（open-max有两并行分支组成：动作分类、前景可靠性）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弱监督动作定位：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《Audio-visual event localization in unconstrained videos.》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lang w:val="en-US" w:eastAsia="zh-CN"/>
        </w:rPr>
      </w:pPr>
      <w:r>
        <w:rPr>
          <w:rFonts w:hint="default" w:ascii="Arial" w:hAnsi="Arial" w:cs="Arial"/>
          <w:spacing w:val="15"/>
          <w:sz w:val="19"/>
          <w:szCs w:val="19"/>
          <w:lang w:val="en-US" w:eastAsia="zh-CN"/>
        </w:rPr>
        <w:t>引入了一个共同活动相似性损失，它在包含一个共同动作类的一对视频中寻找相似的时间区域。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lang w:val="en-US" w:eastAsia="zh-CN"/>
        </w:rPr>
      </w:pPr>
      <w:r>
        <w:rPr>
          <w:rFonts w:hint="eastAsia" w:ascii="Arial" w:hAnsi="Arial" w:cs="Arial"/>
          <w:spacing w:val="15"/>
          <w:sz w:val="19"/>
          <w:szCs w:val="19"/>
          <w:lang w:val="en-US" w:eastAsia="zh-CN"/>
        </w:rPr>
        <w:t>《Category count and center loss for weakly-supervised action localization》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Center loss for global-level,counting loss for local-level</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Arial" w:hAnsi="Arial" w:cs="Arial"/>
          <w:spacing w:val="15"/>
          <w:sz w:val="19"/>
          <w:szCs w:val="19"/>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Arial" w:hAnsi="Arial" w:cs="Arial"/>
          <w:spacing w:val="15"/>
          <w:sz w:val="19"/>
          <w:szCs w:val="19"/>
          <w:lang w:val="en-US" w:eastAsia="zh-CN"/>
        </w:rPr>
      </w:pPr>
      <w:r>
        <w:rPr>
          <w:rFonts w:hint="default" w:ascii="Arial" w:hAnsi="Arial" w:cs="Arial"/>
          <w:spacing w:val="15"/>
          <w:sz w:val="19"/>
          <w:szCs w:val="19"/>
          <w:lang w:val="en-US" w:eastAsia="zh-CN"/>
        </w:rPr>
        <w:t>为缓解背景给动作定位带来的影响</w:t>
      </w:r>
      <w:r>
        <w:rPr>
          <w:rFonts w:hint="eastAsia" w:ascii="Arial" w:hAnsi="Arial" w:cs="Arial"/>
          <w:spacing w:val="15"/>
          <w:sz w:val="19"/>
          <w:szCs w:val="19"/>
          <w:lang w:val="en-US" w:eastAsia="zh-CN"/>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《Weakly-supervised action localiza-tion with background modeling》</w:t>
      </w:r>
    </w:p>
    <w:p>
      <w:pPr>
        <w:rPr>
          <w:rFonts w:hint="default" w:ascii="Arial" w:hAnsi="Arial" w:cs="Arial" w:eastAsiaTheme="minorEastAsia"/>
          <w:spacing w:val="15"/>
          <w:kern w:val="0"/>
          <w:sz w:val="19"/>
          <w:szCs w:val="19"/>
          <w:lang w:val="en-US" w:eastAsia="zh-CN" w:bidi="ar"/>
        </w:rPr>
      </w:pPr>
      <w:r>
        <w:rPr>
          <w:rFonts w:hint="default" w:ascii="Arial" w:hAnsi="Arial" w:cs="Arial" w:eastAsiaTheme="minorEastAsia"/>
          <w:spacing w:val="15"/>
          <w:kern w:val="0"/>
          <w:sz w:val="19"/>
          <w:szCs w:val="19"/>
          <w:lang w:val="en-US" w:eastAsia="zh-CN" w:bidi="ar"/>
        </w:rPr>
        <w:t>提出了自上而下的类引导注意力模型</w:t>
      </w: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《Temporal structure mining for weakly supervised action detection.》</w:t>
      </w: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利用视频片段的时间关系</w:t>
      </w: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《Learning from trimmed videos to localize actions.》</w:t>
      </w:r>
    </w:p>
    <w:p>
      <w:pPr>
        <w:rPr>
          <w:rFonts w:hint="default" w:ascii="Arial" w:hAnsi="Arial" w:cs="Arial"/>
          <w:spacing w:val="15"/>
          <w:kern w:val="0"/>
          <w:sz w:val="19"/>
          <w:szCs w:val="19"/>
          <w:lang w:val="en-US" w:eastAsia="zh-CN" w:bidi="ar"/>
        </w:rPr>
      </w:pPr>
      <w:r>
        <w:rPr>
          <w:rFonts w:hint="default" w:ascii="Arial" w:hAnsi="Arial" w:cs="Arial"/>
          <w:spacing w:val="15"/>
          <w:kern w:val="0"/>
          <w:sz w:val="19"/>
          <w:szCs w:val="19"/>
          <w:lang w:val="en-US" w:eastAsia="zh-CN" w:bidi="ar"/>
        </w:rPr>
        <w:t>将一段视频分成可解释的片段，称为动作字节，并有效的用于动作proposal</w:t>
      </w: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为了区分动作和上下文片段：</w:t>
      </w: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《Weakly-supervised action localization by generative attention modeling》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使用条件变分自动编码器设计了以注意力为条件的类无关帧方式概率。</w:t>
      </w: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《Weakly-supervised action localization with expectation-maximization multi-instance learning.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提出了一个期望最大化的多实例学习框架，其中关键实例被建模为一个隐藏变量</w:t>
      </w:r>
    </w:p>
    <w:p>
      <w:pPr>
        <w:rPr>
          <w:rFonts w:hint="default" w:ascii="Arial" w:hAnsi="Arial" w:cs="Arial"/>
          <w:spacing w:val="15"/>
          <w:kern w:val="0"/>
          <w:sz w:val="19"/>
          <w:szCs w:val="19"/>
          <w:lang w:val="en-US" w:eastAsia="zh-CN" w:bidi="ar"/>
        </w:rPr>
      </w:pP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视听事件定位：</w:t>
      </w: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将每一个时间步长分类到一个事件类或背景中</w:t>
      </w: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《Audio-visual event localization in unconstrained videos.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rPr>
        <w:t>提出了一种具有听觉引导注意力的网络，该网络展示了视听事件定位和跨模态同步事件定位的典型结果。</w:t>
      </w:r>
    </w:p>
    <w:p>
      <w:pPr>
        <w:rPr>
          <w:rFonts w:hint="default" w:ascii="Arial" w:hAnsi="Arial" w:cs="Arial"/>
          <w:spacing w:val="15"/>
          <w:kern w:val="0"/>
          <w:sz w:val="19"/>
          <w:szCs w:val="19"/>
          <w:lang w:val="en-US" w:eastAsia="zh-CN" w:bidi="ar"/>
        </w:rPr>
      </w:pP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为了在事件定位中利用全局和局部信息：</w:t>
      </w: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《Dual-modality seq2seq network for audio-visual event localization.》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r>
        <w:rPr>
          <w:rFonts w:hint="default" w:ascii="Arial" w:hAnsi="Arial" w:cs="Arial"/>
          <w:spacing w:val="15"/>
          <w:sz w:val="19"/>
          <w:szCs w:val="19"/>
        </w:rPr>
        <w:t>使用多个LSTMs在视频级和片段级进行视听融合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eastAsia="zh-CN"/>
        </w:rPr>
      </w:pPr>
      <w:r>
        <w:rPr>
          <w:rFonts w:hint="eastAsia" w:ascii="Arial" w:hAnsi="Arial" w:cs="Arial"/>
          <w:spacing w:val="15"/>
          <w:sz w:val="19"/>
          <w:szCs w:val="19"/>
          <w:lang w:eastAsia="zh-CN"/>
        </w:rPr>
        <w:t>《Dual attention matching for audio-visual event localization.》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r>
        <w:rPr>
          <w:rFonts w:hint="default" w:ascii="Arial" w:hAnsi="Arial" w:cs="Arial"/>
          <w:spacing w:val="15"/>
          <w:sz w:val="19"/>
          <w:szCs w:val="19"/>
        </w:rPr>
        <w:t>假设单个事件视频，使用一个模态中的视频级特征来确定事件类别，并且通过将视频级特征与来自另一个模态的片段级特征相匹配来检测事件相关片段。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为了解决视听模式之间的时间不一致：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《Cross-modal attention network for temporal inconsistent audio-visual event localization》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r>
        <w:rPr>
          <w:rFonts w:hint="default" w:ascii="Arial" w:hAnsi="Arial" w:cs="Arial"/>
          <w:spacing w:val="15"/>
          <w:sz w:val="19"/>
          <w:szCs w:val="19"/>
        </w:rPr>
        <w:t>设计了模态哨兵，它过滤掉了与事件无关的模态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深度多模态表征学习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lang w:val="en-US" w:eastAsia="zh-CN"/>
        </w:rPr>
      </w:pPr>
      <w:r>
        <w:drawing>
          <wp:inline distT="0" distB="0" distL="114300" distR="114300">
            <wp:extent cx="5839460" cy="2856230"/>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839460" cy="285623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多阶段注意交叉机制：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r>
        <w:rPr>
          <w:rFonts w:hint="eastAsia" w:ascii="Arial" w:hAnsi="Arial" w:cs="Arial"/>
          <w:spacing w:val="15"/>
          <w:sz w:val="19"/>
          <w:szCs w:val="19"/>
          <w:lang w:val="en-US" w:eastAsia="zh-CN"/>
        </w:rPr>
        <w:t>在另一个模态的约束下为每个模态学习特征这样，学习的特征即表示模态间的信息也保持了模态内信息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lang w:val="en-US" w:eastAsia="zh-CN"/>
        </w:rPr>
      </w:pPr>
      <w:r>
        <w:rPr>
          <w:rFonts w:hint="eastAsia" w:ascii="Arial" w:hAnsi="Arial" w:cs="Arial"/>
          <w:spacing w:val="15"/>
          <w:sz w:val="19"/>
          <w:szCs w:val="19"/>
          <w:lang w:val="en-US" w:eastAsia="zh-CN"/>
        </w:rPr>
        <w:t>Ux,Vx分别通过FC学习--&gt;l2标准化--&gt;计算cross-correlation. （W可学习参数，）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drawing>
          <wp:inline distT="0" distB="0" distL="114300" distR="114300">
            <wp:extent cx="2428875" cy="466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28875" cy="46672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pacing w:val="15"/>
          <w:sz w:val="19"/>
          <w:szCs w:val="19"/>
          <w:lang w:val="en-US" w:eastAsia="zh-CN"/>
        </w:rPr>
      </w:pPr>
      <w:r>
        <w:rPr>
          <w:rFonts w:hint="eastAsia" w:ascii="宋体" w:hAnsi="宋体" w:eastAsia="宋体" w:cs="宋体"/>
          <w:spacing w:val="15"/>
          <w:sz w:val="19"/>
          <w:szCs w:val="19"/>
          <w:lang w:val="en-US" w:eastAsia="zh-CN"/>
        </w:rPr>
        <w:t>Λ的l列表示X(v,l)相对于l音频片段的相关性，</w:t>
      </w:r>
      <w:r>
        <w:rPr>
          <w:rFonts w:hint="default" w:ascii="Arial" w:hAnsi="Arial" w:cs="Arial"/>
          <w:spacing w:val="15"/>
          <w:sz w:val="19"/>
          <w:szCs w:val="19"/>
        </w:rPr>
        <w:t>高相关系数意味着对应的音频和视频片段特征高度相关。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pacing w:val="15"/>
          <w:sz w:val="19"/>
          <w:szCs w:val="19"/>
          <w:lang w:val="en-US" w:eastAsia="zh-CN"/>
        </w:rPr>
      </w:pPr>
      <w:r>
        <w:rPr>
          <w:rFonts w:hint="eastAsia" w:ascii="宋体" w:hAnsi="宋体" w:eastAsia="宋体" w:cs="宋体"/>
          <w:spacing w:val="15"/>
          <w:sz w:val="19"/>
          <w:szCs w:val="19"/>
          <w:lang w:val="en-US" w:eastAsia="zh-CN"/>
        </w:rPr>
        <w:t>通过softmax Λ，与Λ的转置 得到视频特征权重A(u),音频特征权重A(v)（交叉注意权重）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r>
        <w:rPr>
          <w:rFonts w:hint="default" w:ascii="Arial" w:hAnsi="Arial" w:cs="Arial"/>
          <w:spacing w:val="15"/>
          <w:sz w:val="19"/>
          <w:szCs w:val="19"/>
        </w:rPr>
        <w:t>然后，对于每个模态，注意力权重被用于重新加权片段特征，以使它们在考虑与其他模态的关系时更具区别性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rPr>
      </w:pPr>
      <w:r>
        <w:drawing>
          <wp:inline distT="0" distB="0" distL="114300" distR="114300">
            <wp:extent cx="5552440" cy="55118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552440" cy="55118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宋体" w:hAnsi="宋体" w:eastAsia="宋体" w:cs="宋体"/>
          <w:spacing w:val="15"/>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pacing w:val="15"/>
          <w:sz w:val="19"/>
          <w:szCs w:val="19"/>
          <w:lang w:val="en-US" w:eastAsia="zh-CN"/>
        </w:rPr>
      </w:pPr>
      <w:r>
        <w:rPr>
          <w:rFonts w:hint="eastAsia" w:ascii="宋体" w:hAnsi="宋体" w:eastAsia="宋体" w:cs="宋体"/>
          <w:spacing w:val="15"/>
          <w:sz w:val="19"/>
          <w:szCs w:val="19"/>
          <w:lang w:val="en-US" w:eastAsia="zh-CN"/>
        </w:rPr>
        <w:t>为防止原始模态的特征被过度抑制采用 dense skip-connection （Densely connected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pacing w:val="15"/>
          <w:sz w:val="19"/>
          <w:szCs w:val="19"/>
          <w:lang w:val="en-US" w:eastAsia="zh-CN"/>
        </w:rPr>
      </w:pPr>
      <w:r>
        <w:rPr>
          <w:rFonts w:hint="eastAsia" w:ascii="宋体" w:hAnsi="宋体" w:eastAsia="宋体" w:cs="宋体"/>
          <w:spacing w:val="15"/>
          <w:sz w:val="19"/>
          <w:szCs w:val="19"/>
          <w:lang w:val="en-US" w:eastAsia="zh-CN"/>
        </w:rPr>
        <w:t>convolutional networks cvpr2017）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pacing w:val="15"/>
          <w:sz w:val="19"/>
          <w:szCs w:val="19"/>
          <w:lang w:val="en-US" w:eastAsia="zh-CN"/>
        </w:rPr>
      </w:pPr>
      <w:r>
        <w:rPr>
          <w:rFonts w:hint="eastAsia" w:ascii="宋体" w:hAnsi="宋体" w:eastAsia="宋体" w:cs="宋体"/>
          <w:spacing w:val="15"/>
          <w:sz w:val="19"/>
          <w:szCs w:val="19"/>
          <w:lang w:val="en-US" w:eastAsia="zh-CN"/>
        </w:rPr>
        <w:t>使用下面公式获得阶段t的音频特征：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宋体" w:hAnsi="宋体" w:eastAsia="宋体" w:cs="宋体"/>
          <w:spacing w:val="15"/>
          <w:sz w:val="19"/>
          <w:szCs w:val="19"/>
          <w:lang w:val="en-US" w:eastAsia="zh-CN"/>
        </w:rPr>
      </w:pPr>
      <w:r>
        <w:drawing>
          <wp:inline distT="0" distB="0" distL="114300" distR="114300">
            <wp:extent cx="5499100" cy="600075"/>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499100" cy="6000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eastAsia="zh-CN"/>
        </w:rPr>
      </w:pPr>
      <w:r>
        <w:drawing>
          <wp:inline distT="0" distB="0" distL="114300" distR="114300">
            <wp:extent cx="6419850" cy="635635"/>
            <wp:effectExtent l="0" t="0" r="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6419850" cy="635635"/>
                    </a:xfrm>
                    <a:prstGeom prst="rect">
                      <a:avLst/>
                    </a:prstGeom>
                    <a:noFill/>
                    <a:ln>
                      <a:noFill/>
                    </a:ln>
                  </pic:spPr>
                </pic:pic>
              </a:graphicData>
            </a:graphic>
          </wp:inline>
        </w:drawing>
      </w: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w:t>
      </w:r>
      <w:r>
        <w:rPr>
          <w:rFonts w:hint="eastAsia" w:ascii="宋体" w:hAnsi="宋体" w:eastAsia="宋体" w:cs="宋体"/>
          <w:spacing w:val="15"/>
          <w:sz w:val="19"/>
          <w:szCs w:val="19"/>
          <w:lang w:val="en-US" w:eastAsia="zh-CN"/>
        </w:rPr>
        <w:t>Λ：相当于w(1)</w:t>
      </w:r>
      <w:r>
        <w:rPr>
          <w:rFonts w:hint="eastAsia" w:ascii="Arial" w:hAnsi="Arial" w:cs="Arial"/>
          <w:spacing w:val="15"/>
          <w:kern w:val="0"/>
          <w:sz w:val="19"/>
          <w:szCs w:val="19"/>
          <w:lang w:val="en-US" w:eastAsia="zh-CN" w:bidi="ar"/>
        </w:rPr>
        <w:t>）</w:t>
      </w:r>
    </w:p>
    <w:p>
      <w:pPr>
        <w:rPr>
          <w:rFonts w:hint="eastAsia" w:ascii="Arial" w:hAnsi="Arial" w:cs="Arial"/>
          <w:spacing w:val="15"/>
          <w:kern w:val="0"/>
          <w:sz w:val="19"/>
          <w:szCs w:val="19"/>
          <w:lang w:val="en-US" w:eastAsia="zh-CN" w:bidi="ar"/>
        </w:rPr>
      </w:pP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Open-max 分类器：</w:t>
      </w: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包括两个平行的FC,一个用来动作分类，另一个用来作前景可靠性估计</w:t>
      </w:r>
    </w:p>
    <w:p>
      <w:pPr>
        <w:rPr>
          <w:rFonts w:hint="default"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第一个FC:每个视频片段依次放入FC中</w:t>
      </w: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第一层输出h经过soft-max得出分类概率分数</w:t>
      </w:r>
    </w:p>
    <w:p>
      <w:pPr>
        <w:rPr>
          <w:rFonts w:hint="eastAsia"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第二次：FC输出经过singmod输出分类是任何动作的概率u(l)，如果概率低则是背景</w:t>
      </w:r>
    </w:p>
    <w:p>
      <w:pPr>
        <w:rPr>
          <w:rFonts w:hint="default" w:ascii="Arial" w:hAnsi="Arial" w:cs="Arial"/>
          <w:spacing w:val="15"/>
          <w:kern w:val="0"/>
          <w:sz w:val="19"/>
          <w:szCs w:val="19"/>
          <w:lang w:val="en-US" w:eastAsia="zh-CN" w:bidi="ar"/>
        </w:rPr>
      </w:pPr>
      <w:r>
        <w:rPr>
          <w:rFonts w:hint="eastAsia" w:ascii="Arial" w:hAnsi="Arial" w:cs="Arial"/>
          <w:spacing w:val="15"/>
          <w:kern w:val="0"/>
          <w:sz w:val="19"/>
          <w:szCs w:val="19"/>
          <w:lang w:val="en-US" w:eastAsia="zh-CN" w:bidi="ar"/>
        </w:rPr>
        <w:t>所以背景的概率p(bg,l)=1-u(l)</w:t>
      </w:r>
    </w:p>
    <w:p>
      <w:r>
        <w:drawing>
          <wp:inline distT="0" distB="0" distL="114300" distR="114300">
            <wp:extent cx="5949950" cy="661035"/>
            <wp:effectExtent l="0" t="0" r="1270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949950" cy="661035"/>
                    </a:xfrm>
                    <a:prstGeom prst="rect">
                      <a:avLst/>
                    </a:prstGeom>
                    <a:noFill/>
                    <a:ln>
                      <a:noFill/>
                    </a:ln>
                  </pic:spPr>
                </pic:pic>
              </a:graphicData>
            </a:graphic>
          </wp:inline>
        </w:drawing>
      </w:r>
    </w:p>
    <w:p/>
    <w:p>
      <w:pPr>
        <w:rPr>
          <w:rFonts w:hint="eastAsia"/>
          <w:lang w:val="en-US" w:eastAsia="zh-CN"/>
        </w:rPr>
      </w:pPr>
      <w:r>
        <w:rPr>
          <w:rFonts w:hint="eastAsia"/>
          <w:lang w:val="en-US" w:eastAsia="zh-CN"/>
        </w:rPr>
        <w:t>训练损失：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lang w:eastAsia="zh-CN"/>
        </w:rPr>
      </w:pPr>
      <w:r>
        <w:rPr>
          <w:rFonts w:hint="default" w:ascii="Arial" w:hAnsi="Arial" w:cs="Arial"/>
          <w:spacing w:val="15"/>
          <w:sz w:val="19"/>
          <w:szCs w:val="19"/>
        </w:rPr>
        <w:t>动作或前景不会随时间突然改变。为了施加这种约束，我们设计了两种类型的时间连续性损失</w:t>
      </w:r>
      <w:r>
        <w:rPr>
          <w:rFonts w:hint="eastAsia" w:ascii="Arial" w:hAnsi="Arial" w:cs="Arial"/>
          <w:spacing w:val="15"/>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5"/>
          <w:sz w:val="19"/>
          <w:szCs w:val="19"/>
          <w:lang w:val="en-US" w:eastAsia="zh-CN"/>
        </w:rPr>
      </w:pPr>
      <w:r>
        <w:rPr>
          <w:rFonts w:hint="eastAsia" w:ascii="Arial" w:hAnsi="Arial" w:cs="Arial"/>
          <w:spacing w:val="15"/>
          <w:sz w:val="19"/>
          <w:szCs w:val="19"/>
          <w:lang w:val="en-US" w:eastAsia="zh-CN"/>
        </w:rPr>
        <w:t>前景连续损失：前景连续有两个重要属性，</w:t>
      </w:r>
      <w:r>
        <w:rPr>
          <w:rFonts w:hint="default" w:ascii="Arial" w:hAnsi="Arial" w:cs="Arial"/>
          <w:spacing w:val="15"/>
          <w:sz w:val="19"/>
          <w:szCs w:val="19"/>
        </w:rPr>
        <w:t>与类无关的类似前景可靠性</w:t>
      </w:r>
      <w:r>
        <w:rPr>
          <w:rFonts w:hint="eastAsia" w:ascii="Arial" w:hAnsi="Arial" w:cs="Arial"/>
          <w:spacing w:val="15"/>
          <w:sz w:val="19"/>
          <w:szCs w:val="19"/>
          <w:lang w:eastAsia="zh-CN"/>
        </w:rPr>
        <w:t>，</w:t>
      </w:r>
      <w:r>
        <w:rPr>
          <w:rFonts w:hint="eastAsia" w:ascii="Arial" w:hAnsi="Arial" w:cs="Arial"/>
          <w:spacing w:val="15"/>
          <w:sz w:val="19"/>
          <w:szCs w:val="19"/>
          <w:lang w:val="en-US" w:eastAsia="zh-CN"/>
        </w:rPr>
        <w:t>与目标前景一致的open-max概率</w:t>
      </w:r>
    </w:p>
    <w:p>
      <w:pPr>
        <w:rPr>
          <w:rFonts w:hint="default"/>
          <w:lang w:val="en-US" w:eastAsia="zh-CN"/>
        </w:rPr>
      </w:pPr>
    </w:p>
    <w:p>
      <w:r>
        <w:drawing>
          <wp:inline distT="0" distB="0" distL="114300" distR="114300">
            <wp:extent cx="5949950" cy="2661920"/>
            <wp:effectExtent l="0" t="0" r="1270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949950" cy="2661920"/>
                    </a:xfrm>
                    <a:prstGeom prst="rect">
                      <a:avLst/>
                    </a:prstGeom>
                    <a:noFill/>
                    <a:ln>
                      <a:noFill/>
                    </a:ln>
                  </pic:spPr>
                </pic:pic>
              </a:graphicData>
            </a:graphic>
          </wp:inline>
        </w:drawing>
      </w:r>
    </w:p>
    <w:p>
      <w:r>
        <w:drawing>
          <wp:inline distT="0" distB="0" distL="114300" distR="114300">
            <wp:extent cx="5759450" cy="2447925"/>
            <wp:effectExtent l="0" t="0" r="1270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5759450" cy="2447925"/>
                    </a:xfrm>
                    <a:prstGeom prst="rect">
                      <a:avLst/>
                    </a:prstGeom>
                    <a:noFill/>
                    <a:ln>
                      <a:noFill/>
                    </a:ln>
                  </pic:spPr>
                </pic:pic>
              </a:graphicData>
            </a:graphic>
          </wp:inline>
        </w:drawing>
      </w:r>
    </w:p>
    <w:p>
      <w:pPr>
        <w:rPr>
          <w:rFonts w:hint="default"/>
          <w:lang w:val="en-US" w:eastAsia="zh-CN"/>
        </w:rPr>
      </w:pPr>
      <w:r>
        <w:rPr>
          <w:rFonts w:hint="eastAsia"/>
          <w:lang w:val="en-US" w:eastAsia="zh-CN"/>
        </w:rPr>
        <w:t>将每个视频一致采样l个片段，然后在放入预训练的网络提取音频，视频特征</w:t>
      </w:r>
    </w:p>
    <w:p>
      <w:pPr>
        <w:rPr>
          <w:rFonts w:hint="eastAsia"/>
          <w:lang w:val="en-US" w:eastAsia="zh-CN"/>
        </w:rPr>
      </w:pPr>
    </w:p>
    <w:p>
      <w:pPr>
        <w:rPr>
          <w:rFonts w:hint="eastAsia"/>
          <w:lang w:val="en-US" w:eastAsia="zh-CN"/>
        </w:rPr>
      </w:pPr>
      <w:r>
        <w:rPr>
          <w:rFonts w:hint="eastAsia"/>
          <w:lang w:val="en-US" w:eastAsia="zh-CN"/>
        </w:rPr>
        <w:t>使用I3D net和resNet提取视频特征，使用VGG-like提取音频特征</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24B2B6"/>
    <w:multiLevelType w:val="singleLevel"/>
    <w:tmpl w:val="CA24B2B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36EA9"/>
    <w:rsid w:val="0978219E"/>
    <w:rsid w:val="0BD038CF"/>
    <w:rsid w:val="3E150445"/>
    <w:rsid w:val="47E36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344</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2020-10-21T11:12:00Z</dcterms:created>
  <dc:creator>Owen</dc:creator>
  <cp:lastModifiedBy>Owen</cp:lastModifiedBy>
  <dcterms:modified xsi:type="dcterms:W3CDTF">2020-10-23T12:38:40Z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