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Công ty TNHH dược phẩm Blue pharma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Mr Hải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0968754654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Số nhà 22, ngách 50/37 Đường Khuyến Lương, Trần phú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Túi Eva Estrogen 245*80*170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IVOLRY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24.5 x 8 x 17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File cũ không chỉnh sửa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Chọn 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bóng 2 mặt 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2000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2,072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4,145,000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4,145,000đ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Hoàng Dung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0969303888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