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Clearing Services Ltd - AML and Financial Crime Policy v2.1</w:t>
      </w:r>
    </w:p>
    <w:p>
      <w:pPr>
        <w:pStyle w:val="Heading1"/>
      </w:pPr>
      <w:r>
        <w:t>Purpose and Scope</w:t>
      </w:r>
    </w:p>
    <w:p>
      <w:r>
        <w:t>This policy sets out Meridian's approach to preventing money laundering and terrorist financing. It applies to all employees and contractors.</w:t>
      </w:r>
    </w:p>
    <w:p>
      <w:r>
        <w:t>The policy was last reviewed in June 2024 and is scheduled for review annually.</w:t>
      </w:r>
    </w:p>
    <w:p>
      <w:pPr>
        <w:pStyle w:val="Heading1"/>
      </w:pPr>
      <w:r>
        <w:t>Customer Due Diligence</w:t>
      </w:r>
    </w:p>
    <w:p>
      <w:r>
        <w:t>Prospective institutional clients are subject to due diligence prior to onboarding. Documentation collected includes certificate of incorporation, register of directors and evidence of regulatory status where applicable.</w:t>
      </w:r>
    </w:p>
    <w:p>
      <w:r>
        <w:t>Beneficial ownership is identified to the first corporate layer. The policy does not require identification of ultimate beneficial owners beyond that layer.</w:t>
      </w:r>
    </w:p>
    <w:p>
      <w:r>
        <w:t>Enhanced due diligence is applied where a client is assessed as higher risk. The criteria for that assessment are not documented in this policy.</w:t>
      </w:r>
    </w:p>
    <w:p>
      <w:pPr>
        <w:pStyle w:val="Heading1"/>
      </w:pPr>
      <w:r>
        <w:t>Sanctions and Screening</w:t>
      </w:r>
    </w:p>
    <w:p>
      <w:r>
        <w:t>Clients are screened against applicable sanctions lists at onboarding. Ongoing screening is performed on an ad hoc basis when the operations team becomes aware of a change in circumstances.</w:t>
      </w:r>
    </w:p>
    <w:p>
      <w:r>
        <w:t>Politically exposed person screening is not currently performed.</w:t>
      </w:r>
    </w:p>
    <w:p>
      <w:pPr>
        <w:pStyle w:val="Heading1"/>
      </w:pPr>
      <w:r>
        <w:t>Transaction Monitoring</w:t>
      </w:r>
    </w:p>
    <w:p>
      <w:r>
        <w:t>Unusual activity identified by the operations team during daily reconciliation is escalated to the Head of Operations.</w:t>
      </w:r>
    </w:p>
    <w:p>
      <w:r>
        <w:t>Meridian does not currently operate an automated transaction monitoring system. Implementation is under consideration.</w:t>
      </w:r>
    </w:p>
    <w:p>
      <w:pPr>
        <w:pStyle w:val="Heading1"/>
      </w:pPr>
      <w:r>
        <w:t>Reporting</w:t>
      </w:r>
    </w:p>
    <w:p>
      <w:r>
        <w:t>Suspicious activity is reported to the relevant financial intelligence unit. Two internal escalations were recorded in 2025; neither resulted in an external report.</w:t>
      </w:r>
    </w:p>
    <w:p>
      <w:pPr>
        <w:pStyle w:val="Heading1"/>
      </w:pPr>
      <w:r>
        <w:t>Training and Assurance</w:t>
      </w:r>
    </w:p>
    <w:p>
      <w:r>
        <w:t>All staff complete financial crime training on joining. Refresher training was last delivered in 2023.</w:t>
      </w:r>
    </w:p>
    <w:p>
      <w:r>
        <w:t>No independent testing of the financial crime framework has been performed.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