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Northgate Settlement Services Ltd - AML and Financial Crime Policy v7.3</w:t>
      </w:r>
    </w:p>
    <w:p>
      <w:pPr>
        <w:pStyle w:val="Heading1"/>
      </w:pPr>
      <w:r>
        <w:t>Purpose and Scope</w:t>
      </w:r>
    </w:p>
    <w:p>
      <w:r>
        <w:t>This policy sets out Northgate's risk-based approach to preventing money laundering and terrorist financing. It applies to all employees, contractors and agents.</w:t>
      </w:r>
    </w:p>
    <w:p>
      <w:r>
        <w:t>The policy was last reviewed and board-approved in February 2026 and is reviewed annually or upon material regulatory change.</w:t>
      </w:r>
    </w:p>
    <w:p>
      <w:pPr>
        <w:pStyle w:val="Heading1"/>
      </w:pPr>
      <w:r>
        <w:t>Governance</w:t>
      </w:r>
    </w:p>
    <w:p>
      <w:r>
        <w:t>A dedicated Money Laundering Reporting Officer (MLRO) has been in post since 2018 and reports directly to the board. A deputy MLRO is appointed to ensure continuity of cover.</w:t>
      </w:r>
    </w:p>
    <w:p>
      <w:r>
        <w:t>The MLRO holds no first-line operational responsibilities. The compliance function is independent of client-facing teams and is resourced with five full-time staff.</w:t>
      </w:r>
    </w:p>
    <w:p>
      <w:pPr>
        <w:pStyle w:val="Heading1"/>
      </w:pPr>
      <w:r>
        <w:t>Customer Due Diligence</w:t>
      </w:r>
    </w:p>
    <w:p>
      <w:r>
        <w:t>All institutional clients undergo due diligence prior to onboarding, including certificate of incorporation, register of directors, regulatory status verification and ownership structure mapping.</w:t>
      </w:r>
    </w:p>
    <w:p>
      <w:r>
        <w:t>Beneficial ownership is identified through the full ownership chain to natural persons holding 10 per cent or more, regardless of the number of intervening corporate layers. Where the chain cannot be resolved, the relationship is declined.</w:t>
      </w:r>
    </w:p>
    <w:p>
      <w:r>
        <w:t>Enhanced due diligence is applied where a client meets any criterion in the documented high-risk matrix at Annex 2, which covers jurisdiction, product, delivery channel and ownership opacity. Client risk is rescored annually and on trigger events.</w:t>
      </w:r>
    </w:p>
    <w:p>
      <w:pPr>
        <w:pStyle w:val="Heading1"/>
      </w:pPr>
      <w:r>
        <w:t>Sanctions and Screening</w:t>
      </w:r>
    </w:p>
    <w:p>
      <w:r>
        <w:t>Clients and their beneficial owners are screened against applicable sanctions lists at onboarding and continuously thereafter using an automated screening system, with list updates applied within 24 hours of publication.</w:t>
      </w:r>
    </w:p>
    <w:p>
      <w:r>
        <w:t>Politically exposed person screening is performed at onboarding and on a continuous basis. PEP relationships require senior management approval and are subject to enhanced ongoing monitoring.</w:t>
      </w:r>
    </w:p>
    <w:p>
      <w:pPr>
        <w:pStyle w:val="Heading1"/>
      </w:pPr>
      <w:r>
        <w:t>Transaction Monitoring</w:t>
      </w:r>
    </w:p>
    <w:p>
      <w:r>
        <w:t>Northgate operates an automated transaction monitoring system covering all client settlement activity. Rule thresholds are calibrated against client risk rating and reviewed semi-annually; the most recent tuning exercise was completed in November 2025.</w:t>
      </w:r>
    </w:p>
    <w:p>
      <w:r>
        <w:t>Alerts are triaged by the financial crime operations team within one business day and escalated to the MLRO where unresolved.</w:t>
      </w:r>
    </w:p>
    <w:p>
      <w:r>
        <w:t>System coverage, alert volumes and false positive rates are reported to the board risk committee quarterly.</w:t>
      </w:r>
    </w:p>
    <w:p>
      <w:pPr>
        <w:pStyle w:val="Heading1"/>
      </w:pPr>
      <w:r>
        <w:t>Reporting</w:t>
      </w:r>
    </w:p>
    <w:p>
      <w:r>
        <w:t>Suspicious activity is reported by the MLRO to the relevant financial intelligence unit. In 2025, 46 internal escalations were raised, of which 11 resulted in external reports.</w:t>
      </w:r>
    </w:p>
    <w:p>
      <w:pPr>
        <w:pStyle w:val="Heading1"/>
      </w:pPr>
      <w:r>
        <w:t>Training and Independent Assurance</w:t>
      </w:r>
    </w:p>
    <w:p>
      <w:r>
        <w:t>All staff complete financial crime training on joining and annually thereafter. Completion in 2025 was 100 per cent. Role-specific training is delivered to client-facing and operations staff.</w:t>
      </w:r>
    </w:p>
    <w:p>
      <w:r>
        <w:t>Independent testing of the financial crime framework was performed by an external firm in September 2025. Four low-severity observations were raised; all four were closed by December 2025 and closure evidence is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