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59EE0" w14:textId="2FE4AFF9" w:rsidR="00FD335F" w:rsidRPr="002B3BE9" w:rsidRDefault="00FD335F" w:rsidP="00FD335F">
      <w:pPr>
        <w:spacing w:line="240" w:lineRule="auto"/>
        <w:jc w:val="left"/>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54"/>
        <w:gridCol w:w="5793"/>
        <w:gridCol w:w="2213"/>
      </w:tblGrid>
      <w:tr w:rsidR="00FD335F" w:rsidRPr="00987C84" w14:paraId="247BC9A4" w14:textId="77777777" w:rsidTr="00712C46">
        <w:tc>
          <w:tcPr>
            <w:tcW w:w="0" w:type="auto"/>
            <w:tcBorders>
              <w:left w:val="nil"/>
              <w:bottom w:val="single" w:sz="4" w:space="0" w:color="auto"/>
              <w:right w:val="nil"/>
            </w:tcBorders>
          </w:tcPr>
          <w:p w14:paraId="0FECC561" w14:textId="77777777" w:rsidR="00FD335F" w:rsidRPr="00987C84" w:rsidRDefault="00FD335F" w:rsidP="00712C46">
            <w:pPr>
              <w:spacing w:line="480" w:lineRule="auto"/>
              <w:jc w:val="left"/>
              <w:rPr>
                <w:rFonts w:ascii="Times New Roman" w:hAnsi="Times New Roman" w:cs="Times New Roman"/>
                <w:sz w:val="20"/>
                <w:szCs w:val="20"/>
              </w:rPr>
            </w:pPr>
            <w:r w:rsidRPr="00987C84">
              <w:rPr>
                <w:rFonts w:ascii="Times New Roman" w:hAnsi="Times New Roman" w:cs="Times New Roman"/>
                <w:sz w:val="20"/>
                <w:szCs w:val="20"/>
              </w:rPr>
              <w:t>Model</w:t>
            </w:r>
          </w:p>
        </w:tc>
        <w:tc>
          <w:tcPr>
            <w:tcW w:w="0" w:type="auto"/>
            <w:tcBorders>
              <w:left w:val="nil"/>
              <w:bottom w:val="single" w:sz="4" w:space="0" w:color="auto"/>
              <w:right w:val="nil"/>
            </w:tcBorders>
          </w:tcPr>
          <w:p w14:paraId="095CD117" w14:textId="77777777" w:rsidR="00FD335F" w:rsidRPr="00987C84" w:rsidRDefault="00FD335F" w:rsidP="00712C46">
            <w:pPr>
              <w:spacing w:line="480" w:lineRule="auto"/>
              <w:jc w:val="left"/>
              <w:rPr>
                <w:rFonts w:ascii="Times New Roman" w:hAnsi="Times New Roman" w:cs="Times New Roman"/>
                <w:sz w:val="20"/>
                <w:szCs w:val="20"/>
              </w:rPr>
            </w:pPr>
            <w:r w:rsidRPr="00987C84">
              <w:rPr>
                <w:rFonts w:ascii="Times New Roman" w:hAnsi="Times New Roman" w:cs="Times New Roman"/>
                <w:sz w:val="20"/>
                <w:szCs w:val="20"/>
              </w:rPr>
              <w:t>Reasoning</w:t>
            </w:r>
          </w:p>
        </w:tc>
        <w:tc>
          <w:tcPr>
            <w:tcW w:w="0" w:type="auto"/>
            <w:tcBorders>
              <w:left w:val="nil"/>
              <w:bottom w:val="single" w:sz="4" w:space="0" w:color="auto"/>
              <w:right w:val="nil"/>
            </w:tcBorders>
          </w:tcPr>
          <w:p w14:paraId="48CE1155" w14:textId="77777777" w:rsidR="00FD335F" w:rsidRPr="00987C84" w:rsidRDefault="00FD335F" w:rsidP="00712C46">
            <w:pPr>
              <w:spacing w:line="480" w:lineRule="auto"/>
              <w:jc w:val="left"/>
              <w:rPr>
                <w:rFonts w:ascii="Times New Roman" w:hAnsi="Times New Roman" w:cs="Times New Roman"/>
                <w:sz w:val="20"/>
                <w:szCs w:val="20"/>
              </w:rPr>
            </w:pPr>
            <w:r w:rsidRPr="00987C84">
              <w:rPr>
                <w:rFonts w:ascii="Times New Roman" w:hAnsi="Times New Roman" w:cs="Times New Roman"/>
                <w:sz w:val="20"/>
                <w:szCs w:val="20"/>
              </w:rPr>
              <w:t>Fixed effects</w:t>
            </w:r>
          </w:p>
        </w:tc>
      </w:tr>
      <w:tr w:rsidR="00FD335F" w:rsidRPr="00987C84" w14:paraId="16A72D9B" w14:textId="77777777" w:rsidTr="00712C46">
        <w:tc>
          <w:tcPr>
            <w:tcW w:w="0" w:type="auto"/>
            <w:tcBorders>
              <w:top w:val="single" w:sz="4" w:space="0" w:color="auto"/>
              <w:left w:val="nil"/>
              <w:bottom w:val="nil"/>
              <w:right w:val="nil"/>
            </w:tcBorders>
          </w:tcPr>
          <w:p w14:paraId="3BF3514D"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Null</w:t>
            </w:r>
          </w:p>
        </w:tc>
        <w:tc>
          <w:tcPr>
            <w:tcW w:w="0" w:type="auto"/>
            <w:tcBorders>
              <w:top w:val="single" w:sz="4" w:space="0" w:color="auto"/>
              <w:left w:val="nil"/>
              <w:bottom w:val="nil"/>
              <w:right w:val="nil"/>
            </w:tcBorders>
          </w:tcPr>
          <w:p w14:paraId="0082BDB6"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No measured predictors explain variation</w:t>
            </w:r>
          </w:p>
        </w:tc>
        <w:tc>
          <w:tcPr>
            <w:tcW w:w="0" w:type="auto"/>
            <w:tcBorders>
              <w:top w:val="single" w:sz="4" w:space="0" w:color="auto"/>
              <w:left w:val="nil"/>
              <w:bottom w:val="nil"/>
              <w:right w:val="nil"/>
            </w:tcBorders>
          </w:tcPr>
          <w:p w14:paraId="32B48E37" w14:textId="77777777" w:rsidR="00FD335F"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Intercept only</w:t>
            </w:r>
          </w:p>
          <w:p w14:paraId="53C09611" w14:textId="77777777" w:rsidR="00FD335F" w:rsidRDefault="00FD335F" w:rsidP="00712C46">
            <w:pPr>
              <w:jc w:val="left"/>
              <w:rPr>
                <w:rFonts w:ascii="Times New Roman" w:hAnsi="Times New Roman" w:cs="Times New Roman"/>
                <w:sz w:val="20"/>
                <w:szCs w:val="20"/>
              </w:rPr>
            </w:pPr>
          </w:p>
          <w:p w14:paraId="1E49F776" w14:textId="77777777" w:rsidR="00FD335F" w:rsidRPr="00987C84" w:rsidRDefault="00FD335F" w:rsidP="00712C46">
            <w:pPr>
              <w:jc w:val="left"/>
              <w:rPr>
                <w:rFonts w:ascii="Times New Roman" w:hAnsi="Times New Roman" w:cs="Times New Roman"/>
                <w:sz w:val="20"/>
                <w:szCs w:val="20"/>
              </w:rPr>
            </w:pPr>
          </w:p>
        </w:tc>
      </w:tr>
      <w:tr w:rsidR="00FD335F" w:rsidRPr="00987C84" w14:paraId="5D4B475B" w14:textId="77777777" w:rsidTr="00712C46">
        <w:trPr>
          <w:trHeight w:val="513"/>
        </w:trPr>
        <w:tc>
          <w:tcPr>
            <w:tcW w:w="0" w:type="auto"/>
            <w:tcBorders>
              <w:top w:val="nil"/>
              <w:left w:val="nil"/>
              <w:bottom w:val="nil"/>
              <w:right w:val="nil"/>
            </w:tcBorders>
          </w:tcPr>
          <w:p w14:paraId="268D4E94"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Latitude</w:t>
            </w:r>
          </w:p>
        </w:tc>
        <w:tc>
          <w:tcPr>
            <w:tcW w:w="0" w:type="auto"/>
            <w:tcBorders>
              <w:top w:val="nil"/>
              <w:left w:val="nil"/>
              <w:bottom w:val="nil"/>
              <w:right w:val="nil"/>
            </w:tcBorders>
          </w:tcPr>
          <w:p w14:paraId="160C513F" w14:textId="77777777" w:rsidR="00FD335F" w:rsidRDefault="00FD335F" w:rsidP="00712C46">
            <w:pPr>
              <w:jc w:val="left"/>
              <w:rPr>
                <w:rFonts w:ascii="Times New Roman" w:hAnsi="Times New Roman" w:cs="Times New Roman"/>
                <w:sz w:val="20"/>
                <w:szCs w:val="20"/>
              </w:rPr>
            </w:pPr>
            <w:r w:rsidRPr="00762BF1">
              <w:rPr>
                <w:rFonts w:ascii="Times New Roman" w:hAnsi="Times New Roman" w:cs="Times New Roman"/>
                <w:sz w:val="20"/>
                <w:szCs w:val="20"/>
              </w:rPr>
              <w:t>Indian Arm has north-south temperature and salinity gradients (Stacey et al. 2002) that could</w:t>
            </w:r>
            <w:r>
              <w:rPr>
                <w:rFonts w:ascii="Times New Roman" w:hAnsi="Times New Roman" w:cs="Times New Roman"/>
                <w:sz w:val="20"/>
                <w:szCs w:val="20"/>
              </w:rPr>
              <w:t xml:space="preserve"> affect sea star distribution.</w:t>
            </w:r>
          </w:p>
          <w:p w14:paraId="71958A51"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10E83A9E" w14:textId="77777777" w:rsidR="00FD335F" w:rsidRDefault="00FD335F" w:rsidP="00712C46">
            <w:pPr>
              <w:jc w:val="left"/>
              <w:rPr>
                <w:rFonts w:ascii="Times New Roman" w:hAnsi="Times New Roman" w:cs="Times New Roman"/>
                <w:sz w:val="20"/>
                <w:szCs w:val="20"/>
              </w:rPr>
            </w:pPr>
            <w:r>
              <w:rPr>
                <w:rFonts w:ascii="Times New Roman" w:hAnsi="Times New Roman" w:cs="Times New Roman"/>
                <w:sz w:val="20"/>
                <w:szCs w:val="20"/>
              </w:rPr>
              <w:t>Latitude</w:t>
            </w:r>
          </w:p>
          <w:p w14:paraId="381D762C" w14:textId="77777777" w:rsidR="00FD335F" w:rsidRPr="00987C84" w:rsidRDefault="00FD335F" w:rsidP="00712C46">
            <w:pPr>
              <w:jc w:val="left"/>
              <w:rPr>
                <w:rFonts w:ascii="Times New Roman" w:hAnsi="Times New Roman" w:cs="Times New Roman"/>
                <w:sz w:val="20"/>
                <w:szCs w:val="20"/>
              </w:rPr>
            </w:pPr>
          </w:p>
        </w:tc>
      </w:tr>
      <w:tr w:rsidR="00FD335F" w:rsidRPr="00987C84" w14:paraId="51548267" w14:textId="77777777" w:rsidTr="00712C46">
        <w:tc>
          <w:tcPr>
            <w:tcW w:w="0" w:type="auto"/>
            <w:tcBorders>
              <w:top w:val="nil"/>
              <w:left w:val="nil"/>
              <w:bottom w:val="nil"/>
              <w:right w:val="nil"/>
            </w:tcBorders>
          </w:tcPr>
          <w:p w14:paraId="2BFD51F1"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Spatial</w:t>
            </w:r>
          </w:p>
        </w:tc>
        <w:tc>
          <w:tcPr>
            <w:tcW w:w="0" w:type="auto"/>
            <w:tcBorders>
              <w:top w:val="nil"/>
              <w:left w:val="nil"/>
              <w:bottom w:val="nil"/>
              <w:right w:val="nil"/>
            </w:tcBorders>
          </w:tcPr>
          <w:p w14:paraId="303D42E6" w14:textId="77777777" w:rsidR="00FD335F" w:rsidRDefault="00FD335F" w:rsidP="00712C46">
            <w:pPr>
              <w:jc w:val="left"/>
              <w:rPr>
                <w:rFonts w:ascii="Times New Roman" w:hAnsi="Times New Roman" w:cs="Times New Roman"/>
                <w:sz w:val="20"/>
                <w:szCs w:val="20"/>
              </w:rPr>
            </w:pPr>
            <w:r>
              <w:rPr>
                <w:rFonts w:ascii="Times New Roman" w:hAnsi="Times New Roman" w:cs="Times New Roman"/>
                <w:sz w:val="20"/>
                <w:szCs w:val="20"/>
              </w:rPr>
              <w:t>There could be spatial variation among dock clusters that are not related to latitudinal gradients.</w:t>
            </w:r>
          </w:p>
          <w:p w14:paraId="393C3BCF" w14:textId="77777777" w:rsidR="00FD335F" w:rsidRPr="00FA3B86" w:rsidRDefault="00FD335F" w:rsidP="00712C46">
            <w:pPr>
              <w:jc w:val="left"/>
            </w:pPr>
          </w:p>
          <w:p w14:paraId="56CF4E43"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69FA46EA" w14:textId="77777777" w:rsidR="00FD335F" w:rsidRDefault="00FD335F" w:rsidP="00712C46">
            <w:pPr>
              <w:jc w:val="left"/>
              <w:rPr>
                <w:rFonts w:ascii="Times New Roman" w:hAnsi="Times New Roman" w:cs="Times New Roman"/>
                <w:sz w:val="20"/>
                <w:szCs w:val="20"/>
              </w:rPr>
            </w:pPr>
            <w:r>
              <w:rPr>
                <w:rFonts w:ascii="Times New Roman" w:hAnsi="Times New Roman" w:cs="Times New Roman"/>
                <w:sz w:val="20"/>
                <w:szCs w:val="20"/>
              </w:rPr>
              <w:t>Cluster</w:t>
            </w:r>
          </w:p>
          <w:p w14:paraId="417F7266" w14:textId="77777777" w:rsidR="00FD335F" w:rsidRPr="00987C84" w:rsidRDefault="00FD335F" w:rsidP="00712C46">
            <w:pPr>
              <w:jc w:val="left"/>
              <w:rPr>
                <w:rFonts w:ascii="Times New Roman" w:hAnsi="Times New Roman" w:cs="Times New Roman"/>
                <w:sz w:val="20"/>
                <w:szCs w:val="20"/>
              </w:rPr>
            </w:pPr>
          </w:p>
        </w:tc>
      </w:tr>
      <w:tr w:rsidR="00FD335F" w:rsidRPr="00987C84" w14:paraId="2F2EC523" w14:textId="77777777" w:rsidTr="00712C46">
        <w:tc>
          <w:tcPr>
            <w:tcW w:w="0" w:type="auto"/>
            <w:tcBorders>
              <w:top w:val="nil"/>
              <w:left w:val="nil"/>
              <w:bottom w:val="nil"/>
              <w:right w:val="nil"/>
            </w:tcBorders>
          </w:tcPr>
          <w:p w14:paraId="321B90F8"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Habitat</w:t>
            </w:r>
          </w:p>
        </w:tc>
        <w:tc>
          <w:tcPr>
            <w:tcW w:w="0" w:type="auto"/>
            <w:tcBorders>
              <w:top w:val="nil"/>
              <w:left w:val="nil"/>
              <w:bottom w:val="nil"/>
              <w:right w:val="nil"/>
            </w:tcBorders>
          </w:tcPr>
          <w:p w14:paraId="669554FB" w14:textId="77777777" w:rsidR="00FD335F" w:rsidRDefault="00FD335F" w:rsidP="00712C46">
            <w:pPr>
              <w:jc w:val="left"/>
              <w:rPr>
                <w:rFonts w:ascii="Times New Roman" w:hAnsi="Times New Roman" w:cs="Times New Roman"/>
                <w:sz w:val="20"/>
                <w:szCs w:val="20"/>
              </w:rPr>
            </w:pPr>
            <w:r w:rsidRPr="004206B2">
              <w:rPr>
                <w:rFonts w:ascii="Times New Roman" w:hAnsi="Times New Roman" w:cs="Times New Roman"/>
                <w:sz w:val="20"/>
                <w:szCs w:val="20"/>
              </w:rPr>
              <w:t xml:space="preserve">Several sea star species show clear associations with specific substrate </w:t>
            </w:r>
            <w:r>
              <w:rPr>
                <w:rFonts w:ascii="Times New Roman" w:hAnsi="Times New Roman" w:cs="Times New Roman"/>
                <w:sz w:val="20"/>
                <w:szCs w:val="20"/>
              </w:rPr>
              <w:t>features</w:t>
            </w:r>
            <w:r w:rsidRPr="004206B2">
              <w:rPr>
                <w:rFonts w:ascii="Times New Roman" w:hAnsi="Times New Roman" w:cs="Times New Roman"/>
                <w:sz w:val="20"/>
                <w:szCs w:val="20"/>
              </w:rPr>
              <w:t xml:space="preserve"> </w:t>
            </w:r>
            <w:r w:rsidRPr="004206B2">
              <w:rPr>
                <w:rFonts w:ascii="Times New Roman" w:hAnsi="Times New Roman" w:cs="Times New Roman"/>
                <w:sz w:val="20"/>
                <w:szCs w:val="20"/>
              </w:rPr>
              <w:fldChar w:fldCharType="begin"/>
            </w:r>
            <w:r w:rsidRPr="004206B2">
              <w:rPr>
                <w:rFonts w:ascii="Times New Roman" w:hAnsi="Times New Roman" w:cs="Times New Roman"/>
                <w:sz w:val="20"/>
                <w:szCs w:val="20"/>
              </w:rPr>
              <w:instrText xml:space="preserve"> ADDIN ZOTERO_ITEM CSL_CITATION {"citationID":"MA8AGjqN","properties":{"unsorted":false,"formattedCitation":"(Lambert and Museum 2000, Rogers and Elliott 2012, Hawk and Johnson 2022)","plainCitation":"(Lambert and Museum 2000, Rogers and Elliott 2012, Hawk and Johnson 2022)","dontUpdate":true,"noteIndex":0},"citationItems":[{"id":920,"uris":["http://zotero.org/users/local/LzgsO2rT/items/JZQIWQUA"],"itemData":{"id":920,"type":"book","abstract":"In this handbook, Philip Lambert describes 43 species and subspecies of sea stars in the coastal waters of northwestern North America. The sea-star fauna of the region from Glacier Bay, Alaska, to Puget Sound in Washington, is the most diverse of all the temperate waters of the world. The great age of the Pacific Basin, and the varied habitats along this complex coastline, created by scouring glaciers and other natural forces, have stimulated the evolution of many new forms. Sea Stars bridges the gap between academic and popular publications and is enhanced by illustrations and photographs, many in colour. Although he covers the coastal waters down to 200 metres below the surface, Lambert lists 26 more species that live below 200 metres and 14 others that occur just outside the region covered by this book. \"If sea stars fascinate you (and they're pretty hard to resist on this coast) then you'll appreciate this book. It is essential for anyone doing research involving northwest sea stars and is also a great field guide for divers and seaside naturalists.\" - Echinoderm Newsletter","ISBN":"978-0-7748-0825-5","language":"en","note":"Google-Books-ID: NuG_AByk0bsC","number-of-pages":"212","publisher":"UBC Press","source":"Google Books","title":"Sea Stars of British Columbia, Southeast Alaska, and Puget Sound","author":[{"family":"Lambert","given":"Philip"},{"family":"Museum","given":"Royal British Columbia"}],"issued":{"date-parts":[["2000"]]}}},{"id":903,"uris":["http://zotero.org/users/local/LzgsO2rT/items/3NDH4VPP"],"itemData":{"id":903,"type":"article-journal","abstract":"We surveyed patterns in the relative abundance and size structure of the sea stars Pisaster ochraceus and Evasterias troschelii in five habitat types of varying structural complexity and prey availability (sand/cobble, boulder, and rocky intertidal; pilings; and floating docks) in Puget Sound and the San Juan Islands, Washington. For both species, small sea stars were most abundant in the most structurally complex habitat type (boulder), where they occurred almost exclusively under boulders during low tide. Larger individuals became more abundant as structural complexity decreased, occurring more frequently in open habitat types (rocky shores, pilings, and docks) known to have greater abundances of prey resources. Gull foraging observations and experiments demonstrated that exposed small sea stars of both species were highly vulnerable to predation, suggesting that small sea stars require structural complexity (crevice microhabitat) as a predation refuge. Large sea stars, once attaining a size refuge from predation, appear to migrate to more exposed habitat types with more abundant food resources. These results suggest parallel ontogenetic habitat shifts in two co-occurring consumer species related to a shared predation risk at early life stages and demonstrate how the relative importance of top-down and bottom-up processes may differ with ontogeny.","container-title":"Marine Biology","DOI":"10.1007/s00227-012-2139-7","journalAbbreviation":"Marine Biology","source":"ResearchGate","title":"Differences in relative abundance and size structure of the sea stars Pisaster ochraceus and Evasterias troschelii among habitat types in Puget Sound, Washington, USA","volume":"160","author":[{"family":"Rogers","given":"Tanya"},{"family":"Elliott","given":"Joel"}],"issued":{"date-parts":[["2012",4,1]]}}},{"id":922,"uris":["http://zotero.org/users/local/LzgsO2rT/items/PC3598CI"],"itemData":{"id":922,"type":"article-journal","abstract":"The design of anthropogenic marine structures can have unintended consequences for ecological communities. We describe differences in biofouling assemblages between two primary anthropogenic habitats—pontoons and pilings—in a marina in British Columbia, Canada, using multiple measures of diversity (i.e., richness, evenness, and Shannon indices) and multiple metrics of variability in taxonomic composition (i.e., Jaccard and modified Gower methods) using two complementary surveys. First, a video-transect survey revealed abundances of crawling benthic predators to be 19 times greater on pilings than on pontoons. Second, a photo-quadrat survey of sessile invertebrates revealed moderate differences in diversity but differences of 86% in taxonomic composition and 88% in non-indigenous species (NIS), owing largely to the dominance of mussels (Mytilus species complex) on pontoons and their absence on pilings. We discuss several environmental factors associated with the design of anthropogenic infrastructure and propose that contact with the seafloor is the key driver of observed differences between the biofouling assemblages at this site. Contact with the seafloor permits access to crawling predators and thereby drives the abundances of ecosystem-engineering taxa. Patterns of taxonomic composition and assemblage dispersion indicate that biofouling organisms are affected by these phenomena according to their roles either as prey or as competitors with mussels and not whether they are native or NIS. Finally, we consider how the growing body of ecological studies on biofouling communities such as ours can inform the implementation of infrastructure for the purposes of enhancing biotic diversity and resilience.","container-title":"Journal of Experimental Marine Biology and Ecology","DOI":"10.1016/j.jembe.2022.151796","ISSN":"0022-0981","journalAbbreviation":"Journal of Experimental Marine Biology and Ecology","page":"151796","source":"ScienceDirect","title":"Biofouling assemblages on anthropogenic structures reflect seafloor access for benthic predators","volume":"556","author":[{"family":"Hawk","given":"Heather L."},{"family":"Johnson","given":"Ladd E."}],"issued":{"date-parts":[["2022",11,1]]}}}],"schema":"https://github.com/citation-style-language/schema/raw/master/csl-citation.json"} </w:instrText>
            </w:r>
            <w:r w:rsidRPr="004206B2">
              <w:rPr>
                <w:rFonts w:ascii="Times New Roman" w:hAnsi="Times New Roman" w:cs="Times New Roman"/>
                <w:sz w:val="20"/>
                <w:szCs w:val="20"/>
              </w:rPr>
              <w:fldChar w:fldCharType="separate"/>
            </w:r>
            <w:r w:rsidRPr="004206B2">
              <w:rPr>
                <w:rFonts w:ascii="Times New Roman" w:hAnsi="Times New Roman" w:cs="Times New Roman"/>
                <w:sz w:val="20"/>
                <w:szCs w:val="20"/>
              </w:rPr>
              <w:t>(Lambert  2000, Rogers and Elliott 201</w:t>
            </w:r>
            <w:r>
              <w:rPr>
                <w:rFonts w:ascii="Times New Roman" w:hAnsi="Times New Roman" w:cs="Times New Roman"/>
                <w:sz w:val="20"/>
                <w:szCs w:val="20"/>
              </w:rPr>
              <w:t>3</w:t>
            </w:r>
            <w:r w:rsidRPr="004206B2">
              <w:rPr>
                <w:rFonts w:ascii="Times New Roman" w:hAnsi="Times New Roman" w:cs="Times New Roman"/>
                <w:sz w:val="20"/>
                <w:szCs w:val="20"/>
              </w:rPr>
              <w:t>, Hawk and Johnson 2022)</w:t>
            </w:r>
            <w:r w:rsidRPr="004206B2">
              <w:rPr>
                <w:rFonts w:ascii="Times New Roman" w:hAnsi="Times New Roman" w:cs="Times New Roman"/>
                <w:sz w:val="20"/>
                <w:szCs w:val="20"/>
              </w:rPr>
              <w:fldChar w:fldCharType="end"/>
            </w:r>
            <w:r>
              <w:rPr>
                <w:rFonts w:ascii="Times New Roman" w:hAnsi="Times New Roman" w:cs="Times New Roman"/>
                <w:sz w:val="20"/>
                <w:szCs w:val="20"/>
              </w:rPr>
              <w:t>.</w:t>
            </w:r>
          </w:p>
          <w:p w14:paraId="09EA07B0" w14:textId="77777777" w:rsidR="00FD335F" w:rsidRPr="004206B2" w:rsidRDefault="00FD335F" w:rsidP="00712C46">
            <w:pPr>
              <w:jc w:val="left"/>
              <w:rPr>
                <w:rFonts w:ascii="Times New Roman" w:hAnsi="Times New Roman" w:cs="Times New Roman"/>
                <w:sz w:val="20"/>
                <w:szCs w:val="20"/>
              </w:rPr>
            </w:pPr>
          </w:p>
          <w:p w14:paraId="7235B0FE"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10D3FA1C"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 xml:space="preserve">Slope + </w:t>
            </w:r>
            <w:r>
              <w:rPr>
                <w:rFonts w:ascii="Times New Roman" w:hAnsi="Times New Roman" w:cs="Times New Roman"/>
                <w:sz w:val="20"/>
                <w:szCs w:val="20"/>
              </w:rPr>
              <w:t>hard substrate cov</w:t>
            </w:r>
            <w:r w:rsidRPr="00987C84">
              <w:rPr>
                <w:rFonts w:ascii="Times New Roman" w:hAnsi="Times New Roman" w:cs="Times New Roman"/>
                <w:sz w:val="20"/>
                <w:szCs w:val="20"/>
              </w:rPr>
              <w:t>er</w:t>
            </w:r>
          </w:p>
        </w:tc>
      </w:tr>
      <w:tr w:rsidR="00FD335F" w:rsidRPr="00987C84" w14:paraId="3B34ECD8" w14:textId="77777777" w:rsidTr="00712C46">
        <w:tc>
          <w:tcPr>
            <w:tcW w:w="0" w:type="auto"/>
            <w:tcBorders>
              <w:top w:val="nil"/>
              <w:left w:val="nil"/>
              <w:bottom w:val="nil"/>
              <w:right w:val="nil"/>
            </w:tcBorders>
          </w:tcPr>
          <w:p w14:paraId="304D95B3"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Debris</w:t>
            </w:r>
          </w:p>
        </w:tc>
        <w:tc>
          <w:tcPr>
            <w:tcW w:w="0" w:type="auto"/>
            <w:tcBorders>
              <w:top w:val="nil"/>
              <w:left w:val="nil"/>
              <w:bottom w:val="nil"/>
              <w:right w:val="nil"/>
            </w:tcBorders>
          </w:tcPr>
          <w:p w14:paraId="2B74C088" w14:textId="77777777" w:rsidR="00FD335F" w:rsidRDefault="00FD335F" w:rsidP="00712C46">
            <w:pPr>
              <w:jc w:val="left"/>
              <w:rPr>
                <w:rFonts w:ascii="Times New Roman" w:hAnsi="Times New Roman" w:cs="Times New Roman"/>
                <w:sz w:val="20"/>
                <w:szCs w:val="20"/>
              </w:rPr>
            </w:pPr>
            <w:r>
              <w:rPr>
                <w:rFonts w:ascii="Times New Roman" w:hAnsi="Times New Roman" w:cs="Times New Roman"/>
                <w:sz w:val="20"/>
                <w:szCs w:val="20"/>
              </w:rPr>
              <w:t xml:space="preserve">Debris may provide habitable hard substrate for some sea star species as well as mussels and other sessile prey (Lambert 2000, </w:t>
            </w:r>
            <w:r w:rsidRPr="00426188">
              <w:rPr>
                <w:rFonts w:ascii="Times New Roman" w:hAnsi="Times New Roman" w:cs="Times New Roman"/>
                <w:sz w:val="20"/>
                <w:szCs w:val="20"/>
              </w:rPr>
              <w:t>Holloway &amp; Connell 2002</w:t>
            </w:r>
            <w:r>
              <w:rPr>
                <w:rFonts w:ascii="Times New Roman" w:hAnsi="Times New Roman" w:cs="Times New Roman"/>
                <w:sz w:val="20"/>
                <w:szCs w:val="20"/>
              </w:rPr>
              <w:t xml:space="preserve">, </w:t>
            </w:r>
            <w:r w:rsidRPr="00F01FDF">
              <w:rPr>
                <w:rFonts w:ascii="Times New Roman" w:hAnsi="Times New Roman" w:cs="Times New Roman"/>
                <w:sz w:val="20"/>
                <w:szCs w:val="20"/>
              </w:rPr>
              <w:t>Kirk</w:t>
            </w:r>
            <w:r>
              <w:rPr>
                <w:rFonts w:ascii="Times New Roman" w:hAnsi="Times New Roman" w:cs="Times New Roman"/>
                <w:sz w:val="20"/>
                <w:szCs w:val="20"/>
              </w:rPr>
              <w:t xml:space="preserve"> </w:t>
            </w:r>
            <w:r w:rsidRPr="00F01FDF">
              <w:rPr>
                <w:rFonts w:ascii="Times New Roman" w:hAnsi="Times New Roman" w:cs="Times New Roman"/>
                <w:sz w:val="20"/>
                <w:szCs w:val="20"/>
              </w:rPr>
              <w:t>200</w:t>
            </w:r>
            <w:r>
              <w:rPr>
                <w:rFonts w:ascii="Times New Roman" w:hAnsi="Times New Roman" w:cs="Times New Roman"/>
                <w:sz w:val="20"/>
                <w:szCs w:val="20"/>
              </w:rPr>
              <w:t>7).</w:t>
            </w:r>
          </w:p>
          <w:p w14:paraId="390AE657"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723375A3"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Debris score + cluster</w:t>
            </w:r>
          </w:p>
        </w:tc>
      </w:tr>
      <w:tr w:rsidR="00FD335F" w:rsidRPr="00987C84" w14:paraId="5997A407" w14:textId="77777777" w:rsidTr="00712C46">
        <w:tc>
          <w:tcPr>
            <w:tcW w:w="0" w:type="auto"/>
            <w:tcBorders>
              <w:top w:val="nil"/>
              <w:left w:val="nil"/>
              <w:bottom w:val="nil"/>
              <w:right w:val="nil"/>
            </w:tcBorders>
          </w:tcPr>
          <w:p w14:paraId="786EF368"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Full debris</w:t>
            </w:r>
          </w:p>
        </w:tc>
        <w:tc>
          <w:tcPr>
            <w:tcW w:w="0" w:type="auto"/>
            <w:tcBorders>
              <w:top w:val="nil"/>
              <w:left w:val="nil"/>
              <w:bottom w:val="nil"/>
              <w:right w:val="nil"/>
            </w:tcBorders>
          </w:tcPr>
          <w:p w14:paraId="537CCDEC" w14:textId="77777777" w:rsidR="00FD335F"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Responses</w:t>
            </w:r>
            <w:r>
              <w:rPr>
                <w:rFonts w:ascii="Times New Roman" w:hAnsi="Times New Roman" w:cs="Times New Roman"/>
                <w:sz w:val="20"/>
                <w:szCs w:val="20"/>
              </w:rPr>
              <w:t xml:space="preserve"> of sea stars might</w:t>
            </w:r>
            <w:r w:rsidRPr="00987C84">
              <w:rPr>
                <w:rFonts w:ascii="Times New Roman" w:hAnsi="Times New Roman" w:cs="Times New Roman"/>
                <w:sz w:val="20"/>
                <w:szCs w:val="20"/>
              </w:rPr>
              <w:t xml:space="preserve"> differ among debris score categories </w:t>
            </w:r>
            <w:r>
              <w:rPr>
                <w:rFonts w:ascii="Times New Roman" w:hAnsi="Times New Roman" w:cs="Times New Roman"/>
                <w:sz w:val="20"/>
                <w:szCs w:val="20"/>
              </w:rPr>
              <w:t>if</w:t>
            </w:r>
            <w:r w:rsidRPr="00987C84">
              <w:rPr>
                <w:rFonts w:ascii="Times New Roman" w:hAnsi="Times New Roman" w:cs="Times New Roman"/>
                <w:sz w:val="20"/>
                <w:szCs w:val="20"/>
              </w:rPr>
              <w:t xml:space="preserve"> accounting for spatial variation and local habitat characteristics</w:t>
            </w:r>
          </w:p>
          <w:p w14:paraId="75F4BB5C" w14:textId="77777777" w:rsidR="00FD335F" w:rsidRDefault="00FD335F" w:rsidP="00712C46">
            <w:pPr>
              <w:jc w:val="left"/>
              <w:rPr>
                <w:rFonts w:ascii="Times New Roman" w:hAnsi="Times New Roman" w:cs="Times New Roman"/>
                <w:sz w:val="20"/>
                <w:szCs w:val="20"/>
              </w:rPr>
            </w:pPr>
          </w:p>
          <w:p w14:paraId="48C4B673"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3D9847B3" w14:textId="77777777" w:rsidR="00FD335F"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 xml:space="preserve">Debris score + cluster + </w:t>
            </w:r>
            <w:r>
              <w:rPr>
                <w:rFonts w:ascii="Times New Roman" w:hAnsi="Times New Roman" w:cs="Times New Roman"/>
                <w:sz w:val="20"/>
                <w:szCs w:val="20"/>
              </w:rPr>
              <w:t>hard substrate</w:t>
            </w:r>
            <w:r w:rsidRPr="00987C84">
              <w:rPr>
                <w:rFonts w:ascii="Times New Roman" w:hAnsi="Times New Roman" w:cs="Times New Roman"/>
                <w:sz w:val="20"/>
                <w:szCs w:val="20"/>
              </w:rPr>
              <w:t xml:space="preserve"> cover + slope</w:t>
            </w:r>
          </w:p>
          <w:p w14:paraId="1603636A" w14:textId="77777777" w:rsidR="00FD335F" w:rsidRDefault="00FD335F" w:rsidP="00712C46">
            <w:pPr>
              <w:jc w:val="left"/>
              <w:rPr>
                <w:rFonts w:ascii="Times New Roman" w:hAnsi="Times New Roman" w:cs="Times New Roman"/>
                <w:sz w:val="20"/>
                <w:szCs w:val="20"/>
              </w:rPr>
            </w:pPr>
          </w:p>
          <w:p w14:paraId="1B0994A1" w14:textId="77777777" w:rsidR="00FD335F" w:rsidRPr="00987C84" w:rsidRDefault="00FD335F" w:rsidP="00712C46">
            <w:pPr>
              <w:jc w:val="left"/>
              <w:rPr>
                <w:rFonts w:ascii="Times New Roman" w:hAnsi="Times New Roman" w:cs="Times New Roman"/>
                <w:sz w:val="20"/>
                <w:szCs w:val="20"/>
              </w:rPr>
            </w:pPr>
          </w:p>
        </w:tc>
      </w:tr>
      <w:tr w:rsidR="00FD335F" w:rsidRPr="00987C84" w14:paraId="2B7F1C9C" w14:textId="77777777" w:rsidTr="00712C46">
        <w:tc>
          <w:tcPr>
            <w:tcW w:w="0" w:type="auto"/>
            <w:tcBorders>
              <w:top w:val="nil"/>
              <w:left w:val="nil"/>
              <w:bottom w:val="nil"/>
              <w:right w:val="nil"/>
            </w:tcBorders>
          </w:tcPr>
          <w:p w14:paraId="297C7B95"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Mussel</w:t>
            </w:r>
          </w:p>
        </w:tc>
        <w:tc>
          <w:tcPr>
            <w:tcW w:w="0" w:type="auto"/>
            <w:tcBorders>
              <w:top w:val="nil"/>
              <w:left w:val="nil"/>
              <w:bottom w:val="nil"/>
              <w:right w:val="nil"/>
            </w:tcBorders>
          </w:tcPr>
          <w:p w14:paraId="279DD135" w14:textId="77777777" w:rsidR="00FD335F" w:rsidRDefault="00FD335F" w:rsidP="00712C46">
            <w:pPr>
              <w:jc w:val="left"/>
              <w:rPr>
                <w:rFonts w:ascii="Times New Roman" w:hAnsi="Times New Roman" w:cs="Times New Roman"/>
                <w:sz w:val="20"/>
                <w:szCs w:val="20"/>
              </w:rPr>
            </w:pPr>
            <w:r>
              <w:rPr>
                <w:rFonts w:ascii="Times New Roman" w:hAnsi="Times New Roman" w:cs="Times New Roman"/>
                <w:sz w:val="20"/>
                <w:szCs w:val="20"/>
              </w:rPr>
              <w:t xml:space="preserve">Sea stars may be attracted to the presence of mussels (Paine 1976, Lambert 2000, </w:t>
            </w:r>
            <w:proofErr w:type="spellStart"/>
            <w:r>
              <w:rPr>
                <w:rFonts w:ascii="Times New Roman" w:hAnsi="Times New Roman" w:cs="Times New Roman"/>
                <w:sz w:val="20"/>
                <w:szCs w:val="20"/>
              </w:rPr>
              <w:t>Traiger</w:t>
            </w:r>
            <w:proofErr w:type="spellEnd"/>
            <w:r>
              <w:rPr>
                <w:rFonts w:ascii="Times New Roman" w:hAnsi="Times New Roman" w:cs="Times New Roman"/>
                <w:sz w:val="20"/>
                <w:szCs w:val="20"/>
              </w:rPr>
              <w:t xml:space="preserve"> 2022).</w:t>
            </w:r>
          </w:p>
          <w:p w14:paraId="6C6F9C11"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10C332C3"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Mussel score + cluster</w:t>
            </w:r>
          </w:p>
        </w:tc>
      </w:tr>
      <w:tr w:rsidR="00FD335F" w:rsidRPr="00987C84" w14:paraId="65EA7E68" w14:textId="77777777" w:rsidTr="00712C46">
        <w:tc>
          <w:tcPr>
            <w:tcW w:w="0" w:type="auto"/>
            <w:tcBorders>
              <w:top w:val="nil"/>
              <w:left w:val="nil"/>
              <w:bottom w:val="nil"/>
              <w:right w:val="nil"/>
            </w:tcBorders>
          </w:tcPr>
          <w:p w14:paraId="4679683C"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Full mussel</w:t>
            </w:r>
          </w:p>
        </w:tc>
        <w:tc>
          <w:tcPr>
            <w:tcW w:w="0" w:type="auto"/>
            <w:tcBorders>
              <w:top w:val="nil"/>
              <w:left w:val="nil"/>
              <w:bottom w:val="nil"/>
              <w:right w:val="nil"/>
            </w:tcBorders>
          </w:tcPr>
          <w:p w14:paraId="3AA09E4A" w14:textId="77777777" w:rsidR="00FD335F"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 xml:space="preserve">Responses </w:t>
            </w:r>
            <w:r>
              <w:rPr>
                <w:rFonts w:ascii="Times New Roman" w:hAnsi="Times New Roman" w:cs="Times New Roman"/>
                <w:sz w:val="20"/>
                <w:szCs w:val="20"/>
              </w:rPr>
              <w:t>of sea stars might</w:t>
            </w:r>
            <w:r w:rsidRPr="00987C84">
              <w:rPr>
                <w:rFonts w:ascii="Times New Roman" w:hAnsi="Times New Roman" w:cs="Times New Roman"/>
                <w:sz w:val="20"/>
                <w:szCs w:val="20"/>
              </w:rPr>
              <w:t xml:space="preserve"> differ among mussel score categories </w:t>
            </w:r>
            <w:r>
              <w:rPr>
                <w:rFonts w:ascii="Times New Roman" w:hAnsi="Times New Roman" w:cs="Times New Roman"/>
                <w:sz w:val="20"/>
                <w:szCs w:val="20"/>
              </w:rPr>
              <w:t>if</w:t>
            </w:r>
            <w:r w:rsidRPr="00987C84">
              <w:rPr>
                <w:rFonts w:ascii="Times New Roman" w:hAnsi="Times New Roman" w:cs="Times New Roman"/>
                <w:sz w:val="20"/>
                <w:szCs w:val="20"/>
              </w:rPr>
              <w:t xml:space="preserve"> accounting for spatial variation and local habitat characteristics</w:t>
            </w:r>
          </w:p>
          <w:p w14:paraId="3EE54437" w14:textId="77777777" w:rsidR="00FD335F" w:rsidRDefault="00FD335F" w:rsidP="00712C46">
            <w:pPr>
              <w:jc w:val="left"/>
              <w:rPr>
                <w:rFonts w:ascii="Times New Roman" w:hAnsi="Times New Roman" w:cs="Times New Roman"/>
                <w:sz w:val="20"/>
                <w:szCs w:val="20"/>
              </w:rPr>
            </w:pPr>
          </w:p>
          <w:p w14:paraId="7C76C8D2"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74030E22" w14:textId="77777777" w:rsidR="00FD335F"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Mussel score + cluster +</w:t>
            </w:r>
            <w:r>
              <w:rPr>
                <w:rFonts w:ascii="Times New Roman" w:hAnsi="Times New Roman" w:cs="Times New Roman"/>
                <w:sz w:val="20"/>
                <w:szCs w:val="20"/>
              </w:rPr>
              <w:t xml:space="preserve"> hard substrate</w:t>
            </w:r>
            <w:r w:rsidRPr="00987C84">
              <w:rPr>
                <w:rFonts w:ascii="Times New Roman" w:hAnsi="Times New Roman" w:cs="Times New Roman"/>
                <w:sz w:val="20"/>
                <w:szCs w:val="20"/>
              </w:rPr>
              <w:t xml:space="preserve"> cover + slope</w:t>
            </w:r>
          </w:p>
          <w:p w14:paraId="34421348" w14:textId="77777777" w:rsidR="00FD335F" w:rsidRPr="00987C84" w:rsidRDefault="00FD335F" w:rsidP="00712C46">
            <w:pPr>
              <w:jc w:val="left"/>
              <w:rPr>
                <w:rFonts w:ascii="Times New Roman" w:hAnsi="Times New Roman" w:cs="Times New Roman"/>
                <w:sz w:val="20"/>
                <w:szCs w:val="20"/>
              </w:rPr>
            </w:pPr>
          </w:p>
        </w:tc>
      </w:tr>
      <w:tr w:rsidR="00FD335F" w:rsidRPr="00987C84" w14:paraId="2091EBC3" w14:textId="77777777" w:rsidTr="00712C46">
        <w:tc>
          <w:tcPr>
            <w:tcW w:w="0" w:type="auto"/>
            <w:tcBorders>
              <w:top w:val="nil"/>
              <w:left w:val="nil"/>
              <w:bottom w:val="nil"/>
              <w:right w:val="nil"/>
            </w:tcBorders>
          </w:tcPr>
          <w:p w14:paraId="70004008"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Dock</w:t>
            </w:r>
          </w:p>
        </w:tc>
        <w:tc>
          <w:tcPr>
            <w:tcW w:w="0" w:type="auto"/>
            <w:tcBorders>
              <w:top w:val="nil"/>
              <w:left w:val="nil"/>
              <w:bottom w:val="nil"/>
              <w:right w:val="nil"/>
            </w:tcBorders>
          </w:tcPr>
          <w:p w14:paraId="54A57475" w14:textId="77777777" w:rsidR="00FD335F" w:rsidRPr="00987C84" w:rsidRDefault="00FD335F" w:rsidP="00712C46">
            <w:pPr>
              <w:jc w:val="left"/>
              <w:rPr>
                <w:rFonts w:ascii="Times New Roman" w:hAnsi="Times New Roman" w:cs="Times New Roman"/>
                <w:sz w:val="20"/>
                <w:szCs w:val="20"/>
              </w:rPr>
            </w:pPr>
            <w:r>
              <w:rPr>
                <w:rFonts w:ascii="Times New Roman" w:hAnsi="Times New Roman" w:cs="Times New Roman"/>
                <w:sz w:val="20"/>
                <w:szCs w:val="20"/>
              </w:rPr>
              <w:t xml:space="preserve">Docks may provide suitable habitat and support mussel populations (Lambert 2000, </w:t>
            </w:r>
            <w:r w:rsidRPr="00426188">
              <w:rPr>
                <w:rFonts w:ascii="Times New Roman" w:hAnsi="Times New Roman" w:cs="Times New Roman"/>
                <w:sz w:val="20"/>
                <w:szCs w:val="20"/>
              </w:rPr>
              <w:t>Holloway &amp; Connell 2002</w:t>
            </w:r>
            <w:r>
              <w:rPr>
                <w:rFonts w:ascii="Times New Roman" w:hAnsi="Times New Roman" w:cs="Times New Roman"/>
                <w:sz w:val="20"/>
                <w:szCs w:val="20"/>
              </w:rPr>
              <w:t xml:space="preserve">, </w:t>
            </w:r>
            <w:r w:rsidRPr="00F01FDF">
              <w:rPr>
                <w:rFonts w:ascii="Times New Roman" w:hAnsi="Times New Roman" w:cs="Times New Roman"/>
                <w:sz w:val="20"/>
                <w:szCs w:val="20"/>
              </w:rPr>
              <w:t>Kirk</w:t>
            </w:r>
            <w:r>
              <w:rPr>
                <w:rFonts w:ascii="Times New Roman" w:hAnsi="Times New Roman" w:cs="Times New Roman"/>
                <w:sz w:val="20"/>
                <w:szCs w:val="20"/>
              </w:rPr>
              <w:t xml:space="preserve"> </w:t>
            </w:r>
            <w:r w:rsidRPr="00F01FDF">
              <w:rPr>
                <w:rFonts w:ascii="Times New Roman" w:hAnsi="Times New Roman" w:cs="Times New Roman"/>
                <w:sz w:val="20"/>
                <w:szCs w:val="20"/>
              </w:rPr>
              <w:t>200</w:t>
            </w:r>
            <w:r>
              <w:rPr>
                <w:rFonts w:ascii="Times New Roman" w:hAnsi="Times New Roman" w:cs="Times New Roman"/>
                <w:sz w:val="20"/>
                <w:szCs w:val="20"/>
              </w:rPr>
              <w:t>7).</w:t>
            </w:r>
          </w:p>
        </w:tc>
        <w:tc>
          <w:tcPr>
            <w:tcW w:w="0" w:type="auto"/>
            <w:tcBorders>
              <w:top w:val="nil"/>
              <w:left w:val="nil"/>
              <w:bottom w:val="nil"/>
              <w:right w:val="nil"/>
            </w:tcBorders>
          </w:tcPr>
          <w:p w14:paraId="6A718897"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Site type + cluster</w:t>
            </w:r>
          </w:p>
        </w:tc>
      </w:tr>
      <w:tr w:rsidR="00FD335F" w:rsidRPr="00987C84" w14:paraId="6AE9CBAA" w14:textId="77777777" w:rsidTr="00712C46">
        <w:tc>
          <w:tcPr>
            <w:tcW w:w="0" w:type="auto"/>
            <w:tcBorders>
              <w:top w:val="nil"/>
              <w:left w:val="nil"/>
              <w:bottom w:val="nil"/>
              <w:right w:val="nil"/>
            </w:tcBorders>
          </w:tcPr>
          <w:p w14:paraId="190E68B1"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58D30167"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31E9A19D" w14:textId="77777777" w:rsidR="00FD335F" w:rsidRPr="00987C84" w:rsidRDefault="00FD335F" w:rsidP="00712C46">
            <w:pPr>
              <w:jc w:val="left"/>
              <w:rPr>
                <w:rFonts w:ascii="Times New Roman" w:hAnsi="Times New Roman" w:cs="Times New Roman"/>
                <w:sz w:val="20"/>
                <w:szCs w:val="20"/>
              </w:rPr>
            </w:pPr>
          </w:p>
        </w:tc>
      </w:tr>
      <w:tr w:rsidR="00FD335F" w:rsidRPr="00987C84" w14:paraId="231C9F60" w14:textId="77777777" w:rsidTr="00712C46">
        <w:tc>
          <w:tcPr>
            <w:tcW w:w="0" w:type="auto"/>
            <w:tcBorders>
              <w:top w:val="nil"/>
              <w:left w:val="nil"/>
              <w:bottom w:val="nil"/>
              <w:right w:val="nil"/>
            </w:tcBorders>
          </w:tcPr>
          <w:p w14:paraId="26372B7A"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Full dock</w:t>
            </w:r>
          </w:p>
        </w:tc>
        <w:tc>
          <w:tcPr>
            <w:tcW w:w="0" w:type="auto"/>
            <w:tcBorders>
              <w:top w:val="nil"/>
              <w:left w:val="nil"/>
              <w:bottom w:val="nil"/>
              <w:right w:val="nil"/>
            </w:tcBorders>
          </w:tcPr>
          <w:p w14:paraId="2D8B9E65" w14:textId="77777777" w:rsidR="00FD335F"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 xml:space="preserve">Responses </w:t>
            </w:r>
            <w:r>
              <w:rPr>
                <w:rFonts w:ascii="Times New Roman" w:hAnsi="Times New Roman" w:cs="Times New Roman"/>
                <w:sz w:val="20"/>
                <w:szCs w:val="20"/>
              </w:rPr>
              <w:t>of sea stars might</w:t>
            </w:r>
            <w:r w:rsidRPr="00987C84">
              <w:rPr>
                <w:rFonts w:ascii="Times New Roman" w:hAnsi="Times New Roman" w:cs="Times New Roman"/>
                <w:sz w:val="20"/>
                <w:szCs w:val="20"/>
              </w:rPr>
              <w:t xml:space="preserve"> differ among site types </w:t>
            </w:r>
            <w:r>
              <w:rPr>
                <w:rFonts w:ascii="Times New Roman" w:hAnsi="Times New Roman" w:cs="Times New Roman"/>
                <w:sz w:val="20"/>
                <w:szCs w:val="20"/>
              </w:rPr>
              <w:t>if</w:t>
            </w:r>
            <w:r w:rsidRPr="00987C84">
              <w:rPr>
                <w:rFonts w:ascii="Times New Roman" w:hAnsi="Times New Roman" w:cs="Times New Roman"/>
                <w:sz w:val="20"/>
                <w:szCs w:val="20"/>
              </w:rPr>
              <w:t xml:space="preserve"> accounting for spatial variation and local habitat characteristics</w:t>
            </w:r>
          </w:p>
          <w:p w14:paraId="60484F92"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51218DCC" w14:textId="77777777" w:rsidR="00FD335F"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 xml:space="preserve">Site type + cluster + </w:t>
            </w:r>
            <w:r>
              <w:rPr>
                <w:rFonts w:ascii="Times New Roman" w:hAnsi="Times New Roman" w:cs="Times New Roman"/>
                <w:sz w:val="20"/>
                <w:szCs w:val="20"/>
              </w:rPr>
              <w:t>hard substrate</w:t>
            </w:r>
            <w:r w:rsidRPr="00987C84">
              <w:rPr>
                <w:rFonts w:ascii="Times New Roman" w:hAnsi="Times New Roman" w:cs="Times New Roman"/>
                <w:sz w:val="20"/>
                <w:szCs w:val="20"/>
              </w:rPr>
              <w:t xml:space="preserve"> cover + slope</w:t>
            </w:r>
          </w:p>
          <w:p w14:paraId="0F49AB52" w14:textId="77777777" w:rsidR="00FD335F" w:rsidRDefault="00FD335F" w:rsidP="00712C46">
            <w:pPr>
              <w:jc w:val="left"/>
              <w:rPr>
                <w:rFonts w:ascii="Times New Roman" w:hAnsi="Times New Roman" w:cs="Times New Roman"/>
                <w:sz w:val="20"/>
                <w:szCs w:val="20"/>
              </w:rPr>
            </w:pPr>
          </w:p>
          <w:p w14:paraId="183E24F6" w14:textId="77777777" w:rsidR="00FD335F" w:rsidRPr="00987C84" w:rsidRDefault="00FD335F" w:rsidP="00712C46">
            <w:pPr>
              <w:jc w:val="left"/>
              <w:rPr>
                <w:rFonts w:ascii="Times New Roman" w:hAnsi="Times New Roman" w:cs="Times New Roman"/>
                <w:sz w:val="20"/>
                <w:szCs w:val="20"/>
              </w:rPr>
            </w:pPr>
          </w:p>
        </w:tc>
      </w:tr>
      <w:tr w:rsidR="00FD335F" w:rsidRPr="00987C84" w14:paraId="25961CF4" w14:textId="77777777" w:rsidTr="00712C46">
        <w:tc>
          <w:tcPr>
            <w:tcW w:w="0" w:type="auto"/>
            <w:tcBorders>
              <w:top w:val="nil"/>
              <w:left w:val="nil"/>
              <w:bottom w:val="nil"/>
              <w:right w:val="nil"/>
            </w:tcBorders>
          </w:tcPr>
          <w:p w14:paraId="1C1AED95"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Distance from docks</w:t>
            </w:r>
          </w:p>
        </w:tc>
        <w:tc>
          <w:tcPr>
            <w:tcW w:w="0" w:type="auto"/>
            <w:tcBorders>
              <w:top w:val="nil"/>
              <w:left w:val="nil"/>
              <w:bottom w:val="nil"/>
              <w:right w:val="nil"/>
            </w:tcBorders>
          </w:tcPr>
          <w:p w14:paraId="50194073" w14:textId="77777777" w:rsidR="00FD335F" w:rsidRDefault="00FD335F" w:rsidP="00712C46">
            <w:pPr>
              <w:jc w:val="left"/>
              <w:rPr>
                <w:rFonts w:ascii="Times New Roman" w:hAnsi="Times New Roman" w:cs="Times New Roman"/>
                <w:sz w:val="20"/>
                <w:szCs w:val="20"/>
              </w:rPr>
            </w:pPr>
            <w:r>
              <w:rPr>
                <w:rFonts w:ascii="Times New Roman" w:hAnsi="Times New Roman" w:cs="Times New Roman"/>
                <w:sz w:val="20"/>
                <w:szCs w:val="20"/>
              </w:rPr>
              <w:t>If docks have an effect, the effect may be localized to the dock or may extend past the structure.</w:t>
            </w:r>
          </w:p>
          <w:p w14:paraId="73CA5504" w14:textId="77777777" w:rsidR="00FD335F" w:rsidRPr="00987C84" w:rsidRDefault="00FD335F" w:rsidP="00712C46">
            <w:pPr>
              <w:jc w:val="left"/>
              <w:rPr>
                <w:rFonts w:ascii="Times New Roman" w:hAnsi="Times New Roman" w:cs="Times New Roman"/>
                <w:sz w:val="20"/>
                <w:szCs w:val="20"/>
              </w:rPr>
            </w:pPr>
          </w:p>
        </w:tc>
        <w:tc>
          <w:tcPr>
            <w:tcW w:w="0" w:type="auto"/>
            <w:tcBorders>
              <w:top w:val="nil"/>
              <w:left w:val="nil"/>
              <w:bottom w:val="nil"/>
              <w:right w:val="nil"/>
            </w:tcBorders>
          </w:tcPr>
          <w:p w14:paraId="342C611B"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Distance + cluster</w:t>
            </w:r>
          </w:p>
        </w:tc>
      </w:tr>
      <w:tr w:rsidR="00FD335F" w:rsidRPr="00987C84" w14:paraId="77D7722D" w14:textId="77777777" w:rsidTr="00712C46">
        <w:tc>
          <w:tcPr>
            <w:tcW w:w="0" w:type="auto"/>
            <w:tcBorders>
              <w:top w:val="nil"/>
              <w:left w:val="nil"/>
              <w:bottom w:val="single" w:sz="4" w:space="0" w:color="auto"/>
              <w:right w:val="nil"/>
            </w:tcBorders>
          </w:tcPr>
          <w:p w14:paraId="0AE195CF"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Full distance from dock</w:t>
            </w:r>
          </w:p>
        </w:tc>
        <w:tc>
          <w:tcPr>
            <w:tcW w:w="0" w:type="auto"/>
            <w:tcBorders>
              <w:top w:val="nil"/>
              <w:left w:val="nil"/>
              <w:bottom w:val="single" w:sz="4" w:space="0" w:color="auto"/>
              <w:right w:val="nil"/>
            </w:tcBorders>
          </w:tcPr>
          <w:p w14:paraId="0B3CDF86" w14:textId="77777777" w:rsidR="00FD335F"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 xml:space="preserve">Responses </w:t>
            </w:r>
            <w:r>
              <w:rPr>
                <w:rFonts w:ascii="Times New Roman" w:hAnsi="Times New Roman" w:cs="Times New Roman"/>
                <w:sz w:val="20"/>
                <w:szCs w:val="20"/>
              </w:rPr>
              <w:t>of sea stars might</w:t>
            </w:r>
            <w:r w:rsidRPr="00987C84">
              <w:rPr>
                <w:rFonts w:ascii="Times New Roman" w:hAnsi="Times New Roman" w:cs="Times New Roman"/>
                <w:sz w:val="20"/>
                <w:szCs w:val="20"/>
              </w:rPr>
              <w:t xml:space="preserve"> differ with distance from a dock </w:t>
            </w:r>
            <w:r>
              <w:rPr>
                <w:rFonts w:ascii="Times New Roman" w:hAnsi="Times New Roman" w:cs="Times New Roman"/>
                <w:sz w:val="20"/>
                <w:szCs w:val="20"/>
              </w:rPr>
              <w:t>if</w:t>
            </w:r>
            <w:r w:rsidRPr="00987C84">
              <w:rPr>
                <w:rFonts w:ascii="Times New Roman" w:hAnsi="Times New Roman" w:cs="Times New Roman"/>
                <w:sz w:val="20"/>
                <w:szCs w:val="20"/>
              </w:rPr>
              <w:t xml:space="preserve"> accounting for spatial variation and local habitat characteristics</w:t>
            </w:r>
          </w:p>
        </w:tc>
        <w:tc>
          <w:tcPr>
            <w:tcW w:w="0" w:type="auto"/>
            <w:tcBorders>
              <w:top w:val="nil"/>
              <w:left w:val="nil"/>
              <w:bottom w:val="single" w:sz="4" w:space="0" w:color="auto"/>
              <w:right w:val="nil"/>
            </w:tcBorders>
          </w:tcPr>
          <w:p w14:paraId="3957C96F" w14:textId="77777777" w:rsidR="00FD335F" w:rsidRPr="00987C84" w:rsidRDefault="00FD335F" w:rsidP="00712C46">
            <w:pPr>
              <w:jc w:val="left"/>
              <w:rPr>
                <w:rFonts w:ascii="Times New Roman" w:hAnsi="Times New Roman" w:cs="Times New Roman"/>
                <w:sz w:val="20"/>
                <w:szCs w:val="20"/>
              </w:rPr>
            </w:pPr>
            <w:r w:rsidRPr="00987C84">
              <w:rPr>
                <w:rFonts w:ascii="Times New Roman" w:hAnsi="Times New Roman" w:cs="Times New Roman"/>
                <w:sz w:val="20"/>
                <w:szCs w:val="20"/>
              </w:rPr>
              <w:t xml:space="preserve">Distance + cluster + </w:t>
            </w:r>
            <w:r>
              <w:rPr>
                <w:rFonts w:ascii="Times New Roman" w:hAnsi="Times New Roman" w:cs="Times New Roman"/>
                <w:sz w:val="20"/>
                <w:szCs w:val="20"/>
              </w:rPr>
              <w:t>hard substrate</w:t>
            </w:r>
            <w:r w:rsidRPr="00987C84">
              <w:rPr>
                <w:rFonts w:ascii="Times New Roman" w:hAnsi="Times New Roman" w:cs="Times New Roman"/>
                <w:sz w:val="20"/>
                <w:szCs w:val="20"/>
              </w:rPr>
              <w:t xml:space="preserve"> cover + slope</w:t>
            </w:r>
          </w:p>
        </w:tc>
      </w:tr>
    </w:tbl>
    <w:p w14:paraId="5D757F6B" w14:textId="77777777" w:rsidR="00234CF7" w:rsidRDefault="00234CF7"/>
    <w:sectPr w:rsidR="00234C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004"/>
    <w:rsid w:val="00234CF7"/>
    <w:rsid w:val="00414121"/>
    <w:rsid w:val="00447397"/>
    <w:rsid w:val="00725105"/>
    <w:rsid w:val="008943BE"/>
    <w:rsid w:val="00A52004"/>
    <w:rsid w:val="00C40810"/>
    <w:rsid w:val="00C90868"/>
    <w:rsid w:val="00DE2657"/>
    <w:rsid w:val="00E63260"/>
    <w:rsid w:val="00FD33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98C7"/>
  <w15:chartTrackingRefBased/>
  <w15:docId w15:val="{6CE384A8-0FB7-453F-8000-9102008A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35F"/>
    <w:pPr>
      <w:spacing w:line="252" w:lineRule="auto"/>
      <w:jc w:val="both"/>
    </w:pPr>
    <w:rPr>
      <w:rFonts w:eastAsiaTheme="minorEastAsia"/>
      <w:kern w:val="0"/>
      <w14:ligatures w14:val="none"/>
    </w:rPr>
  </w:style>
  <w:style w:type="paragraph" w:styleId="Heading1">
    <w:name w:val="heading 1"/>
    <w:basedOn w:val="Normal"/>
    <w:next w:val="Normal"/>
    <w:link w:val="Heading1Char"/>
    <w:uiPriority w:val="9"/>
    <w:qFormat/>
    <w:rsid w:val="00A52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004"/>
    <w:rPr>
      <w:rFonts w:eastAsiaTheme="majorEastAsia" w:cstheme="majorBidi"/>
      <w:color w:val="272727" w:themeColor="text1" w:themeTint="D8"/>
    </w:rPr>
  </w:style>
  <w:style w:type="paragraph" w:styleId="Title">
    <w:name w:val="Title"/>
    <w:basedOn w:val="Normal"/>
    <w:next w:val="Normal"/>
    <w:link w:val="TitleChar"/>
    <w:uiPriority w:val="10"/>
    <w:qFormat/>
    <w:rsid w:val="00A52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004"/>
    <w:pPr>
      <w:spacing w:before="160"/>
      <w:jc w:val="center"/>
    </w:pPr>
    <w:rPr>
      <w:i/>
      <w:iCs/>
      <w:color w:val="404040" w:themeColor="text1" w:themeTint="BF"/>
    </w:rPr>
  </w:style>
  <w:style w:type="character" w:customStyle="1" w:styleId="QuoteChar">
    <w:name w:val="Quote Char"/>
    <w:basedOn w:val="DefaultParagraphFont"/>
    <w:link w:val="Quote"/>
    <w:uiPriority w:val="29"/>
    <w:rsid w:val="00A52004"/>
    <w:rPr>
      <w:i/>
      <w:iCs/>
      <w:color w:val="404040" w:themeColor="text1" w:themeTint="BF"/>
    </w:rPr>
  </w:style>
  <w:style w:type="paragraph" w:styleId="ListParagraph">
    <w:name w:val="List Paragraph"/>
    <w:basedOn w:val="Normal"/>
    <w:uiPriority w:val="34"/>
    <w:qFormat/>
    <w:rsid w:val="00A52004"/>
    <w:pPr>
      <w:ind w:left="720"/>
      <w:contextualSpacing/>
    </w:pPr>
  </w:style>
  <w:style w:type="character" w:styleId="IntenseEmphasis">
    <w:name w:val="Intense Emphasis"/>
    <w:basedOn w:val="DefaultParagraphFont"/>
    <w:uiPriority w:val="21"/>
    <w:qFormat/>
    <w:rsid w:val="00A52004"/>
    <w:rPr>
      <w:i/>
      <w:iCs/>
      <w:color w:val="0F4761" w:themeColor="accent1" w:themeShade="BF"/>
    </w:rPr>
  </w:style>
  <w:style w:type="paragraph" w:styleId="IntenseQuote">
    <w:name w:val="Intense Quote"/>
    <w:basedOn w:val="Normal"/>
    <w:next w:val="Normal"/>
    <w:link w:val="IntenseQuoteChar"/>
    <w:uiPriority w:val="30"/>
    <w:qFormat/>
    <w:rsid w:val="00A52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004"/>
    <w:rPr>
      <w:i/>
      <w:iCs/>
      <w:color w:val="0F4761" w:themeColor="accent1" w:themeShade="BF"/>
    </w:rPr>
  </w:style>
  <w:style w:type="character" w:styleId="IntenseReference">
    <w:name w:val="Intense Reference"/>
    <w:basedOn w:val="DefaultParagraphFont"/>
    <w:uiPriority w:val="32"/>
    <w:qFormat/>
    <w:rsid w:val="00A52004"/>
    <w:rPr>
      <w:b/>
      <w:bCs/>
      <w:smallCaps/>
      <w:color w:val="0F4761" w:themeColor="accent1" w:themeShade="BF"/>
      <w:spacing w:val="5"/>
    </w:rPr>
  </w:style>
  <w:style w:type="table" w:styleId="TableGrid">
    <w:name w:val="Table Grid"/>
    <w:basedOn w:val="TableNormal"/>
    <w:uiPriority w:val="39"/>
    <w:rsid w:val="00FD335F"/>
    <w:pPr>
      <w:spacing w:after="0" w:line="240" w:lineRule="auto"/>
      <w:jc w:val="both"/>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Kui</dc:creator>
  <cp:keywords/>
  <dc:description/>
  <cp:lastModifiedBy>Owen Kui</cp:lastModifiedBy>
  <cp:revision>3</cp:revision>
  <dcterms:created xsi:type="dcterms:W3CDTF">2026-10-29T21:41:00Z</dcterms:created>
  <dcterms:modified xsi:type="dcterms:W3CDTF">2026-10-29T21:42:00Z</dcterms:modified>
</cp:coreProperties>
</file>